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D8C591"/>
    <w:p w14:paraId="38766416">
      <w:r>
        <w:drawing>
          <wp:inline distT="0" distB="0" distL="114300" distR="114300">
            <wp:extent cx="6471920" cy="9107170"/>
            <wp:effectExtent l="0" t="0" r="0"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5"/>
                    <a:srcRect b="782"/>
                    <a:stretch>
                      <a:fillRect/>
                    </a:stretch>
                  </pic:blipFill>
                  <pic:spPr>
                    <a:xfrm>
                      <a:off x="0" y="0"/>
                      <a:ext cx="6471920" cy="9107170"/>
                    </a:xfrm>
                    <a:prstGeom prst="rect">
                      <a:avLst/>
                    </a:prstGeom>
                    <a:noFill/>
                    <a:ln>
                      <a:noFill/>
                    </a:ln>
                  </pic:spPr>
                </pic:pic>
              </a:graphicData>
            </a:graphic>
          </wp:inline>
        </w:drawing>
      </w:r>
    </w:p>
    <w:p w14:paraId="3ABB1987">
      <w:r>
        <w:br w:type="page"/>
      </w:r>
    </w:p>
    <w:p w14:paraId="67B0802F">
      <w:pPr>
        <w:bidi w:val="0"/>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2"/>
        <w:gridCol w:w="6419"/>
        <w:gridCol w:w="1131"/>
      </w:tblGrid>
      <w:tr w14:paraId="45580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092" w:type="dxa"/>
            <w:tcBorders>
              <w:top w:val="single" w:color="auto" w:sz="4" w:space="0"/>
              <w:left w:val="single" w:color="auto" w:sz="4" w:space="0"/>
              <w:bottom w:val="single" w:color="auto" w:sz="4" w:space="0"/>
              <w:right w:val="single" w:color="auto" w:sz="4" w:space="0"/>
            </w:tcBorders>
            <w:vAlign w:val="center"/>
          </w:tcPr>
          <w:p w14:paraId="29118599">
            <w:pPr>
              <w:jc w:val="center"/>
              <w:rPr>
                <w:rFonts w:ascii="宋体" w:hAnsi="宋体" w:eastAsia="宋体"/>
                <w:szCs w:val="21"/>
              </w:rPr>
            </w:pPr>
            <w:r>
              <w:rPr>
                <w:rFonts w:hint="eastAsia" w:ascii="宋体" w:hAnsi="宋体" w:eastAsia="宋体"/>
                <w:szCs w:val="21"/>
              </w:rPr>
              <w:t>合计</w:t>
            </w:r>
          </w:p>
        </w:tc>
        <w:tc>
          <w:tcPr>
            <w:tcW w:w="6419" w:type="dxa"/>
            <w:tcBorders>
              <w:top w:val="single" w:color="auto" w:sz="4" w:space="0"/>
              <w:left w:val="single" w:color="auto" w:sz="4" w:space="0"/>
              <w:bottom w:val="single" w:color="auto" w:sz="4" w:space="0"/>
              <w:right w:val="single" w:color="auto" w:sz="4" w:space="0"/>
            </w:tcBorders>
            <w:vAlign w:val="center"/>
          </w:tcPr>
          <w:p w14:paraId="680F2A84">
            <w:pPr>
              <w:jc w:val="center"/>
              <w:rPr>
                <w:rFonts w:ascii="宋体" w:hAnsi="宋体" w:eastAsia="宋体"/>
                <w:bCs/>
                <w:color w:val="auto"/>
                <w:szCs w:val="21"/>
              </w:rPr>
            </w:pPr>
            <w:r>
              <w:rPr>
                <w:rFonts w:hint="eastAsia" w:ascii="宋体" w:hAnsi="宋体" w:eastAsia="宋体"/>
                <w:color w:val="auto"/>
                <w:szCs w:val="21"/>
              </w:rPr>
              <w:t>人民币大写：壹拾柒万肆仟陆佰元整（￥：174600.00元）</w:t>
            </w:r>
          </w:p>
        </w:tc>
        <w:tc>
          <w:tcPr>
            <w:tcW w:w="1131" w:type="dxa"/>
            <w:tcBorders>
              <w:top w:val="single" w:color="auto" w:sz="4" w:space="0"/>
              <w:left w:val="single" w:color="auto" w:sz="4" w:space="0"/>
              <w:bottom w:val="single" w:color="auto" w:sz="4" w:space="0"/>
              <w:right w:val="single" w:color="auto" w:sz="4" w:space="0"/>
            </w:tcBorders>
          </w:tcPr>
          <w:p w14:paraId="0251722A">
            <w:pPr>
              <w:jc w:val="center"/>
              <w:rPr>
                <w:rFonts w:ascii="宋体" w:hAnsi="宋体" w:eastAsia="宋体"/>
                <w:b/>
                <w:bCs/>
                <w:szCs w:val="21"/>
              </w:rPr>
            </w:pPr>
          </w:p>
        </w:tc>
      </w:tr>
      <w:tr w14:paraId="5033B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092" w:type="dxa"/>
            <w:tcBorders>
              <w:top w:val="single" w:color="auto" w:sz="4" w:space="0"/>
              <w:left w:val="single" w:color="auto" w:sz="4" w:space="0"/>
              <w:bottom w:val="single" w:color="auto" w:sz="4" w:space="0"/>
              <w:right w:val="single" w:color="auto" w:sz="4" w:space="0"/>
            </w:tcBorders>
            <w:vAlign w:val="center"/>
          </w:tcPr>
          <w:p w14:paraId="57CCAFC0">
            <w:pPr>
              <w:jc w:val="center"/>
              <w:rPr>
                <w:rFonts w:ascii="宋体" w:hAnsi="宋体" w:eastAsia="宋体"/>
                <w:szCs w:val="21"/>
              </w:rPr>
            </w:pPr>
            <w:r>
              <w:rPr>
                <w:rFonts w:hint="eastAsia" w:ascii="宋体" w:hAnsi="宋体" w:eastAsia="宋体"/>
                <w:szCs w:val="21"/>
              </w:rPr>
              <w:t>备注</w:t>
            </w:r>
          </w:p>
        </w:tc>
        <w:tc>
          <w:tcPr>
            <w:tcW w:w="6419" w:type="dxa"/>
            <w:tcBorders>
              <w:top w:val="single" w:color="auto" w:sz="4" w:space="0"/>
              <w:left w:val="single" w:color="auto" w:sz="4" w:space="0"/>
              <w:bottom w:val="single" w:color="auto" w:sz="4" w:space="0"/>
              <w:right w:val="single" w:color="auto" w:sz="4" w:space="0"/>
            </w:tcBorders>
            <w:vAlign w:val="center"/>
          </w:tcPr>
          <w:p w14:paraId="7136B1D5">
            <w:pPr>
              <w:jc w:val="center"/>
              <w:rPr>
                <w:rFonts w:ascii="宋体" w:hAnsi="宋体" w:eastAsia="宋体"/>
                <w:color w:val="auto"/>
                <w:szCs w:val="21"/>
              </w:rPr>
            </w:pPr>
            <w:r>
              <w:rPr>
                <w:rFonts w:hint="eastAsia" w:ascii="宋体" w:hAnsi="宋体" w:eastAsia="宋体"/>
                <w:color w:val="auto"/>
                <w:szCs w:val="21"/>
              </w:rPr>
              <w:t>无</w:t>
            </w:r>
          </w:p>
        </w:tc>
        <w:tc>
          <w:tcPr>
            <w:tcW w:w="1131" w:type="dxa"/>
            <w:tcBorders>
              <w:top w:val="single" w:color="auto" w:sz="4" w:space="0"/>
              <w:left w:val="single" w:color="auto" w:sz="4" w:space="0"/>
              <w:bottom w:val="single" w:color="auto" w:sz="4" w:space="0"/>
              <w:right w:val="single" w:color="auto" w:sz="4" w:space="0"/>
            </w:tcBorders>
          </w:tcPr>
          <w:p w14:paraId="1E22B3FA">
            <w:pPr>
              <w:jc w:val="center"/>
              <w:rPr>
                <w:rFonts w:ascii="宋体" w:hAnsi="宋体" w:eastAsia="宋体"/>
                <w:b/>
                <w:bCs/>
                <w:szCs w:val="21"/>
              </w:rPr>
            </w:pPr>
          </w:p>
        </w:tc>
      </w:tr>
    </w:tbl>
    <w:p w14:paraId="5ED06074">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2. 本合同（</w:t>
      </w:r>
      <w:r>
        <w:rPr>
          <w:rFonts w:hint="eastAsia" w:ascii="宋体" w:hAnsi="宋体" w:eastAsia="宋体" w:cs="Tahoma"/>
          <w:color w:val="auto"/>
          <w:sz w:val="24"/>
          <w:szCs w:val="24"/>
        </w:rPr>
        <w:t>清单</w:t>
      </w:r>
      <w:r>
        <w:rPr>
          <w:rFonts w:hint="eastAsia" w:ascii="Tahoma" w:hAnsi="Tahoma" w:eastAsia="宋体" w:cs="Tahoma"/>
          <w:color w:val="auto"/>
          <w:sz w:val="24"/>
          <w:szCs w:val="24"/>
        </w:rPr>
        <w:t>1+</w:t>
      </w:r>
      <w:r>
        <w:rPr>
          <w:rFonts w:hint="eastAsia" w:ascii="宋体" w:hAnsi="宋体" w:eastAsia="宋体" w:cs="Tahoma"/>
          <w:color w:val="auto"/>
          <w:sz w:val="24"/>
          <w:szCs w:val="24"/>
        </w:rPr>
        <w:t>清单</w:t>
      </w:r>
      <w:r>
        <w:rPr>
          <w:rFonts w:hint="eastAsia" w:ascii="Tahoma" w:hAnsi="Tahoma" w:eastAsia="宋体" w:cs="Tahoma"/>
          <w:color w:val="auto"/>
          <w:sz w:val="24"/>
          <w:szCs w:val="24"/>
        </w:rPr>
        <w:t>2</w:t>
      </w:r>
      <w:r>
        <w:rPr>
          <w:rFonts w:hint="eastAsia" w:ascii="宋体" w:hAnsi="宋体" w:eastAsia="宋体" w:cs="宋体"/>
          <w:color w:val="auto"/>
          <w:sz w:val="24"/>
          <w:szCs w:val="24"/>
        </w:rPr>
        <w:t>）总金额人民币大写：</w:t>
      </w:r>
      <w:r>
        <w:rPr>
          <w:rFonts w:hint="eastAsia" w:ascii="宋体" w:hAnsi="宋体" w:eastAsia="宋体" w:cs="宋体"/>
          <w:color w:val="auto"/>
          <w:szCs w:val="21"/>
          <w:u w:val="single"/>
        </w:rPr>
        <w:t xml:space="preserve"> </w:t>
      </w:r>
      <w:r>
        <w:rPr>
          <w:rFonts w:hint="eastAsia" w:ascii="宋体" w:hAnsi="宋体" w:eastAsia="宋体" w:cs="宋体"/>
          <w:color w:val="auto"/>
          <w:sz w:val="24"/>
          <w:szCs w:val="24"/>
          <w:u w:val="single"/>
        </w:rPr>
        <w:t xml:space="preserve">贰佰玖拾捌万玖仟陆佰元整 </w:t>
      </w:r>
    </w:p>
    <w:p w14:paraId="09F75CD6">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（RMB：</w:t>
      </w:r>
      <w:r>
        <w:rPr>
          <w:rFonts w:hint="eastAsia" w:ascii="宋体" w:hAnsi="宋体" w:eastAsia="宋体" w:cs="宋体"/>
          <w:color w:val="auto"/>
          <w:sz w:val="24"/>
          <w:szCs w:val="24"/>
          <w:u w:val="single"/>
        </w:rPr>
        <w:t xml:space="preserve"> 2989600.00 元</w:t>
      </w:r>
      <w:r>
        <w:rPr>
          <w:rFonts w:hint="eastAsia" w:ascii="宋体" w:hAnsi="宋体" w:eastAsia="宋体" w:cs="宋体"/>
          <w:color w:val="auto"/>
          <w:sz w:val="24"/>
          <w:szCs w:val="24"/>
        </w:rPr>
        <w:t>）。</w:t>
      </w:r>
    </w:p>
    <w:p w14:paraId="5FAA8BD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 本合同总金额为货物从生产厂家至河南中医药大学校内甲方指定地点总价。包括：货物和附属装置、备品备件、专用工具、安装调试、培训、运输、保险、验收检测费、各类税费及相关技术服务费用和验收合格之前及保修期与备品备件等为履行合同发生的所有含税费用。</w:t>
      </w:r>
    </w:p>
    <w:p w14:paraId="45F0FCE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 乙方负责办理合同所涉及的进口货物海关免税手续，甲方协助乙方办理进口免税相关事项，提供与其享受免关税待遇相关的证明文件资料，费用已包括在合同总金额内。</w:t>
      </w:r>
    </w:p>
    <w:p w14:paraId="726E8BB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 本合同执行期间合同总金额不变。甲方无须另向乙方支付本合同规定之外的其他任何费用。</w:t>
      </w:r>
    </w:p>
    <w:p w14:paraId="037D55C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 乙方所供货物若与合同要求不相符时，甲方有权拒收，并拒付该部分货物的货款。</w:t>
      </w:r>
    </w:p>
    <w:p w14:paraId="4F7A3DC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 履约保证金：</w:t>
      </w:r>
    </w:p>
    <w:p w14:paraId="4154B6C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双方签订合同前乙方按招标文件要求缴纳中标价（成交价）5%作为履约保证金，若乙方未履行合同或履行合同不符合要求的，则履约保证金不予退还；若乙方履行合同，货物经验收合格无质量问题，甲方无息退还履约保证金（凭收款收据）。</w:t>
      </w:r>
    </w:p>
    <w:p w14:paraId="2FCBBFF1">
      <w:pPr>
        <w:spacing w:line="360" w:lineRule="auto"/>
        <w:ind w:left="479" w:leftChars="228"/>
        <w:rPr>
          <w:rFonts w:ascii="宋体" w:hAnsi="宋体" w:eastAsia="宋体" w:cs="宋体"/>
          <w:sz w:val="24"/>
          <w:szCs w:val="24"/>
        </w:rPr>
      </w:pPr>
      <w:r>
        <w:rPr>
          <w:rFonts w:hint="eastAsia" w:ascii="宋体" w:hAnsi="宋体" w:eastAsia="宋体" w:cs="宋体"/>
          <w:sz w:val="24"/>
          <w:szCs w:val="24"/>
        </w:rPr>
        <w:t>交纳方式：中标人在领取中标通知书后签订合同前将履约保证金汇（存）入采购方指定银行帐户：</w:t>
      </w:r>
    </w:p>
    <w:p w14:paraId="046706BC">
      <w:pPr>
        <w:spacing w:line="324" w:lineRule="auto"/>
        <w:ind w:firstLine="480" w:firstLineChars="200"/>
        <w:rPr>
          <w:rFonts w:ascii="Times New Roman" w:hAnsi="Times New Roman" w:eastAsia="宋体"/>
          <w:color w:val="000000"/>
          <w:sz w:val="24"/>
          <w:szCs w:val="24"/>
        </w:rPr>
      </w:pPr>
      <w:r>
        <w:rPr>
          <w:rFonts w:ascii="宋体" w:hAnsi="宋体" w:eastAsia="宋体"/>
          <w:color w:val="000000"/>
          <w:sz w:val="24"/>
          <w:szCs w:val="24"/>
        </w:rPr>
        <w:t>开户名称：河南中医</w:t>
      </w:r>
      <w:r>
        <w:rPr>
          <w:rFonts w:hint="eastAsia" w:ascii="宋体" w:hAnsi="宋体" w:eastAsia="宋体"/>
          <w:color w:val="000000"/>
          <w:sz w:val="24"/>
          <w:szCs w:val="24"/>
        </w:rPr>
        <w:t>药大学</w:t>
      </w:r>
    </w:p>
    <w:p w14:paraId="71FDE5CB">
      <w:pPr>
        <w:spacing w:line="324" w:lineRule="auto"/>
        <w:ind w:firstLine="480" w:firstLineChars="200"/>
        <w:rPr>
          <w:rFonts w:ascii="Times New Roman" w:hAnsi="Times New Roman" w:eastAsia="宋体"/>
          <w:color w:val="000000"/>
          <w:sz w:val="24"/>
          <w:szCs w:val="24"/>
        </w:rPr>
      </w:pPr>
      <w:r>
        <w:rPr>
          <w:rFonts w:ascii="宋体" w:hAnsi="宋体" w:eastAsia="宋体"/>
          <w:color w:val="000000"/>
          <w:sz w:val="24"/>
          <w:szCs w:val="24"/>
        </w:rPr>
        <w:t>账</w:t>
      </w:r>
      <w:r>
        <w:rPr>
          <w:rFonts w:ascii="Times New Roman" w:hAnsi="Times New Roman" w:eastAsia="宋体"/>
          <w:color w:val="000000"/>
          <w:sz w:val="24"/>
          <w:szCs w:val="24"/>
        </w:rPr>
        <w:t xml:space="preserve">  号：1702020609200014257</w:t>
      </w:r>
    </w:p>
    <w:p w14:paraId="015F7326">
      <w:pPr>
        <w:spacing w:line="324" w:lineRule="auto"/>
        <w:ind w:firstLine="480" w:firstLineChars="200"/>
        <w:rPr>
          <w:rFonts w:ascii="宋体" w:hAnsi="宋体" w:eastAsia="宋体"/>
          <w:sz w:val="24"/>
          <w:szCs w:val="24"/>
        </w:rPr>
      </w:pPr>
      <w:r>
        <w:rPr>
          <w:rFonts w:ascii="宋体" w:hAnsi="宋体" w:eastAsia="宋体"/>
          <w:color w:val="000000"/>
          <w:sz w:val="24"/>
          <w:szCs w:val="24"/>
        </w:rPr>
        <w:t>开户行：工商银行花园路支行</w:t>
      </w:r>
      <w:r>
        <w:rPr>
          <w:rFonts w:hint="eastAsia" w:ascii="宋体" w:hAnsi="宋体" w:eastAsia="宋体"/>
          <w:color w:val="000000"/>
          <w:sz w:val="24"/>
          <w:szCs w:val="24"/>
        </w:rPr>
        <w:t>（请注明中标通知书中的合同编号）</w:t>
      </w:r>
    </w:p>
    <w:p w14:paraId="4D614DAA">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二、货物质量标准</w:t>
      </w:r>
    </w:p>
    <w:p w14:paraId="1C7F099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 乙方提供的货物必须符合中华人民共和国国家相关标准、行业强制性标准及环保要求。同时技术指标必须与乙方投标文件所陈述的指标保持一致。用于临床的医疗仪器必须有有效的医疗器械注册证。</w:t>
      </w:r>
    </w:p>
    <w:p w14:paraId="74387AA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 乙方提供的货物必须为全新的、未使用过的原厂原包装产品（含零部件、配件、随机工具、技术文件等），且进货渠道合法。</w:t>
      </w:r>
    </w:p>
    <w:p w14:paraId="693C8AC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 乙方提供的货物必须包装外观完好、无破损，货物洁净完好、无划痕、无凹陷、无退色、无锈迹。</w:t>
      </w:r>
    </w:p>
    <w:p w14:paraId="0E74AEB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 乙方提供的货物不符合合同规定的质量要求的，甲方有权拒绝接受该货物，乙方应更换被拒绝的货物，并达到合同规定的质量要求，所造成的损失由乙方承担。必要时甲方有权解除合同。</w:t>
      </w:r>
    </w:p>
    <w:p w14:paraId="3E28E8C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 因货物的质量问题发生争议，由河南省商检部门进行质量鉴定。货物符合质量标准的，鉴定费由甲方承担；货物不符合质量标准的，鉴定费由乙方承担。</w:t>
      </w:r>
    </w:p>
    <w:p w14:paraId="4747FB95">
      <w:pPr>
        <w:spacing w:line="360" w:lineRule="auto"/>
        <w:ind w:firstLine="482" w:firstLineChars="200"/>
        <w:rPr>
          <w:rFonts w:ascii="宋体" w:hAnsi="Courier New" w:eastAsia="宋体" w:cs="宋体"/>
          <w:b/>
          <w:sz w:val="24"/>
          <w:szCs w:val="24"/>
        </w:rPr>
      </w:pPr>
      <w:r>
        <w:rPr>
          <w:rFonts w:hint="eastAsia" w:ascii="宋体" w:hAnsi="宋体" w:eastAsia="宋体" w:cs="宋体"/>
          <w:b/>
          <w:sz w:val="24"/>
          <w:szCs w:val="24"/>
        </w:rPr>
        <w:t>三、货物包装、交货</w:t>
      </w:r>
    </w:p>
    <w:p w14:paraId="215BB7F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 包装</w:t>
      </w:r>
    </w:p>
    <w:p w14:paraId="47F13EE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⑴ 合同货物的包装必须与运输方式相适应，应有良好的防湿、防锈、防潮、防雨、防腐及防碰撞的措施。凡由于不适当的包装而造成货物在运输过程中有任何损坏、丢失等由乙方负责。</w:t>
      </w:r>
    </w:p>
    <w:p w14:paraId="4B6135D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⑵ 包装应足以承受整个过程中的运输、转运、装卸、储存等，充分考虑到运输途中的各种情况（如暴露于恶劣气候等），以及露天存放的需要。</w:t>
      </w:r>
    </w:p>
    <w:p w14:paraId="59C2D88F">
      <w:pPr>
        <w:spacing w:line="360" w:lineRule="auto"/>
        <w:ind w:firstLine="480" w:firstLineChars="200"/>
        <w:rPr>
          <w:rFonts w:ascii="宋体" w:hAnsi="宋体" w:eastAsia="宋体"/>
          <w:sz w:val="24"/>
          <w:szCs w:val="24"/>
        </w:rPr>
      </w:pPr>
      <w:r>
        <w:rPr>
          <w:rFonts w:hint="eastAsia" w:ascii="宋体" w:hAnsi="宋体" w:eastAsia="宋体"/>
          <w:sz w:val="24"/>
          <w:szCs w:val="24"/>
        </w:rPr>
        <w:t>2. 交货</w:t>
      </w:r>
    </w:p>
    <w:p w14:paraId="5A559410">
      <w:pPr>
        <w:spacing w:line="360" w:lineRule="auto"/>
        <w:ind w:firstLine="480" w:firstLineChars="200"/>
        <w:rPr>
          <w:rFonts w:ascii="宋体" w:hAnsi="宋体" w:eastAsia="宋体"/>
          <w:sz w:val="24"/>
          <w:szCs w:val="24"/>
        </w:rPr>
      </w:pPr>
      <w:r>
        <w:rPr>
          <w:rFonts w:hint="eastAsia" w:ascii="宋体" w:hAnsi="宋体" w:eastAsia="宋体"/>
          <w:sz w:val="24"/>
          <w:szCs w:val="24"/>
        </w:rPr>
        <w:t>⑴ 乙方交货时间：</w:t>
      </w:r>
      <w:r>
        <w:rPr>
          <w:rFonts w:hint="eastAsia" w:ascii="宋体" w:hAnsi="宋体" w:eastAsia="宋体"/>
          <w:color w:val="auto"/>
          <w:sz w:val="24"/>
          <w:szCs w:val="24"/>
        </w:rPr>
        <w:t>合同生效后国产货物</w:t>
      </w:r>
      <w:r>
        <w:rPr>
          <w:rFonts w:hint="eastAsia" w:ascii="Times New Roman" w:hAnsi="Times New Roman" w:eastAsia="宋体"/>
          <w:color w:val="auto"/>
          <w:sz w:val="24"/>
          <w:szCs w:val="24"/>
        </w:rPr>
        <w:t>30</w:t>
      </w:r>
      <w:r>
        <w:rPr>
          <w:rFonts w:hint="eastAsia" w:ascii="宋体" w:hAnsi="宋体" w:eastAsia="宋体"/>
          <w:color w:val="auto"/>
          <w:sz w:val="24"/>
          <w:szCs w:val="24"/>
        </w:rPr>
        <w:t>日、进口货物</w:t>
      </w:r>
      <w:r>
        <w:rPr>
          <w:rFonts w:hint="eastAsia" w:ascii="Times New Roman" w:hAnsi="Times New Roman" w:eastAsia="宋体"/>
          <w:color w:val="auto"/>
          <w:sz w:val="24"/>
          <w:szCs w:val="24"/>
        </w:rPr>
        <w:t>60</w:t>
      </w:r>
      <w:r>
        <w:rPr>
          <w:rFonts w:hint="eastAsia" w:ascii="宋体" w:hAnsi="宋体" w:eastAsia="宋体"/>
          <w:color w:val="auto"/>
          <w:sz w:val="24"/>
          <w:szCs w:val="24"/>
        </w:rPr>
        <w:t>日内全部交货。交货完毕后及时提交货物验收申请</w:t>
      </w:r>
      <w:r>
        <w:rPr>
          <w:rFonts w:hint="eastAsia" w:ascii="宋体" w:hAnsi="宋体" w:eastAsia="宋体" w:cs="宋体"/>
          <w:color w:val="auto"/>
          <w:sz w:val="24"/>
          <w:szCs w:val="24"/>
        </w:rPr>
        <w:t>（货物经验收合格的，交货日期以甲方收到乙方验收申请函日期为准；验收不合格的，交货日期以实际验收合格日期为准）。</w:t>
      </w:r>
      <w:r>
        <w:rPr>
          <w:rFonts w:hint="eastAsia" w:ascii="宋体" w:hAnsi="宋体" w:eastAsia="宋体"/>
          <w:color w:val="auto"/>
          <w:sz w:val="24"/>
          <w:szCs w:val="24"/>
        </w:rPr>
        <w:t>即</w:t>
      </w:r>
      <w:r>
        <w:rPr>
          <w:rFonts w:ascii="宋体" w:hAnsi="宋体" w:eastAsia="宋体"/>
          <w:color w:val="auto"/>
          <w:sz w:val="24"/>
          <w:szCs w:val="24"/>
        </w:rPr>
        <w:t>在</w:t>
      </w:r>
      <w:r>
        <w:rPr>
          <w:rFonts w:hint="eastAsia" w:ascii="Times New Roman" w:hAnsi="Times New Roman" w:eastAsia="宋体"/>
          <w:b/>
          <w:color w:val="auto"/>
          <w:sz w:val="24"/>
          <w:szCs w:val="24"/>
          <w:u w:val="single"/>
        </w:rPr>
        <w:t>2025</w:t>
      </w:r>
      <w:r>
        <w:rPr>
          <w:rFonts w:ascii="宋体" w:hAnsi="宋体" w:eastAsia="宋体"/>
          <w:color w:val="auto"/>
          <w:sz w:val="24"/>
          <w:szCs w:val="24"/>
        </w:rPr>
        <w:t>年</w:t>
      </w:r>
      <w:r>
        <w:rPr>
          <w:rFonts w:hint="eastAsia" w:ascii="Times New Roman" w:hAnsi="Times New Roman" w:eastAsia="宋体"/>
          <w:b/>
          <w:color w:val="auto"/>
          <w:sz w:val="24"/>
          <w:szCs w:val="24"/>
          <w:u w:val="single"/>
        </w:rPr>
        <w:t xml:space="preserve"> </w:t>
      </w:r>
      <w:r>
        <w:rPr>
          <w:rFonts w:hint="eastAsia" w:ascii="Times New Roman" w:hAnsi="Times New Roman" w:eastAsia="宋体"/>
          <w:b/>
          <w:color w:val="auto"/>
          <w:sz w:val="24"/>
          <w:szCs w:val="24"/>
          <w:u w:val="single"/>
          <w:lang w:val="en-US" w:eastAsia="zh-CN"/>
        </w:rPr>
        <w:t>5</w:t>
      </w:r>
      <w:r>
        <w:rPr>
          <w:rFonts w:hint="eastAsia" w:ascii="Times New Roman" w:hAnsi="Times New Roman" w:eastAsia="宋体"/>
          <w:b/>
          <w:color w:val="auto"/>
          <w:sz w:val="24"/>
          <w:szCs w:val="24"/>
          <w:u w:val="single"/>
        </w:rPr>
        <w:t xml:space="preserve"> </w:t>
      </w:r>
      <w:r>
        <w:rPr>
          <w:rFonts w:ascii="宋体" w:hAnsi="宋体" w:eastAsia="宋体"/>
          <w:color w:val="auto"/>
          <w:sz w:val="24"/>
          <w:szCs w:val="24"/>
        </w:rPr>
        <w:t>月</w:t>
      </w:r>
      <w:r>
        <w:rPr>
          <w:rFonts w:hint="eastAsia" w:ascii="Times New Roman" w:hAnsi="Times New Roman" w:eastAsia="宋体"/>
          <w:b/>
          <w:color w:val="auto"/>
          <w:sz w:val="24"/>
          <w:szCs w:val="24"/>
          <w:u w:val="single"/>
        </w:rPr>
        <w:t xml:space="preserve"> </w:t>
      </w:r>
      <w:r>
        <w:rPr>
          <w:rFonts w:hint="eastAsia" w:ascii="Times New Roman" w:hAnsi="Times New Roman" w:eastAsia="宋体"/>
          <w:b/>
          <w:color w:val="auto"/>
          <w:sz w:val="24"/>
          <w:szCs w:val="24"/>
          <w:u w:val="single"/>
          <w:lang w:val="en-US" w:eastAsia="zh-CN"/>
        </w:rPr>
        <w:t>9</w:t>
      </w:r>
      <w:bookmarkStart w:id="0" w:name="_GoBack"/>
      <w:bookmarkEnd w:id="0"/>
      <w:r>
        <w:rPr>
          <w:rFonts w:hint="eastAsia" w:ascii="Times New Roman" w:hAnsi="Times New Roman" w:eastAsia="宋体"/>
          <w:b/>
          <w:color w:val="auto"/>
          <w:sz w:val="24"/>
          <w:szCs w:val="24"/>
          <w:u w:val="single"/>
        </w:rPr>
        <w:t xml:space="preserve"> </w:t>
      </w:r>
      <w:r>
        <w:rPr>
          <w:rFonts w:ascii="宋体" w:hAnsi="宋体" w:eastAsia="宋体"/>
          <w:color w:val="auto"/>
          <w:sz w:val="24"/>
          <w:szCs w:val="24"/>
        </w:rPr>
        <w:t>日前完</w:t>
      </w:r>
      <w:r>
        <w:rPr>
          <w:rFonts w:ascii="宋体" w:hAnsi="宋体" w:eastAsia="宋体"/>
          <w:sz w:val="24"/>
          <w:szCs w:val="24"/>
        </w:rPr>
        <w:t>成全部</w:t>
      </w:r>
      <w:r>
        <w:rPr>
          <w:rFonts w:hint="eastAsia" w:ascii="宋体" w:hAnsi="宋体" w:eastAsia="宋体"/>
          <w:sz w:val="24"/>
          <w:szCs w:val="24"/>
        </w:rPr>
        <w:t>仪器设备的</w:t>
      </w:r>
      <w:r>
        <w:rPr>
          <w:rFonts w:ascii="宋体" w:hAnsi="宋体" w:eastAsia="宋体"/>
          <w:sz w:val="24"/>
          <w:szCs w:val="24"/>
        </w:rPr>
        <w:t>安装调试</w:t>
      </w:r>
      <w:r>
        <w:rPr>
          <w:rFonts w:hint="eastAsia" w:ascii="宋体" w:hAnsi="宋体" w:eastAsia="宋体"/>
          <w:sz w:val="24"/>
          <w:szCs w:val="24"/>
        </w:rPr>
        <w:t>，并</w:t>
      </w:r>
      <w:r>
        <w:rPr>
          <w:rFonts w:ascii="宋体" w:hAnsi="宋体" w:eastAsia="宋体"/>
          <w:sz w:val="24"/>
          <w:szCs w:val="24"/>
        </w:rPr>
        <w:t>交付使用</w:t>
      </w:r>
      <w:r>
        <w:rPr>
          <w:rFonts w:ascii="Times New Roman" w:hAnsi="Times New Roman" w:eastAsia="宋体"/>
          <w:sz w:val="24"/>
          <w:szCs w:val="24"/>
        </w:rPr>
        <w:t>(</w:t>
      </w:r>
      <w:r>
        <w:rPr>
          <w:rFonts w:ascii="宋体" w:hAnsi="宋体" w:eastAsia="宋体"/>
          <w:sz w:val="24"/>
          <w:szCs w:val="24"/>
        </w:rPr>
        <w:t>如由于采购人的原因造成合同延迟签订或验收的，时间顺延</w:t>
      </w:r>
      <w:r>
        <w:rPr>
          <w:rFonts w:ascii="Times New Roman" w:hAnsi="Times New Roman" w:eastAsia="宋体"/>
          <w:sz w:val="24"/>
          <w:szCs w:val="24"/>
        </w:rPr>
        <w:t>)</w:t>
      </w:r>
      <w:r>
        <w:rPr>
          <w:rFonts w:ascii="宋体" w:hAnsi="宋体" w:eastAsia="宋体"/>
          <w:sz w:val="24"/>
          <w:szCs w:val="24"/>
        </w:rPr>
        <w:t>。</w:t>
      </w:r>
      <w:r>
        <w:rPr>
          <w:rFonts w:hint="eastAsia" w:ascii="宋体" w:hAnsi="宋体" w:eastAsia="宋体"/>
          <w:sz w:val="24"/>
          <w:szCs w:val="24"/>
        </w:rPr>
        <w:t>乙方逾期交付物品，则每迟交一周货物应向甲方支付货款总额</w:t>
      </w:r>
      <w:r>
        <w:rPr>
          <w:rFonts w:hint="eastAsia" w:ascii="Times New Roman" w:hAnsi="Times New Roman" w:eastAsia="宋体"/>
          <w:sz w:val="24"/>
          <w:szCs w:val="24"/>
        </w:rPr>
        <w:t>5%</w:t>
      </w:r>
      <w:r>
        <w:rPr>
          <w:rFonts w:hint="eastAsia" w:ascii="宋体" w:hAnsi="宋体" w:eastAsia="宋体"/>
          <w:sz w:val="24"/>
          <w:szCs w:val="24"/>
        </w:rPr>
        <w:t>违约金  ，不足一周按一周计算。</w:t>
      </w:r>
    </w:p>
    <w:p w14:paraId="76FCE85A">
      <w:pPr>
        <w:spacing w:line="360" w:lineRule="auto"/>
        <w:ind w:firstLine="480" w:firstLineChars="200"/>
        <w:rPr>
          <w:rFonts w:ascii="宋体" w:hAnsi="宋体" w:eastAsia="宋体"/>
          <w:sz w:val="24"/>
          <w:szCs w:val="24"/>
        </w:rPr>
      </w:pPr>
      <w:r>
        <w:rPr>
          <w:rFonts w:hint="eastAsia" w:ascii="宋体" w:hAnsi="宋体" w:eastAsia="宋体"/>
          <w:sz w:val="24"/>
          <w:szCs w:val="24"/>
        </w:rPr>
        <w:t>⑵ 根据所购货物情况，甲方确定是否在发货前对所供货物进行检查，以保证所发货物与合同一致。所需费用由乙方承担。</w:t>
      </w:r>
    </w:p>
    <w:p w14:paraId="5503C679">
      <w:pPr>
        <w:spacing w:line="360" w:lineRule="auto"/>
        <w:ind w:firstLine="480" w:firstLineChars="200"/>
        <w:rPr>
          <w:rFonts w:ascii="宋体" w:hAnsi="宋体" w:eastAsia="宋体"/>
          <w:sz w:val="24"/>
          <w:szCs w:val="24"/>
        </w:rPr>
      </w:pPr>
      <w:r>
        <w:rPr>
          <w:rFonts w:hint="eastAsia" w:ascii="宋体" w:hAnsi="宋体" w:eastAsia="宋体"/>
          <w:sz w:val="24"/>
          <w:szCs w:val="24"/>
        </w:rPr>
        <w:t>⑶ 乙方交货地点：河南中医药大学指定地点。</w:t>
      </w:r>
    </w:p>
    <w:p w14:paraId="0769176D">
      <w:pPr>
        <w:spacing w:line="360" w:lineRule="auto"/>
        <w:ind w:firstLine="480" w:firstLineChars="200"/>
        <w:rPr>
          <w:rFonts w:ascii="宋体" w:hAnsi="宋体" w:eastAsia="宋体"/>
          <w:sz w:val="24"/>
          <w:szCs w:val="24"/>
        </w:rPr>
      </w:pPr>
      <w:r>
        <w:rPr>
          <w:rFonts w:hint="eastAsia" w:ascii="宋体" w:hAnsi="宋体" w:eastAsia="宋体"/>
          <w:sz w:val="24"/>
          <w:szCs w:val="24"/>
        </w:rPr>
        <w:t>⑷ 合同货物抵达甲方后，由甲乙双方一同清点货物数量，开箱检验表面状况，核对规格型号。并负责解决开箱检验清点发现的问题和赔偿。</w:t>
      </w:r>
    </w:p>
    <w:p w14:paraId="0BCDD5F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⑸ 乙方应将合同货物的产品序列号、用户手册、技术资料（包括详细装箱单、质量证书、设备说明书、使用手册和其它相关技术资料）及配件、随机工具等一并交付给甲方。</w:t>
      </w:r>
    </w:p>
    <w:p w14:paraId="5A39A83D">
      <w:pPr>
        <w:spacing w:line="360" w:lineRule="auto"/>
        <w:ind w:firstLine="480" w:firstLineChars="200"/>
        <w:rPr>
          <w:rFonts w:ascii="宋体" w:hAnsi="宋体" w:eastAsia="宋体"/>
          <w:sz w:val="24"/>
          <w:szCs w:val="24"/>
        </w:rPr>
      </w:pPr>
      <w:r>
        <w:rPr>
          <w:rFonts w:hint="eastAsia" w:ascii="宋体" w:hAnsi="宋体" w:eastAsia="宋体"/>
          <w:sz w:val="24"/>
          <w:szCs w:val="24"/>
        </w:rPr>
        <w:t>⑹ 专用工具及备品、备件应分别包装，并在包装箱外加以注明其用处。</w:t>
      </w:r>
    </w:p>
    <w:p w14:paraId="4F7D3D9E">
      <w:pPr>
        <w:spacing w:line="360" w:lineRule="auto"/>
        <w:ind w:firstLine="482" w:firstLineChars="200"/>
        <w:rPr>
          <w:rFonts w:ascii="宋体" w:hAnsi="宋体" w:eastAsia="宋体"/>
          <w:b/>
          <w:sz w:val="24"/>
          <w:szCs w:val="24"/>
        </w:rPr>
      </w:pPr>
      <w:r>
        <w:rPr>
          <w:rFonts w:hint="eastAsia" w:ascii="宋体" w:hAnsi="宋体" w:eastAsia="宋体"/>
          <w:b/>
          <w:sz w:val="24"/>
          <w:szCs w:val="24"/>
        </w:rPr>
        <w:t>四、合同货物的安装、调试</w:t>
      </w:r>
    </w:p>
    <w:p w14:paraId="11B33214">
      <w:pPr>
        <w:spacing w:line="360" w:lineRule="auto"/>
        <w:ind w:firstLine="480" w:firstLineChars="200"/>
        <w:rPr>
          <w:rFonts w:ascii="宋体" w:hAnsi="宋体" w:eastAsia="宋体"/>
          <w:sz w:val="24"/>
          <w:szCs w:val="24"/>
        </w:rPr>
      </w:pPr>
      <w:r>
        <w:rPr>
          <w:rFonts w:hint="eastAsia" w:ascii="宋体" w:hAnsi="宋体" w:eastAsia="宋体"/>
          <w:sz w:val="24"/>
          <w:szCs w:val="24"/>
        </w:rPr>
        <w:t>1. 乙方负责合同项下货物的安装调试至能够正常开机使用，且与合同要求的各项技术指标一致，符合各项安全标准，一切费用由乙方负责。</w:t>
      </w:r>
    </w:p>
    <w:p w14:paraId="072CACCC">
      <w:pPr>
        <w:spacing w:line="360" w:lineRule="auto"/>
        <w:ind w:firstLine="480" w:firstLineChars="200"/>
        <w:rPr>
          <w:rFonts w:ascii="宋体" w:hAnsi="宋体" w:eastAsia="宋体"/>
          <w:sz w:val="24"/>
          <w:szCs w:val="24"/>
        </w:rPr>
      </w:pPr>
      <w:r>
        <w:rPr>
          <w:rFonts w:hint="eastAsia" w:ascii="宋体" w:hAnsi="宋体" w:eastAsia="宋体"/>
          <w:sz w:val="24"/>
          <w:szCs w:val="24"/>
        </w:rPr>
        <w:t>2. 乙方安装时须对各安装场地内的其它设备、设施有良好保护措施。</w:t>
      </w:r>
    </w:p>
    <w:p w14:paraId="1F0A10C3">
      <w:pPr>
        <w:spacing w:line="360" w:lineRule="auto"/>
        <w:ind w:firstLine="482" w:firstLineChars="200"/>
        <w:rPr>
          <w:rFonts w:ascii="宋体" w:hAnsi="宋体" w:eastAsia="宋体"/>
          <w:b/>
          <w:sz w:val="24"/>
          <w:szCs w:val="24"/>
        </w:rPr>
      </w:pPr>
      <w:r>
        <w:rPr>
          <w:rFonts w:hint="eastAsia" w:ascii="宋体" w:hAnsi="宋体" w:eastAsia="宋体"/>
          <w:b/>
          <w:sz w:val="24"/>
          <w:szCs w:val="24"/>
        </w:rPr>
        <w:t>五、安全责任</w:t>
      </w:r>
    </w:p>
    <w:p w14:paraId="30B3D615">
      <w:pPr>
        <w:spacing w:line="360" w:lineRule="auto"/>
        <w:ind w:firstLine="480" w:firstLineChars="200"/>
        <w:rPr>
          <w:rFonts w:ascii="宋体" w:hAnsi="宋体" w:eastAsia="宋体"/>
          <w:sz w:val="24"/>
          <w:szCs w:val="24"/>
        </w:rPr>
      </w:pPr>
      <w:r>
        <w:rPr>
          <w:rFonts w:hint="eastAsia" w:ascii="宋体" w:hAnsi="宋体" w:eastAsia="宋体"/>
          <w:sz w:val="24"/>
          <w:szCs w:val="24"/>
        </w:rPr>
        <w:t>乙方在安装、调试合同货物过程中要严格执行国家有关人身安全及防火安全的规定，做好各项防护措施，防止各类事故的发生，若造成人身伤害及货物损坏事故等，则由乙方负全部责任。</w:t>
      </w:r>
    </w:p>
    <w:p w14:paraId="3E606AFA">
      <w:pPr>
        <w:spacing w:line="360" w:lineRule="auto"/>
        <w:ind w:firstLine="482" w:firstLineChars="200"/>
        <w:rPr>
          <w:rFonts w:ascii="宋体" w:hAnsi="宋体" w:eastAsia="宋体"/>
          <w:b/>
          <w:sz w:val="24"/>
          <w:szCs w:val="24"/>
        </w:rPr>
      </w:pPr>
      <w:r>
        <w:rPr>
          <w:rFonts w:hint="eastAsia" w:ascii="宋体" w:hAnsi="宋体" w:eastAsia="宋体"/>
          <w:b/>
          <w:sz w:val="24"/>
          <w:szCs w:val="24"/>
        </w:rPr>
        <w:t>六、货物的验收</w:t>
      </w:r>
    </w:p>
    <w:p w14:paraId="430B3105">
      <w:pPr>
        <w:spacing w:line="360" w:lineRule="auto"/>
        <w:ind w:firstLine="480" w:firstLineChars="200"/>
        <w:rPr>
          <w:rFonts w:ascii="宋体" w:hAnsi="宋体" w:eastAsia="宋体"/>
          <w:sz w:val="24"/>
          <w:szCs w:val="24"/>
        </w:rPr>
      </w:pPr>
      <w:r>
        <w:rPr>
          <w:rFonts w:hint="eastAsia" w:ascii="Times New Roman" w:hAnsi="Times New Roman" w:eastAsia="宋体"/>
          <w:sz w:val="24"/>
          <w:szCs w:val="24"/>
        </w:rPr>
        <w:t xml:space="preserve">1. </w:t>
      </w:r>
      <w:r>
        <w:rPr>
          <w:rFonts w:hint="eastAsia" w:ascii="宋体" w:hAnsi="宋体" w:eastAsia="宋体"/>
          <w:sz w:val="24"/>
          <w:szCs w:val="24"/>
        </w:rPr>
        <w:t>在甲方验收前，乙方应提交合同货物验收报告、每台仪器设备制造厂商出具的明细装箱单、每台仪器设备制造厂商出具的出厂质量证书、每台仪器设备制造厂商出具的使用说明书。</w:t>
      </w:r>
    </w:p>
    <w:p w14:paraId="20DE8B78">
      <w:pPr>
        <w:spacing w:line="360" w:lineRule="auto"/>
        <w:ind w:right="-82" w:rightChars="-39" w:firstLine="480" w:firstLineChars="200"/>
        <w:rPr>
          <w:rFonts w:ascii="宋体" w:hAnsi="宋体" w:eastAsia="宋体"/>
          <w:sz w:val="24"/>
          <w:szCs w:val="24"/>
        </w:rPr>
      </w:pPr>
      <w:r>
        <w:rPr>
          <w:rFonts w:hint="eastAsia" w:ascii="Times New Roman" w:hAnsi="Times New Roman" w:eastAsia="宋体"/>
          <w:sz w:val="24"/>
          <w:szCs w:val="24"/>
        </w:rPr>
        <w:t>2.</w:t>
      </w:r>
      <w:r>
        <w:rPr>
          <w:rFonts w:hint="eastAsia" w:ascii="宋体" w:hAnsi="宋体" w:eastAsia="宋体"/>
          <w:sz w:val="24"/>
          <w:szCs w:val="24"/>
        </w:rPr>
        <w:t xml:space="preserve"> 乙方应在甲方验收前，向甲方提供按本合同的技术规格、技术规范要求进行的测试报告和验收报告，验收以招投标文件、合同技术规格、产品相应的技术说明为标准。</w:t>
      </w:r>
    </w:p>
    <w:p w14:paraId="263A1B94">
      <w:pPr>
        <w:spacing w:line="360" w:lineRule="auto"/>
        <w:ind w:right="-82" w:rightChars="-39" w:firstLine="480" w:firstLineChars="200"/>
        <w:rPr>
          <w:rFonts w:ascii="宋体" w:hAnsi="宋体" w:eastAsia="宋体"/>
          <w:sz w:val="24"/>
          <w:szCs w:val="24"/>
        </w:rPr>
      </w:pPr>
      <w:r>
        <w:rPr>
          <w:rFonts w:hint="eastAsia" w:ascii="宋体" w:hAnsi="宋体" w:eastAsia="宋体"/>
          <w:sz w:val="24"/>
          <w:szCs w:val="24"/>
        </w:rPr>
        <w:t>3. 合同货物（系统）交货（完工）并完成操作培训、粘贴条码，甲方使用单位组织验收。验收应在甲乙双方共同参加下进行。</w:t>
      </w:r>
    </w:p>
    <w:p w14:paraId="33CFDB22">
      <w:pPr>
        <w:spacing w:line="360" w:lineRule="auto"/>
        <w:ind w:right="-82" w:rightChars="-39" w:firstLine="480" w:firstLineChars="200"/>
        <w:rPr>
          <w:rFonts w:ascii="宋体" w:hAnsi="宋体" w:eastAsia="宋体"/>
          <w:sz w:val="24"/>
          <w:szCs w:val="24"/>
        </w:rPr>
      </w:pPr>
      <w:r>
        <w:rPr>
          <w:rFonts w:hint="eastAsia" w:ascii="宋体" w:hAnsi="宋体" w:eastAsia="宋体"/>
          <w:sz w:val="24"/>
          <w:szCs w:val="24"/>
        </w:rPr>
        <w:t>4. 验收按国家有关规定、规范进行。验收时如发现所交付的货物有短装、次品、损坏或其它不符合本合同规定之情形者，甲方应做出详尽的现场记录，或由甲乙双方签署备忘录。此现场记录或备忘录可用作补充、缺失和更换损坏部件的有效证据。由此产生的有关费用由乙方承担。</w:t>
      </w:r>
    </w:p>
    <w:p w14:paraId="30870E37">
      <w:pPr>
        <w:spacing w:line="360" w:lineRule="auto"/>
        <w:ind w:firstLine="480" w:firstLineChars="200"/>
        <w:rPr>
          <w:rFonts w:ascii="宋体" w:hAnsi="宋体" w:eastAsia="宋体"/>
          <w:sz w:val="24"/>
          <w:szCs w:val="24"/>
        </w:rPr>
      </w:pPr>
      <w:r>
        <w:rPr>
          <w:rFonts w:hint="eastAsia" w:ascii="宋体" w:hAnsi="宋体" w:eastAsia="宋体"/>
          <w:sz w:val="24"/>
          <w:szCs w:val="24"/>
        </w:rPr>
        <w:t>5. 如果合同货物运输和安装调试过程中因事故造成货物短缺、损坏，乙方应及时安排换装，以保证合同货物安装调试的成功完成。换货的相关费用由乙方承担。</w:t>
      </w:r>
    </w:p>
    <w:p w14:paraId="772DC4F5">
      <w:pPr>
        <w:spacing w:line="360" w:lineRule="auto"/>
        <w:ind w:firstLine="480" w:firstLineChars="200"/>
        <w:rPr>
          <w:rFonts w:ascii="宋体" w:hAnsi="宋体" w:eastAsia="宋体"/>
          <w:sz w:val="24"/>
          <w:szCs w:val="24"/>
        </w:rPr>
      </w:pPr>
      <w:r>
        <w:rPr>
          <w:rFonts w:hint="eastAsia" w:ascii="宋体" w:hAnsi="宋体" w:eastAsia="宋体"/>
          <w:sz w:val="24"/>
          <w:szCs w:val="24"/>
        </w:rPr>
        <w:t>6. 国内产品或合资厂的产品必须具备出厂合格证。</w:t>
      </w:r>
    </w:p>
    <w:p w14:paraId="7B13E656">
      <w:pPr>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7. 进口产品必须具备省级（或相当于省级）商检部门的检验证明，进口免税设备需要同时准备免税证明、报关单、外贸合同。</w:t>
      </w:r>
    </w:p>
    <w:p w14:paraId="7188DDD1">
      <w:pPr>
        <w:spacing w:line="360" w:lineRule="auto"/>
        <w:ind w:firstLine="480" w:firstLineChars="200"/>
        <w:rPr>
          <w:rFonts w:ascii="宋体" w:hAnsi="宋体" w:eastAsia="宋体"/>
          <w:sz w:val="24"/>
          <w:szCs w:val="24"/>
        </w:rPr>
      </w:pPr>
      <w:r>
        <w:rPr>
          <w:rFonts w:hint="eastAsia" w:ascii="宋体" w:hAnsi="宋体" w:eastAsia="宋体"/>
          <w:sz w:val="24"/>
          <w:szCs w:val="24"/>
        </w:rPr>
        <w:t>8. 乙方保证合同项下提供的货物不侵犯任何第三方的专利、商标或版权。否则，乙方须承担对第三方的专利或版权的侵权责任并承担因此而发生的所有费用。</w:t>
      </w:r>
    </w:p>
    <w:p w14:paraId="042D85DE">
      <w:pPr>
        <w:spacing w:line="360" w:lineRule="auto"/>
        <w:ind w:firstLine="480" w:firstLineChars="200"/>
        <w:rPr>
          <w:rFonts w:ascii="宋体" w:hAnsi="宋体" w:eastAsia="宋体"/>
          <w:sz w:val="24"/>
          <w:szCs w:val="24"/>
        </w:rPr>
      </w:pPr>
      <w:r>
        <w:rPr>
          <w:rFonts w:hint="eastAsia" w:ascii="宋体" w:hAnsi="宋体" w:eastAsia="宋体"/>
          <w:sz w:val="24"/>
          <w:szCs w:val="24"/>
        </w:rPr>
        <w:t>9. 合同货物验收未能通过的，乙方负责及时整改。若整改后仍未能合格的，甲方依法追究其经济及法律责任。</w:t>
      </w:r>
    </w:p>
    <w:p w14:paraId="44FB580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10. 验收合格后双方共同签署验收报告，验收合格日期以最后的签字日为准。</w:t>
      </w:r>
    </w:p>
    <w:p w14:paraId="1C7AC368">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七、培训</w:t>
      </w:r>
    </w:p>
    <w:p w14:paraId="1C77D7B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乙方为甲方提供操作及维护培训，主要内容为货物的基本结构、性能、主要部件的构造及原理，日常使用操作、保养与管理，常见故障的排除，紧急情况的处理等，培训地点主要在货物安装现场或按甲乙双方协商安排。与培训相关的未尽事宜按招标文件的要求及投标文件中提供的方案执行。如需要可另附培训协议。</w:t>
      </w:r>
    </w:p>
    <w:p w14:paraId="262BC758">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八、付款方式</w:t>
      </w:r>
    </w:p>
    <w:p w14:paraId="44C83DA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中标的货物安装调试，采购方组织有关人员及使用单位联合验收，验收合格后采购方支付合同价的总额。</w:t>
      </w:r>
    </w:p>
    <w:p w14:paraId="1D26A2D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申请付款时必须提交以下文件和资料：1、资金支付申请书；2、由甲方签字的验收报告；3、教学、科研设备需开具增值税专用发票，其他货物、服务需开具增值税普通发票。</w:t>
      </w:r>
    </w:p>
    <w:p w14:paraId="0C81F23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具体步骤：乙方填写《资金支付申请书》、开具抬头为甲方的发票，并送交甲方；甲方填写《验收报告》，乙方凭《资金支付申请书》和《验收报告》由甲方支付货款。</w:t>
      </w:r>
    </w:p>
    <w:p w14:paraId="12CA8E09">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九、质保期限</w:t>
      </w:r>
    </w:p>
    <w:p w14:paraId="17B95880">
      <w:pPr>
        <w:spacing w:line="360" w:lineRule="auto"/>
        <w:ind w:firstLine="480" w:firstLineChars="200"/>
        <w:rPr>
          <w:rFonts w:ascii="宋体" w:hAnsi="宋体" w:eastAsia="宋体" w:cs="宋体"/>
          <w:b/>
          <w:sz w:val="24"/>
          <w:szCs w:val="24"/>
        </w:rPr>
      </w:pPr>
      <w:r>
        <w:rPr>
          <w:rFonts w:hint="eastAsia" w:ascii="宋体" w:hAnsi="宋体" w:eastAsia="宋体" w:cs="宋体"/>
          <w:sz w:val="24"/>
          <w:szCs w:val="24"/>
        </w:rPr>
        <w:t>本合同货物整机</w:t>
      </w:r>
      <w:r>
        <w:rPr>
          <w:rFonts w:hint="eastAsia" w:ascii="宋体" w:hAnsi="宋体" w:eastAsia="宋体" w:cs="宋体"/>
          <w:bCs/>
          <w:color w:val="auto"/>
          <w:sz w:val="24"/>
          <w:szCs w:val="24"/>
        </w:rPr>
        <w:t>免费质保期</w:t>
      </w:r>
      <w:r>
        <w:rPr>
          <w:rFonts w:hint="eastAsia" w:ascii="宋体" w:hAnsi="宋体" w:eastAsia="宋体" w:cs="宋体"/>
          <w:b/>
          <w:bCs/>
          <w:color w:val="auto"/>
          <w:sz w:val="24"/>
          <w:szCs w:val="24"/>
        </w:rPr>
        <w:t>三</w:t>
      </w:r>
      <w:r>
        <w:rPr>
          <w:rFonts w:hint="eastAsia" w:ascii="宋体" w:hAnsi="宋体" w:eastAsia="宋体" w:cs="宋体"/>
          <w:bCs/>
          <w:color w:val="auto"/>
          <w:sz w:val="24"/>
          <w:szCs w:val="24"/>
        </w:rPr>
        <w:t>年</w:t>
      </w:r>
      <w:r>
        <w:rPr>
          <w:rFonts w:hint="eastAsia" w:ascii="宋体" w:hAnsi="宋体" w:eastAsia="宋体" w:cs="宋体"/>
          <w:color w:val="auto"/>
          <w:sz w:val="24"/>
          <w:szCs w:val="24"/>
        </w:rPr>
        <w:t>。质保</w:t>
      </w:r>
      <w:r>
        <w:rPr>
          <w:rFonts w:hint="eastAsia" w:ascii="宋体" w:hAnsi="宋体" w:eastAsia="宋体" w:cs="宋体"/>
          <w:sz w:val="24"/>
          <w:szCs w:val="24"/>
        </w:rPr>
        <w:t>期自甲乙双方在设备验收报告签字之日起计算。</w:t>
      </w:r>
    </w:p>
    <w:p w14:paraId="139018B0">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十、售后服务</w:t>
      </w:r>
      <w:r>
        <w:rPr>
          <w:rFonts w:hint="eastAsia" w:ascii="宋体" w:hAnsi="宋体" w:eastAsia="宋体" w:cs="宋体"/>
          <w:b/>
          <w:sz w:val="24"/>
          <w:szCs w:val="24"/>
        </w:rPr>
        <w:tab/>
      </w:r>
    </w:p>
    <w:p w14:paraId="3AF15B42">
      <w:pPr>
        <w:tabs>
          <w:tab w:val="left" w:pos="420"/>
        </w:tabs>
        <w:spacing w:line="440" w:lineRule="exact"/>
        <w:ind w:firstLine="480" w:firstLineChars="200"/>
        <w:rPr>
          <w:rFonts w:ascii="宋体" w:hAnsi="宋体" w:eastAsia="宋体" w:cs="宋体"/>
          <w:color w:val="auto"/>
          <w:sz w:val="24"/>
          <w:szCs w:val="24"/>
        </w:rPr>
      </w:pPr>
      <w:r>
        <w:rPr>
          <w:rFonts w:hint="eastAsia" w:ascii="宋体" w:hAnsi="宋体" w:eastAsia="宋体" w:cs="宋体"/>
          <w:sz w:val="24"/>
          <w:szCs w:val="24"/>
        </w:rPr>
        <w:t>1.</w:t>
      </w:r>
      <w:r>
        <w:rPr>
          <w:rFonts w:hint="eastAsia" w:ascii="宋体" w:hAnsi="宋体" w:eastAsia="宋体" w:cs="宋体"/>
          <w:szCs w:val="21"/>
        </w:rPr>
        <w:t xml:space="preserve"> </w:t>
      </w:r>
      <w:r>
        <w:rPr>
          <w:rFonts w:hint="eastAsia" w:ascii="宋体" w:hAnsi="宋体" w:eastAsia="宋体" w:cs="宋体"/>
          <w:sz w:val="24"/>
          <w:szCs w:val="24"/>
        </w:rPr>
        <w:t>乙方须指派</w:t>
      </w:r>
      <w:r>
        <w:rPr>
          <w:rFonts w:hint="eastAsia" w:ascii="宋体" w:hAnsi="宋体" w:eastAsia="宋体" w:cs="宋体"/>
          <w:color w:val="auto"/>
          <w:sz w:val="24"/>
          <w:szCs w:val="24"/>
        </w:rPr>
        <w:t>专人负责与甲方联系售后服务事宜（联系人：</w:t>
      </w:r>
      <w:r>
        <w:rPr>
          <w:rFonts w:hint="eastAsia" w:ascii="宋体" w:hAnsi="宋体" w:eastAsia="宋体" w:cs="宋体"/>
          <w:b/>
          <w:bCs/>
          <w:color w:val="auto"/>
          <w:sz w:val="24"/>
          <w:szCs w:val="24"/>
        </w:rPr>
        <w:t>张东飞</w:t>
      </w:r>
      <w:r>
        <w:rPr>
          <w:rFonts w:hint="eastAsia" w:ascii="宋体" w:hAnsi="宋体" w:eastAsia="宋体" w:cs="宋体"/>
          <w:color w:val="auto"/>
          <w:sz w:val="24"/>
          <w:szCs w:val="24"/>
        </w:rPr>
        <w:t>，电话：</w:t>
      </w:r>
      <w:r>
        <w:rPr>
          <w:rFonts w:hint="eastAsia" w:ascii="宋体" w:hAnsi="宋体" w:eastAsia="宋体" w:cs="宋体"/>
          <w:b/>
          <w:bCs/>
          <w:color w:val="auto"/>
          <w:sz w:val="24"/>
          <w:szCs w:val="24"/>
        </w:rPr>
        <w:t>0371-67766004）</w:t>
      </w:r>
      <w:r>
        <w:rPr>
          <w:rFonts w:hint="eastAsia" w:ascii="宋体" w:hAnsi="宋体" w:eastAsia="宋体" w:cs="宋体"/>
          <w:color w:val="auto"/>
          <w:sz w:val="24"/>
          <w:szCs w:val="24"/>
        </w:rPr>
        <w:t xml:space="preserve">。 </w:t>
      </w:r>
    </w:p>
    <w:p w14:paraId="3466F6E1">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 质保期内，乙方负责对其提供的货物上门进行硬件维修、软件维护和升级等免费服务，甲方不再支付任何费用，但人为因素或自然灾害造成的损坏除外。</w:t>
      </w:r>
    </w:p>
    <w:p w14:paraId="7D2FED1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 质保期内，乙方在接到甲方系统故障或问题告知后，</w:t>
      </w:r>
      <w:r>
        <w:rPr>
          <w:rFonts w:hint="eastAsia" w:ascii="宋体" w:hAnsi="宋体" w:eastAsia="宋体" w:cs="宋体"/>
          <w:sz w:val="24"/>
          <w:szCs w:val="24"/>
          <w:lang w:val="en-US" w:eastAsia="zh-CN"/>
        </w:rPr>
        <w:t>2</w:t>
      </w:r>
      <w:r>
        <w:rPr>
          <w:rFonts w:hint="eastAsia" w:ascii="宋体" w:hAnsi="宋体" w:eastAsia="宋体" w:cs="宋体"/>
          <w:sz w:val="24"/>
          <w:szCs w:val="24"/>
        </w:rPr>
        <w:t>小时内做出回应，8小时内到达现场排除故障。</w:t>
      </w:r>
    </w:p>
    <w:p w14:paraId="1DDFFFA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 质保期满后，乙方负责终身维修，维修需要更换零配件时，按出厂价收取，不再收取其他费用。维修响应时间为接到报修后24小时内。乙方不定期免费提供仪器维护和进行软件升级和技术指导。质保期满后，乙方根据用户需要提供使用人员继续培训服务，费用视情况而定。</w:t>
      </w:r>
    </w:p>
    <w:p w14:paraId="55553D75">
      <w:pPr>
        <w:spacing w:line="360" w:lineRule="auto"/>
        <w:ind w:firstLine="482" w:firstLineChars="200"/>
        <w:rPr>
          <w:rFonts w:ascii="宋体" w:hAnsi="宋体" w:eastAsia="宋体"/>
          <w:b/>
          <w:bCs/>
          <w:sz w:val="24"/>
          <w:szCs w:val="24"/>
        </w:rPr>
      </w:pPr>
      <w:r>
        <w:rPr>
          <w:rFonts w:hint="eastAsia" w:ascii="宋体" w:hAnsi="宋体" w:eastAsia="宋体"/>
          <w:b/>
          <w:bCs/>
          <w:sz w:val="24"/>
          <w:szCs w:val="24"/>
        </w:rPr>
        <w:t>十一、索赔</w:t>
      </w:r>
    </w:p>
    <w:p w14:paraId="3EB654C2">
      <w:pPr>
        <w:spacing w:line="360" w:lineRule="auto"/>
        <w:ind w:firstLine="480" w:firstLineChars="200"/>
        <w:rPr>
          <w:rFonts w:ascii="宋体" w:hAnsi="宋体" w:eastAsia="宋体"/>
          <w:sz w:val="24"/>
          <w:szCs w:val="24"/>
        </w:rPr>
      </w:pPr>
      <w:r>
        <w:rPr>
          <w:rFonts w:hint="eastAsia" w:ascii="宋体" w:hAnsi="宋体" w:eastAsia="宋体"/>
          <w:sz w:val="24"/>
          <w:szCs w:val="24"/>
        </w:rPr>
        <w:t>1. 甲方如对乙方所提供的货物有异议，甲方有权根据有关检验结果向乙方提出索赔。</w:t>
      </w:r>
    </w:p>
    <w:p w14:paraId="2E3F6F0B">
      <w:pPr>
        <w:spacing w:line="360" w:lineRule="auto"/>
        <w:ind w:firstLine="480" w:firstLineChars="200"/>
        <w:rPr>
          <w:rFonts w:ascii="宋体" w:hAnsi="宋体" w:eastAsia="宋体"/>
          <w:sz w:val="24"/>
          <w:szCs w:val="24"/>
        </w:rPr>
      </w:pPr>
      <w:r>
        <w:rPr>
          <w:rFonts w:hint="eastAsia" w:ascii="宋体" w:hAnsi="宋体" w:eastAsia="宋体"/>
          <w:sz w:val="24"/>
          <w:szCs w:val="24"/>
        </w:rPr>
        <w:t>2. 在合同执行期间，如果乙方对甲方提出的索赔和差异负有责任，乙方应按照甲方同意的下列一种或多种方式解决索赔事宜：</w:t>
      </w:r>
    </w:p>
    <w:p w14:paraId="7482FE2A">
      <w:pPr>
        <w:spacing w:line="360" w:lineRule="auto"/>
        <w:ind w:firstLine="480" w:firstLineChars="200"/>
        <w:rPr>
          <w:rFonts w:ascii="宋体" w:hAnsi="宋体" w:eastAsia="宋体"/>
          <w:sz w:val="24"/>
          <w:szCs w:val="24"/>
        </w:rPr>
      </w:pPr>
      <w:r>
        <w:rPr>
          <w:rFonts w:hint="eastAsia" w:ascii="宋体" w:hAnsi="宋体" w:eastAsia="宋体"/>
          <w:sz w:val="24"/>
          <w:szCs w:val="24"/>
        </w:rPr>
        <w:t>⑴ 乙方同意退货，并按合同规定的同种货币将货款退还给甲方，并承担由此发生的一切损失和费用。</w:t>
      </w:r>
    </w:p>
    <w:p w14:paraId="5FA105F3">
      <w:pPr>
        <w:spacing w:line="360" w:lineRule="auto"/>
        <w:ind w:firstLine="480" w:firstLineChars="200"/>
        <w:rPr>
          <w:rFonts w:ascii="宋体" w:hAnsi="宋体" w:eastAsia="宋体"/>
          <w:sz w:val="24"/>
          <w:szCs w:val="24"/>
        </w:rPr>
      </w:pPr>
      <w:r>
        <w:rPr>
          <w:rFonts w:hint="eastAsia" w:ascii="宋体" w:hAnsi="宋体" w:eastAsia="宋体"/>
          <w:sz w:val="24"/>
          <w:szCs w:val="24"/>
        </w:rPr>
        <w:t>⑵ 根据货物低劣程度、损坏程度以及甲方所遭受损失的数额甲乙双方商定降低货物的价格。</w:t>
      </w:r>
    </w:p>
    <w:p w14:paraId="72919044">
      <w:pPr>
        <w:spacing w:line="360" w:lineRule="auto"/>
        <w:ind w:firstLine="480" w:firstLineChars="200"/>
        <w:rPr>
          <w:rFonts w:ascii="宋体" w:hAnsi="宋体" w:eastAsia="宋体"/>
          <w:sz w:val="24"/>
          <w:szCs w:val="24"/>
        </w:rPr>
      </w:pPr>
      <w:r>
        <w:rPr>
          <w:rFonts w:hint="eastAsia" w:ascii="宋体" w:hAnsi="宋体" w:eastAsia="宋体"/>
          <w:sz w:val="24"/>
          <w:szCs w:val="24"/>
        </w:rPr>
        <w:t>⑶ 用符合规格、质量和性能要求的新零件、部件或货物来更换有缺陷的部分或修补缺陷的部分，乙方应承担一切费用和风险并负有甲方所发生的一切直接费用。同时，延长质量保证期。</w:t>
      </w:r>
    </w:p>
    <w:p w14:paraId="7D4F5E46">
      <w:pPr>
        <w:spacing w:line="360" w:lineRule="auto"/>
        <w:ind w:firstLine="480" w:firstLineChars="200"/>
        <w:rPr>
          <w:rFonts w:ascii="宋体" w:hAnsi="宋体" w:eastAsia="宋体"/>
          <w:sz w:val="24"/>
          <w:szCs w:val="24"/>
        </w:rPr>
      </w:pPr>
      <w:r>
        <w:rPr>
          <w:rFonts w:hint="eastAsia" w:ascii="宋体" w:hAnsi="宋体" w:eastAsia="宋体"/>
          <w:sz w:val="24"/>
          <w:szCs w:val="24"/>
        </w:rPr>
        <w:t>3. 如果在甲方发出索赔通知后</w:t>
      </w:r>
      <w:r>
        <w:rPr>
          <w:rFonts w:hint="eastAsia" w:ascii="宋体" w:hAnsi="宋体" w:eastAsia="宋体"/>
          <w:sz w:val="24"/>
          <w:szCs w:val="24"/>
          <w:shd w:val="clear" w:color="auto" w:fill="FFFFFF"/>
        </w:rPr>
        <w:t>30</w:t>
      </w:r>
      <w:r>
        <w:rPr>
          <w:rFonts w:hint="eastAsia" w:ascii="宋体" w:hAnsi="宋体" w:eastAsia="宋体"/>
          <w:sz w:val="24"/>
          <w:szCs w:val="24"/>
        </w:rPr>
        <w:t>天内，乙方未作答复，上述索赔应视为已被乙方接受。甲方将从合同款项中扣回索赔金额。如果这些金额不足以补偿索赔金额，甲方有权向乙方提出不足部分的补偿。</w:t>
      </w:r>
    </w:p>
    <w:p w14:paraId="622A6C5D">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十二、违约责任</w:t>
      </w:r>
    </w:p>
    <w:p w14:paraId="1BD7536C">
      <w:pPr>
        <w:spacing w:line="360" w:lineRule="auto"/>
        <w:ind w:firstLine="480" w:firstLineChars="200"/>
        <w:rPr>
          <w:rFonts w:ascii="宋体" w:hAnsi="宋体" w:eastAsia="宋体"/>
          <w:sz w:val="24"/>
          <w:szCs w:val="24"/>
        </w:rPr>
      </w:pPr>
      <w:r>
        <w:rPr>
          <w:rFonts w:hint="eastAsia" w:ascii="宋体" w:hAnsi="宋体" w:eastAsia="宋体" w:cs="宋体"/>
          <w:sz w:val="24"/>
          <w:szCs w:val="24"/>
        </w:rPr>
        <w:t>1. 乙方未能交付货物，则向甲方支付合同总额20%的违约金</w:t>
      </w:r>
      <w:r>
        <w:rPr>
          <w:rFonts w:hint="eastAsia" w:ascii="宋体" w:hAnsi="宋体" w:eastAsia="宋体"/>
          <w:sz w:val="24"/>
          <w:szCs w:val="24"/>
        </w:rPr>
        <w:t>，同时履约保证金不予退还。</w:t>
      </w:r>
    </w:p>
    <w:p w14:paraId="64345BFF">
      <w:pPr>
        <w:spacing w:line="360" w:lineRule="auto"/>
        <w:ind w:firstLine="480" w:firstLineChars="200"/>
        <w:rPr>
          <w:rFonts w:ascii="宋体" w:hAnsi="宋体" w:eastAsia="宋体"/>
          <w:sz w:val="24"/>
          <w:szCs w:val="24"/>
        </w:rPr>
      </w:pPr>
      <w:r>
        <w:rPr>
          <w:rFonts w:hint="eastAsia" w:ascii="宋体" w:hAnsi="宋体" w:eastAsia="宋体"/>
          <w:sz w:val="24"/>
          <w:szCs w:val="24"/>
        </w:rPr>
        <w:t>2. 乙方交付的货物与投标文件或合同不相符的，甲方有权拒收，乙方向甲方支付合同总额30%的违约金，同时履约保证金不予退还。</w:t>
      </w:r>
    </w:p>
    <w:p w14:paraId="4725EFB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 甲方无正当理由拒收货物，拒付货款的，则向乙方支付合同总额10%的违约金。</w:t>
      </w:r>
    </w:p>
    <w:p w14:paraId="3FA8C3A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 乙方逾期交付货物（交付最终时间以甲方收到乙方提交的申请验收函之日为准，但若货物经验收不合格的，交付最终时间以最终验收合格日期为准。），则每迟交一周货物应向甲方支付货款总额5%违约金（不可抗力除外），违约金乙方同意从货款中扣除，逾期超过四周，甲方有权解除本合同，乙方应向甲方支付合同总额20%的违约金，同时履约保证金不予退还”。</w:t>
      </w:r>
    </w:p>
    <w:p w14:paraId="5D2639B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 甲方逾期付款，则每延迟一周付款甲方应向乙方支付货款总额0.5%违约金，违约金总额不超过合同总价的5%（不可抗力除外）。</w:t>
      </w:r>
    </w:p>
    <w:p w14:paraId="26FBA4F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 乙方必须按甲方指定地点按时交货，货物不符合质量标准的，乙方必须按时负责调换至合格为止，并承担由此产生的实际费用。不能按时调换至合格者，按不能交货处理。乙方若不能按时交货，甲方将不保证按时付款，所造成的一切后果由乙方承担。</w:t>
      </w:r>
    </w:p>
    <w:p w14:paraId="7FA298EF">
      <w:pPr>
        <w:spacing w:line="580" w:lineRule="exact"/>
        <w:ind w:firstLine="480" w:firstLineChars="200"/>
        <w:rPr>
          <w:rFonts w:ascii="宋体" w:hAnsi="宋体" w:eastAsia="宋体" w:cs="宋体"/>
          <w:sz w:val="24"/>
          <w:szCs w:val="24"/>
        </w:rPr>
      </w:pPr>
      <w:r>
        <w:rPr>
          <w:rFonts w:hint="eastAsia" w:ascii="宋体" w:hAnsi="宋体" w:eastAsia="宋体" w:cs="宋体"/>
          <w:sz w:val="24"/>
          <w:szCs w:val="24"/>
        </w:rPr>
        <w:t>7.若乙方提出换货，则按第十二条第2款执行。</w:t>
      </w:r>
    </w:p>
    <w:p w14:paraId="10049640">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十三、争端的解决</w:t>
      </w:r>
    </w:p>
    <w:p w14:paraId="41FA75A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1.凡与本合同有关而引起的一切争执和分歧，甲乙双方通过友好协商解决或提交河南省政府采购管理部门调解，如协商或调解不成，任何一方可以向甲方所在地仲裁委员会申请仲裁裁决。</w:t>
      </w:r>
    </w:p>
    <w:p w14:paraId="5091E87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2.在进行仲裁期间，除提交仲裁机构的事项外，合同其他部分应继续履行。</w:t>
      </w:r>
    </w:p>
    <w:p w14:paraId="1A0DA24A">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十四、</w:t>
      </w:r>
      <w:r>
        <w:rPr>
          <w:rFonts w:hint="eastAsia" w:ascii="宋体" w:hAnsi="宋体" w:eastAsia="宋体" w:cs="宋体"/>
          <w:b/>
          <w:bCs/>
          <w:sz w:val="24"/>
          <w:szCs w:val="24"/>
        </w:rPr>
        <w:t>合同组成</w:t>
      </w:r>
    </w:p>
    <w:p w14:paraId="1CEB5DB6">
      <w:pPr>
        <w:spacing w:line="360" w:lineRule="auto"/>
        <w:ind w:firstLine="480" w:firstLineChars="200"/>
        <w:rPr>
          <w:rFonts w:ascii="宋体" w:hAnsi="宋体" w:eastAsia="宋体" w:cs="宋体"/>
          <w:sz w:val="24"/>
          <w:szCs w:val="24"/>
        </w:rPr>
      </w:pPr>
      <w:r>
        <w:rPr>
          <w:rFonts w:hint="eastAsia" w:ascii="宋体" w:hAnsi="宋体" w:eastAsia="宋体" w:cs="宋体"/>
          <w:bCs/>
          <w:sz w:val="24"/>
          <w:szCs w:val="24"/>
        </w:rPr>
        <w:t>本项目</w:t>
      </w:r>
      <w:r>
        <w:rPr>
          <w:rFonts w:hint="eastAsia" w:ascii="宋体" w:hAnsi="宋体" w:eastAsia="宋体" w:cs="宋体"/>
          <w:sz w:val="24"/>
          <w:szCs w:val="24"/>
        </w:rPr>
        <w:t>招标文件、投标文件及下列附件等均为本合同的有效组成部分，与本合同具有同样法律效力。</w:t>
      </w:r>
    </w:p>
    <w:p w14:paraId="15CF708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 中标通知书（附件1）；</w:t>
      </w:r>
    </w:p>
    <w:p w14:paraId="43A9197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2. </w:t>
      </w:r>
      <w:r>
        <w:rPr>
          <w:rFonts w:hint="eastAsia" w:ascii="宋体" w:hAnsi="宋体" w:eastAsia="宋体" w:cs="宋体"/>
          <w:bCs/>
          <w:sz w:val="24"/>
          <w:szCs w:val="24"/>
        </w:rPr>
        <w:t>中标货物分项报价一览表</w:t>
      </w:r>
      <w:r>
        <w:rPr>
          <w:rFonts w:hint="eastAsia" w:ascii="宋体" w:hAnsi="宋体" w:eastAsia="宋体" w:cs="宋体"/>
          <w:sz w:val="24"/>
          <w:szCs w:val="24"/>
        </w:rPr>
        <w:t>（附件2）；</w:t>
      </w:r>
    </w:p>
    <w:p w14:paraId="223E28D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 中标货物制造商</w:t>
      </w:r>
      <w:r>
        <w:rPr>
          <w:rFonts w:hint="eastAsia" w:ascii="宋体" w:hAnsi="宋体" w:eastAsia="宋体" w:cs="宋体"/>
          <w:bCs/>
          <w:sz w:val="24"/>
          <w:szCs w:val="24"/>
        </w:rPr>
        <w:t>配置清单</w:t>
      </w:r>
      <w:r>
        <w:rPr>
          <w:rFonts w:hint="eastAsia" w:ascii="宋体" w:hAnsi="宋体" w:eastAsia="宋体" w:cs="宋体"/>
          <w:sz w:val="24"/>
          <w:szCs w:val="24"/>
        </w:rPr>
        <w:t>（附件3）；</w:t>
      </w:r>
    </w:p>
    <w:p w14:paraId="432925C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 中标货物技术参数及配置表（附件4）；</w:t>
      </w:r>
    </w:p>
    <w:p w14:paraId="6E002AB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 供货商质量保障及服务表（附件5）；</w:t>
      </w:r>
    </w:p>
    <w:p w14:paraId="329F75B5">
      <w:pPr>
        <w:spacing w:line="360" w:lineRule="auto"/>
        <w:ind w:firstLine="480" w:firstLineChars="200"/>
        <w:rPr>
          <w:rFonts w:ascii="宋体" w:hAnsi="宋体" w:eastAsia="宋体"/>
          <w:sz w:val="24"/>
          <w:szCs w:val="24"/>
        </w:rPr>
      </w:pPr>
      <w:r>
        <w:rPr>
          <w:rFonts w:hint="eastAsia" w:ascii="宋体" w:hAnsi="宋体" w:eastAsia="宋体"/>
          <w:sz w:val="24"/>
          <w:szCs w:val="24"/>
        </w:rPr>
        <w:t>6. 中</w:t>
      </w:r>
      <w:r>
        <w:rPr>
          <w:rFonts w:ascii="宋体" w:hAnsi="宋体" w:eastAsia="宋体"/>
          <w:sz w:val="24"/>
          <w:szCs w:val="24"/>
        </w:rPr>
        <w:t>标</w:t>
      </w:r>
      <w:r>
        <w:rPr>
          <w:rFonts w:hint="eastAsia" w:ascii="宋体" w:hAnsi="宋体" w:eastAsia="宋体"/>
          <w:sz w:val="24"/>
          <w:szCs w:val="24"/>
        </w:rPr>
        <w:t>货物安装培训计划表（附件6）</w:t>
      </w:r>
    </w:p>
    <w:p w14:paraId="79E2DBD7">
      <w:pPr>
        <w:spacing w:line="360" w:lineRule="auto"/>
        <w:ind w:firstLine="480" w:firstLineChars="200"/>
        <w:rPr>
          <w:rFonts w:ascii="宋体" w:hAnsi="Courier New" w:eastAsia="宋体" w:cs="宋体"/>
          <w:sz w:val="24"/>
          <w:szCs w:val="24"/>
        </w:rPr>
      </w:pPr>
      <w:r>
        <w:rPr>
          <w:rFonts w:hint="eastAsia" w:ascii="宋体" w:hAnsi="宋体" w:eastAsia="宋体" w:cs="宋体"/>
          <w:sz w:val="24"/>
          <w:szCs w:val="24"/>
        </w:rPr>
        <w:t>7. 中标货物制造商售后服务承诺（附件</w:t>
      </w:r>
      <w:r>
        <w:rPr>
          <w:rFonts w:hint="eastAsia" w:ascii="宋体" w:hAnsi="Courier New" w:eastAsia="宋体" w:cs="宋体"/>
          <w:sz w:val="24"/>
          <w:szCs w:val="24"/>
        </w:rPr>
        <w:t>7）</w:t>
      </w:r>
    </w:p>
    <w:p w14:paraId="02AA44E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 临床使用的医疗器械应提供一份以下复印件：①医疗器械注册证；②医疗器械产品注册登记表；③产品检验报告；④医疗器械生产许可证；⑤医疗器械经营企业许可证等复印件一份。并保证以上证件均在有效期内。</w:t>
      </w:r>
    </w:p>
    <w:p w14:paraId="46D9F143">
      <w:pPr>
        <w:keepNext w:val="0"/>
        <w:keepLines w:val="0"/>
        <w:pageBreakBefore w:val="0"/>
        <w:widowControl w:val="0"/>
        <w:kinsoku/>
        <w:wordWrap/>
        <w:overflowPunct/>
        <w:topLinePunct w:val="0"/>
        <w:autoSpaceDE/>
        <w:autoSpaceDN/>
        <w:bidi w:val="0"/>
        <w:adjustRightInd/>
        <w:snapToGrid/>
        <w:spacing w:line="312" w:lineRule="auto"/>
        <w:ind w:firstLine="482" w:firstLineChars="200"/>
        <w:textAlignment w:val="auto"/>
        <w:rPr>
          <w:rFonts w:ascii="宋体" w:hAnsi="宋体" w:eastAsia="宋体" w:cs="宋体"/>
          <w:b/>
          <w:sz w:val="24"/>
          <w:szCs w:val="24"/>
        </w:rPr>
      </w:pPr>
      <w:r>
        <w:rPr>
          <w:rFonts w:hint="eastAsia" w:ascii="宋体" w:hAnsi="宋体" w:eastAsia="宋体" w:cs="宋体"/>
          <w:b/>
          <w:sz w:val="24"/>
          <w:szCs w:val="24"/>
        </w:rPr>
        <w:t>十五、合同解除和终止</w:t>
      </w:r>
    </w:p>
    <w:p w14:paraId="0C5D8237">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1. 甲乙双方各自完成合同规定的责任和义务，合同自然终止。</w:t>
      </w:r>
    </w:p>
    <w:p w14:paraId="33264339">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ascii="宋体" w:hAnsi="宋体" w:eastAsia="宋体"/>
          <w:sz w:val="24"/>
          <w:szCs w:val="24"/>
        </w:rPr>
      </w:pPr>
      <w:r>
        <w:rPr>
          <w:rFonts w:hint="eastAsia" w:ascii="宋体" w:hAnsi="宋体" w:eastAsia="宋体"/>
          <w:sz w:val="24"/>
          <w:szCs w:val="24"/>
        </w:rPr>
        <w:t>2. 如果一方严重违反合同，并在收到对方违约通知书后在</w:t>
      </w:r>
      <w:r>
        <w:rPr>
          <w:rFonts w:hint="eastAsia" w:ascii="宋体" w:hAnsi="宋体" w:eastAsia="宋体"/>
          <w:sz w:val="24"/>
          <w:szCs w:val="24"/>
          <w:shd w:val="clear" w:color="auto" w:fill="FFFFFF"/>
        </w:rPr>
        <w:t>30</w:t>
      </w:r>
      <w:r>
        <w:rPr>
          <w:rFonts w:hint="eastAsia" w:ascii="宋体" w:hAnsi="宋体" w:eastAsia="宋体"/>
          <w:sz w:val="24"/>
          <w:szCs w:val="24"/>
        </w:rPr>
        <w:t>天内或在指定期限内仍未能改正违约的，另一方可立即终止本合同。</w:t>
      </w:r>
    </w:p>
    <w:p w14:paraId="198E8858">
      <w:pPr>
        <w:keepNext w:val="0"/>
        <w:keepLines w:val="0"/>
        <w:pageBreakBefore w:val="0"/>
        <w:widowControl w:val="0"/>
        <w:kinsoku/>
        <w:wordWrap/>
        <w:overflowPunct/>
        <w:topLinePunct w:val="0"/>
        <w:autoSpaceDE/>
        <w:autoSpaceDN/>
        <w:bidi w:val="0"/>
        <w:adjustRightInd/>
        <w:snapToGrid/>
        <w:spacing w:line="312" w:lineRule="auto"/>
        <w:ind w:firstLine="482" w:firstLineChars="200"/>
        <w:textAlignment w:val="auto"/>
        <w:rPr>
          <w:rFonts w:ascii="宋体" w:hAnsi="宋体" w:eastAsia="宋体" w:cs="宋体"/>
          <w:b/>
          <w:sz w:val="24"/>
          <w:szCs w:val="24"/>
        </w:rPr>
      </w:pPr>
      <w:r>
        <w:rPr>
          <w:rFonts w:hint="eastAsia" w:ascii="宋体" w:hAnsi="宋体" w:eastAsia="宋体" w:cs="宋体"/>
          <w:b/>
          <w:sz w:val="24"/>
          <w:szCs w:val="24"/>
        </w:rPr>
        <w:t>十六、其它</w:t>
      </w:r>
    </w:p>
    <w:p w14:paraId="688DD268">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1.本合同乙方不得将本合同全部或部分分包给他人。乙方在任何情况下都不得全部或部分转让其应履行的合同义务。</w:t>
      </w:r>
    </w:p>
    <w:p w14:paraId="2B3EB77B">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2.合同若有变更须经甲乙双方签字确认。</w:t>
      </w:r>
    </w:p>
    <w:p w14:paraId="5B64DEDC">
      <w:pPr>
        <w:spacing w:line="360" w:lineRule="auto"/>
        <w:ind w:firstLine="480" w:firstLineChars="200"/>
        <w:rPr>
          <w:rFonts w:ascii="宋体" w:hAnsi="宋体" w:eastAsia="宋体"/>
          <w:b/>
          <w:sz w:val="24"/>
          <w:szCs w:val="24"/>
        </w:rPr>
      </w:pPr>
      <w:r>
        <w:rPr>
          <w:rFonts w:hint="eastAsia" w:ascii="宋体" w:hAnsi="宋体" w:eastAsia="宋体" w:cs="宋体"/>
          <w:sz w:val="24"/>
          <w:szCs w:val="24"/>
        </w:rPr>
        <w:t>3．在执行本合同的过程中，所有经双方签署确认的文件（包括会议纪要、补充协议、合同修</w:t>
      </w:r>
      <w:r>
        <w:drawing>
          <wp:inline distT="0" distB="0" distL="114300" distR="114300">
            <wp:extent cx="6578600" cy="9173845"/>
            <wp:effectExtent l="0" t="0" r="0" b="825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6"/>
                    <a:stretch>
                      <a:fillRect/>
                    </a:stretch>
                  </pic:blipFill>
                  <pic:spPr>
                    <a:xfrm>
                      <a:off x="0" y="0"/>
                      <a:ext cx="6578600" cy="9173845"/>
                    </a:xfrm>
                    <a:prstGeom prst="rect">
                      <a:avLst/>
                    </a:prstGeom>
                    <a:noFill/>
                    <a:ln>
                      <a:noFill/>
                    </a:ln>
                  </pic:spPr>
                </pic:pic>
              </a:graphicData>
            </a:graphic>
          </wp:inline>
        </w:drawing>
      </w:r>
    </w:p>
    <w:p w14:paraId="2AE0FF21">
      <w:pPr>
        <w:rPr>
          <w:rFonts w:hint="eastAsia" w:ascii="宋体" w:hAnsi="宋体" w:eastAsia="宋体"/>
          <w:b/>
          <w:sz w:val="24"/>
          <w:szCs w:val="24"/>
        </w:rPr>
      </w:pPr>
      <w:r>
        <w:rPr>
          <w:rFonts w:hint="eastAsia" w:ascii="宋体" w:hAnsi="宋体" w:eastAsia="宋体"/>
          <w:b/>
          <w:sz w:val="24"/>
          <w:szCs w:val="24"/>
        </w:rPr>
        <w:br w:type="page"/>
      </w:r>
    </w:p>
    <w:p w14:paraId="3410F88D">
      <w:pPr>
        <w:spacing w:line="360" w:lineRule="auto"/>
        <w:rPr>
          <w:rFonts w:ascii="宋体" w:hAnsi="宋体" w:eastAsia="宋体"/>
          <w:b/>
          <w:sz w:val="24"/>
          <w:szCs w:val="24"/>
        </w:rPr>
      </w:pPr>
      <w:r>
        <w:rPr>
          <w:rFonts w:hint="eastAsia" w:ascii="宋体" w:hAnsi="宋体" w:eastAsia="宋体"/>
          <w:b/>
          <w:sz w:val="24"/>
          <w:szCs w:val="24"/>
        </w:rPr>
        <w:t>附件</w:t>
      </w:r>
      <w:r>
        <w:rPr>
          <w:rFonts w:hint="eastAsia" w:ascii="Times New Roman" w:hAnsi="Times New Roman" w:eastAsia="宋体"/>
          <w:b/>
          <w:sz w:val="24"/>
          <w:szCs w:val="24"/>
        </w:rPr>
        <w:t>1</w:t>
      </w:r>
      <w:r>
        <w:rPr>
          <w:rFonts w:hint="eastAsia" w:ascii="宋体" w:hAnsi="宋体" w:eastAsia="宋体"/>
          <w:b/>
          <w:sz w:val="24"/>
          <w:szCs w:val="24"/>
        </w:rPr>
        <w:t>：</w:t>
      </w:r>
    </w:p>
    <w:p w14:paraId="0267E5B9">
      <w:pPr>
        <w:spacing w:line="360" w:lineRule="auto"/>
        <w:rPr>
          <w:rFonts w:ascii="宋体" w:hAnsi="宋体" w:eastAsia="宋体"/>
          <w:b/>
          <w:sz w:val="24"/>
          <w:szCs w:val="24"/>
        </w:rPr>
      </w:pPr>
      <w:r>
        <w:rPr>
          <w:rFonts w:hint="eastAsia" w:ascii="宋体" w:hAnsi="宋体" w:eastAsia="宋体"/>
          <w:b/>
          <w:sz w:val="24"/>
          <w:szCs w:val="24"/>
        </w:rPr>
        <w:t>中标通知书（扫描）</w:t>
      </w:r>
    </w:p>
    <w:p w14:paraId="2B44A77F">
      <w:pPr>
        <w:spacing w:line="360" w:lineRule="auto"/>
        <w:rPr>
          <w:rFonts w:ascii="宋体" w:hAnsi="宋体" w:eastAsia="宋体"/>
          <w:b/>
          <w:sz w:val="30"/>
          <w:szCs w:val="30"/>
        </w:rPr>
      </w:pPr>
      <w:r>
        <w:rPr>
          <w:rFonts w:hint="eastAsia" w:ascii="宋体" w:hAnsi="宋体" w:eastAsia="宋体"/>
          <w:b/>
          <w:sz w:val="30"/>
          <w:szCs w:val="30"/>
        </w:rPr>
        <w:t xml:space="preserve"> </w:t>
      </w:r>
      <w:r>
        <w:rPr>
          <w:rFonts w:hint="eastAsia" w:ascii="宋体" w:hAnsi="宋体" w:eastAsia="宋体"/>
          <w:b/>
          <w:sz w:val="30"/>
          <w:szCs w:val="30"/>
        </w:rPr>
        <w:drawing>
          <wp:inline distT="0" distB="0" distL="114300" distR="114300">
            <wp:extent cx="5774055" cy="8164195"/>
            <wp:effectExtent l="0" t="0" r="17145" b="8255"/>
            <wp:docPr id="1" name="图片 1" descr="8f2677994ada6c5a5cdb6ab0a3f29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f2677994ada6c5a5cdb6ab0a3f29c4"/>
                    <pic:cNvPicPr>
                      <a:picLocks noChangeAspect="1"/>
                    </pic:cNvPicPr>
                  </pic:nvPicPr>
                  <pic:blipFill>
                    <a:blip r:embed="rId7" cstate="print"/>
                    <a:stretch>
                      <a:fillRect/>
                    </a:stretch>
                  </pic:blipFill>
                  <pic:spPr>
                    <a:xfrm>
                      <a:off x="0" y="0"/>
                      <a:ext cx="5774055" cy="8164195"/>
                    </a:xfrm>
                    <a:prstGeom prst="rect">
                      <a:avLst/>
                    </a:prstGeom>
                  </pic:spPr>
                </pic:pic>
              </a:graphicData>
            </a:graphic>
          </wp:inline>
        </w:drawing>
      </w:r>
    </w:p>
    <w:p w14:paraId="33D0CCA4">
      <w:pPr>
        <w:spacing w:line="440" w:lineRule="exact"/>
        <w:rPr>
          <w:rFonts w:ascii="楷体_GB2312" w:hAnsi="宋体" w:eastAsia="宋体" w:cs="宋体"/>
          <w:sz w:val="24"/>
          <w:szCs w:val="24"/>
        </w:rPr>
      </w:pPr>
      <w:r>
        <w:rPr>
          <w:rFonts w:ascii="楷体_GB2312" w:hAnsi="宋体" w:eastAsia="宋体" w:cs="宋体"/>
          <w:sz w:val="24"/>
          <w:szCs w:val="24"/>
        </w:rPr>
        <w:t xml:space="preserve"> </w:t>
      </w:r>
    </w:p>
    <w:p w14:paraId="69B0AA39">
      <w:pPr>
        <w:widowControl/>
        <w:jc w:val="left"/>
        <w:rPr>
          <w:rFonts w:ascii="宋体" w:hAnsi="宋体" w:eastAsia="宋体" w:cs="宋体"/>
          <w:b/>
          <w:sz w:val="24"/>
          <w:szCs w:val="24"/>
        </w:rPr>
        <w:sectPr>
          <w:footerReference r:id="rId3" w:type="default"/>
          <w:pgSz w:w="11906" w:h="16838"/>
          <w:pgMar w:top="851" w:right="849" w:bottom="851" w:left="851" w:header="851" w:footer="992" w:gutter="0"/>
          <w:cols w:space="720" w:num="1"/>
          <w:docGrid w:type="lines" w:linePitch="312" w:charSpace="0"/>
        </w:sectPr>
      </w:pPr>
    </w:p>
    <w:p w14:paraId="5BE21A56">
      <w:pPr>
        <w:spacing w:line="440" w:lineRule="exact"/>
        <w:rPr>
          <w:rFonts w:ascii="宋体" w:hAnsi="宋体" w:eastAsia="宋体" w:cs="宋体"/>
          <w:b/>
          <w:sz w:val="24"/>
          <w:szCs w:val="24"/>
        </w:rPr>
      </w:pPr>
      <w:r>
        <w:rPr>
          <w:rFonts w:hint="eastAsia" w:ascii="宋体" w:hAnsi="宋体" w:eastAsia="宋体" w:cs="宋体"/>
          <w:b/>
          <w:sz w:val="24"/>
          <w:szCs w:val="24"/>
        </w:rPr>
        <w:t>附件2</w:t>
      </w:r>
    </w:p>
    <w:p w14:paraId="5968DDE8">
      <w:pPr>
        <w:spacing w:line="440" w:lineRule="exact"/>
        <w:rPr>
          <w:rFonts w:ascii="楷体_GB2312" w:hAnsi="宋体" w:eastAsia="宋体" w:cs="宋体"/>
          <w:sz w:val="24"/>
          <w:szCs w:val="24"/>
        </w:rPr>
      </w:pPr>
      <w:r>
        <w:rPr>
          <w:rFonts w:hint="eastAsia" w:ascii="宋体" w:hAnsi="宋体" w:eastAsia="宋体" w:cs="宋体"/>
          <w:b/>
          <w:bCs/>
          <w:sz w:val="24"/>
          <w:szCs w:val="24"/>
        </w:rPr>
        <w:t>投标货物分项报价一览表</w:t>
      </w:r>
    </w:p>
    <w:tbl>
      <w:tblPr>
        <w:tblStyle w:val="7"/>
        <w:tblW w:w="15223"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553"/>
        <w:gridCol w:w="1076"/>
        <w:gridCol w:w="1656"/>
        <w:gridCol w:w="606"/>
        <w:gridCol w:w="606"/>
        <w:gridCol w:w="816"/>
        <w:gridCol w:w="1414"/>
        <w:gridCol w:w="1480"/>
        <w:gridCol w:w="812"/>
        <w:gridCol w:w="812"/>
        <w:gridCol w:w="691"/>
        <w:gridCol w:w="1314"/>
        <w:gridCol w:w="1241"/>
        <w:gridCol w:w="606"/>
      </w:tblGrid>
      <w:tr w14:paraId="66CA0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tcPr>
          <w:p w14:paraId="57EC1ABC">
            <w:pPr>
              <w:spacing w:line="440" w:lineRule="exact"/>
              <w:rPr>
                <w:rFonts w:ascii="宋体" w:hAnsi="宋体" w:eastAsia="宋体"/>
                <w:color w:val="auto"/>
                <w:szCs w:val="21"/>
              </w:rPr>
            </w:pPr>
            <w:r>
              <w:rPr>
                <w:rFonts w:hint="eastAsia" w:ascii="宋体" w:hAnsi="宋体" w:eastAsia="宋体"/>
                <w:color w:val="auto"/>
                <w:szCs w:val="21"/>
              </w:rPr>
              <w:t>序号</w:t>
            </w:r>
          </w:p>
        </w:tc>
        <w:tc>
          <w:tcPr>
            <w:tcW w:w="1553" w:type="dxa"/>
            <w:tcBorders>
              <w:top w:val="single" w:color="auto" w:sz="4" w:space="0"/>
              <w:left w:val="single" w:color="auto" w:sz="4" w:space="0"/>
              <w:bottom w:val="single" w:color="auto" w:sz="4" w:space="0"/>
              <w:right w:val="single" w:color="auto" w:sz="4" w:space="0"/>
            </w:tcBorders>
            <w:vAlign w:val="center"/>
          </w:tcPr>
          <w:p w14:paraId="3BD550A3">
            <w:pPr>
              <w:jc w:val="center"/>
              <w:rPr>
                <w:rFonts w:ascii="宋体" w:hAnsi="宋体" w:eastAsia="宋体"/>
                <w:color w:val="auto"/>
                <w:szCs w:val="21"/>
              </w:rPr>
            </w:pPr>
            <w:r>
              <w:rPr>
                <w:rFonts w:hint="eastAsia" w:ascii="宋体" w:hAnsi="宋体" w:eastAsia="宋体"/>
                <w:color w:val="auto"/>
                <w:szCs w:val="21"/>
              </w:rPr>
              <w:t>货物名称</w:t>
            </w:r>
          </w:p>
        </w:tc>
        <w:tc>
          <w:tcPr>
            <w:tcW w:w="1076" w:type="dxa"/>
            <w:tcBorders>
              <w:top w:val="single" w:color="auto" w:sz="4" w:space="0"/>
              <w:left w:val="single" w:color="auto" w:sz="4" w:space="0"/>
              <w:bottom w:val="single" w:color="auto" w:sz="4" w:space="0"/>
              <w:right w:val="single" w:color="auto" w:sz="4" w:space="0"/>
            </w:tcBorders>
            <w:vAlign w:val="center"/>
          </w:tcPr>
          <w:p w14:paraId="66A84CF1">
            <w:pPr>
              <w:widowControl/>
              <w:jc w:val="center"/>
              <w:rPr>
                <w:rFonts w:ascii="宋体" w:hAnsi="宋体" w:eastAsia="宋体"/>
                <w:color w:val="auto"/>
                <w:kern w:val="0"/>
                <w:szCs w:val="21"/>
              </w:rPr>
            </w:pPr>
            <w:r>
              <w:rPr>
                <w:rFonts w:hint="eastAsia" w:ascii="宋体" w:hAnsi="宋体" w:eastAsia="宋体"/>
                <w:color w:val="auto"/>
                <w:szCs w:val="21"/>
              </w:rPr>
              <w:t>型号规格</w:t>
            </w:r>
          </w:p>
        </w:tc>
        <w:tc>
          <w:tcPr>
            <w:tcW w:w="1656" w:type="dxa"/>
            <w:tcBorders>
              <w:top w:val="single" w:color="auto" w:sz="4" w:space="0"/>
              <w:left w:val="single" w:color="auto" w:sz="4" w:space="0"/>
              <w:bottom w:val="single" w:color="auto" w:sz="4" w:space="0"/>
              <w:right w:val="single" w:color="auto" w:sz="4" w:space="0"/>
            </w:tcBorders>
            <w:vAlign w:val="center"/>
          </w:tcPr>
          <w:p w14:paraId="77141C27">
            <w:pPr>
              <w:widowControl/>
              <w:jc w:val="center"/>
              <w:rPr>
                <w:rFonts w:ascii="宋体" w:hAnsi="宋体" w:eastAsia="宋体"/>
                <w:color w:val="auto"/>
                <w:kern w:val="0"/>
                <w:szCs w:val="21"/>
              </w:rPr>
            </w:pPr>
            <w:r>
              <w:rPr>
                <w:rFonts w:hint="eastAsia" w:ascii="宋体" w:hAnsi="宋体" w:eastAsia="宋体"/>
                <w:color w:val="auto"/>
                <w:kern w:val="0"/>
                <w:szCs w:val="21"/>
              </w:rPr>
              <w:t>制造商</w:t>
            </w:r>
          </w:p>
        </w:tc>
        <w:tc>
          <w:tcPr>
            <w:tcW w:w="606" w:type="dxa"/>
            <w:tcBorders>
              <w:top w:val="single" w:color="auto" w:sz="4" w:space="0"/>
              <w:left w:val="single" w:color="auto" w:sz="4" w:space="0"/>
              <w:bottom w:val="single" w:color="auto" w:sz="4" w:space="0"/>
              <w:right w:val="single" w:color="auto" w:sz="4" w:space="0"/>
            </w:tcBorders>
            <w:vAlign w:val="center"/>
          </w:tcPr>
          <w:p w14:paraId="35054FD8">
            <w:pPr>
              <w:widowControl/>
              <w:jc w:val="center"/>
              <w:rPr>
                <w:rFonts w:ascii="宋体" w:hAnsi="宋体" w:eastAsia="宋体"/>
                <w:color w:val="auto"/>
                <w:kern w:val="0"/>
                <w:szCs w:val="21"/>
              </w:rPr>
            </w:pPr>
            <w:r>
              <w:rPr>
                <w:rFonts w:hint="eastAsia" w:ascii="宋体" w:hAnsi="宋体" w:eastAsia="宋体"/>
                <w:color w:val="auto"/>
                <w:kern w:val="0"/>
                <w:szCs w:val="21"/>
              </w:rPr>
              <w:t>产</w:t>
            </w:r>
          </w:p>
          <w:p w14:paraId="66339C7F">
            <w:pPr>
              <w:widowControl/>
              <w:jc w:val="center"/>
              <w:rPr>
                <w:rFonts w:ascii="宋体" w:hAnsi="宋体" w:eastAsia="宋体"/>
                <w:color w:val="auto"/>
                <w:kern w:val="0"/>
                <w:szCs w:val="21"/>
              </w:rPr>
            </w:pPr>
            <w:r>
              <w:rPr>
                <w:rFonts w:hint="eastAsia" w:ascii="宋体" w:hAnsi="宋体" w:eastAsia="宋体"/>
                <w:color w:val="auto"/>
                <w:kern w:val="0"/>
                <w:szCs w:val="21"/>
              </w:rPr>
              <w:t>地</w:t>
            </w:r>
          </w:p>
        </w:tc>
        <w:tc>
          <w:tcPr>
            <w:tcW w:w="606" w:type="dxa"/>
            <w:tcBorders>
              <w:top w:val="single" w:color="auto" w:sz="4" w:space="0"/>
              <w:left w:val="single" w:color="auto" w:sz="4" w:space="0"/>
              <w:bottom w:val="single" w:color="auto" w:sz="4" w:space="0"/>
              <w:right w:val="single" w:color="auto" w:sz="4" w:space="0"/>
            </w:tcBorders>
            <w:vAlign w:val="center"/>
          </w:tcPr>
          <w:p w14:paraId="2879E5D8">
            <w:pPr>
              <w:jc w:val="center"/>
              <w:rPr>
                <w:rFonts w:ascii="宋体" w:hAnsi="宋体" w:eastAsia="宋体"/>
                <w:color w:val="auto"/>
                <w:szCs w:val="21"/>
              </w:rPr>
            </w:pPr>
            <w:r>
              <w:rPr>
                <w:rFonts w:hint="eastAsia" w:ascii="宋体" w:hAnsi="宋体" w:eastAsia="宋体"/>
                <w:color w:val="auto"/>
                <w:szCs w:val="21"/>
              </w:rPr>
              <w:t>单</w:t>
            </w:r>
          </w:p>
          <w:p w14:paraId="18331FB7">
            <w:pPr>
              <w:jc w:val="center"/>
              <w:rPr>
                <w:rFonts w:ascii="宋体" w:hAnsi="宋体" w:eastAsia="宋体"/>
                <w:color w:val="auto"/>
                <w:szCs w:val="21"/>
              </w:rPr>
            </w:pPr>
            <w:r>
              <w:rPr>
                <w:rFonts w:hint="eastAsia" w:ascii="宋体" w:hAnsi="宋体" w:eastAsia="宋体"/>
                <w:color w:val="auto"/>
                <w:szCs w:val="21"/>
              </w:rPr>
              <w:t>位</w:t>
            </w:r>
          </w:p>
        </w:tc>
        <w:tc>
          <w:tcPr>
            <w:tcW w:w="816" w:type="dxa"/>
            <w:tcBorders>
              <w:top w:val="single" w:color="auto" w:sz="4" w:space="0"/>
              <w:left w:val="single" w:color="auto" w:sz="4" w:space="0"/>
              <w:bottom w:val="single" w:color="auto" w:sz="4" w:space="0"/>
              <w:right w:val="single" w:color="auto" w:sz="4" w:space="0"/>
            </w:tcBorders>
            <w:vAlign w:val="center"/>
          </w:tcPr>
          <w:p w14:paraId="71F9BE48">
            <w:pPr>
              <w:jc w:val="center"/>
              <w:rPr>
                <w:rFonts w:ascii="宋体" w:hAnsi="宋体" w:eastAsia="宋体"/>
                <w:color w:val="auto"/>
                <w:szCs w:val="21"/>
              </w:rPr>
            </w:pPr>
            <w:r>
              <w:rPr>
                <w:rFonts w:hint="eastAsia" w:ascii="宋体" w:hAnsi="宋体" w:eastAsia="宋体"/>
                <w:color w:val="auto"/>
                <w:szCs w:val="21"/>
              </w:rPr>
              <w:t>数量</w:t>
            </w:r>
          </w:p>
        </w:tc>
        <w:tc>
          <w:tcPr>
            <w:tcW w:w="1414" w:type="dxa"/>
            <w:tcBorders>
              <w:top w:val="single" w:color="auto" w:sz="4" w:space="0"/>
              <w:left w:val="single" w:color="auto" w:sz="4" w:space="0"/>
              <w:bottom w:val="single" w:color="auto" w:sz="4" w:space="0"/>
              <w:right w:val="single" w:color="auto" w:sz="4" w:space="0"/>
            </w:tcBorders>
            <w:vAlign w:val="center"/>
          </w:tcPr>
          <w:p w14:paraId="46EF846C">
            <w:pPr>
              <w:jc w:val="center"/>
              <w:rPr>
                <w:rFonts w:ascii="宋体" w:hAnsi="宋体" w:eastAsia="宋体"/>
                <w:color w:val="auto"/>
                <w:szCs w:val="21"/>
              </w:rPr>
            </w:pPr>
            <w:r>
              <w:rPr>
                <w:rFonts w:hint="eastAsia" w:ascii="宋体" w:hAnsi="宋体" w:eastAsia="宋体"/>
                <w:color w:val="auto"/>
                <w:szCs w:val="21"/>
              </w:rPr>
              <w:t>单价（RMB）</w:t>
            </w:r>
          </w:p>
        </w:tc>
        <w:tc>
          <w:tcPr>
            <w:tcW w:w="1480" w:type="dxa"/>
            <w:tcBorders>
              <w:top w:val="single" w:color="auto" w:sz="4" w:space="0"/>
              <w:left w:val="single" w:color="auto" w:sz="4" w:space="0"/>
              <w:bottom w:val="single" w:color="auto" w:sz="4" w:space="0"/>
              <w:right w:val="single" w:color="auto" w:sz="4" w:space="0"/>
            </w:tcBorders>
            <w:vAlign w:val="center"/>
          </w:tcPr>
          <w:p w14:paraId="244E89A5">
            <w:pPr>
              <w:jc w:val="center"/>
              <w:rPr>
                <w:rFonts w:ascii="宋体" w:hAnsi="宋体" w:eastAsia="宋体"/>
                <w:color w:val="auto"/>
                <w:szCs w:val="21"/>
              </w:rPr>
            </w:pPr>
            <w:r>
              <w:rPr>
                <w:rFonts w:hint="eastAsia" w:ascii="宋体" w:hAnsi="宋体" w:eastAsia="宋体"/>
                <w:color w:val="auto"/>
                <w:szCs w:val="21"/>
              </w:rPr>
              <w:t>小计（RMB）</w:t>
            </w:r>
          </w:p>
        </w:tc>
        <w:tc>
          <w:tcPr>
            <w:tcW w:w="812" w:type="dxa"/>
            <w:tcBorders>
              <w:top w:val="single" w:color="auto" w:sz="4" w:space="0"/>
              <w:left w:val="single" w:color="auto" w:sz="4" w:space="0"/>
              <w:bottom w:val="single" w:color="auto" w:sz="4" w:space="0"/>
              <w:right w:val="single" w:color="auto" w:sz="4" w:space="0"/>
            </w:tcBorders>
            <w:vAlign w:val="center"/>
          </w:tcPr>
          <w:p w14:paraId="13752B37">
            <w:pPr>
              <w:ind w:right="-107" w:rightChars="-51"/>
              <w:jc w:val="center"/>
              <w:rPr>
                <w:rFonts w:ascii="宋体" w:hAnsi="宋体" w:eastAsia="宋体"/>
                <w:color w:val="auto"/>
                <w:szCs w:val="21"/>
              </w:rPr>
            </w:pPr>
            <w:r>
              <w:rPr>
                <w:rFonts w:hint="eastAsia" w:ascii="宋体" w:hAnsi="宋体" w:eastAsia="宋体"/>
                <w:color w:val="auto"/>
                <w:szCs w:val="21"/>
              </w:rPr>
              <w:t>运输及</w:t>
            </w:r>
          </w:p>
          <w:p w14:paraId="48D9168D">
            <w:pPr>
              <w:ind w:right="-107" w:rightChars="-51"/>
              <w:jc w:val="center"/>
              <w:rPr>
                <w:rFonts w:ascii="宋体" w:hAnsi="宋体" w:eastAsia="宋体"/>
                <w:color w:val="auto"/>
                <w:szCs w:val="21"/>
              </w:rPr>
            </w:pPr>
            <w:r>
              <w:rPr>
                <w:rFonts w:hint="eastAsia" w:ascii="宋体" w:hAnsi="宋体" w:eastAsia="宋体"/>
                <w:color w:val="auto"/>
                <w:szCs w:val="21"/>
              </w:rPr>
              <w:t>保险费</w:t>
            </w:r>
          </w:p>
        </w:tc>
        <w:tc>
          <w:tcPr>
            <w:tcW w:w="812" w:type="dxa"/>
            <w:tcBorders>
              <w:top w:val="single" w:color="auto" w:sz="4" w:space="0"/>
              <w:left w:val="single" w:color="auto" w:sz="4" w:space="0"/>
              <w:bottom w:val="single" w:color="auto" w:sz="4" w:space="0"/>
              <w:right w:val="single" w:color="auto" w:sz="4" w:space="0"/>
            </w:tcBorders>
            <w:vAlign w:val="center"/>
          </w:tcPr>
          <w:p w14:paraId="55E85400">
            <w:pPr>
              <w:ind w:right="-107" w:rightChars="-51"/>
              <w:jc w:val="center"/>
              <w:rPr>
                <w:rFonts w:ascii="宋体" w:hAnsi="宋体" w:eastAsia="宋体"/>
                <w:color w:val="auto"/>
                <w:szCs w:val="21"/>
              </w:rPr>
            </w:pPr>
            <w:r>
              <w:rPr>
                <w:rFonts w:hint="eastAsia" w:ascii="宋体" w:hAnsi="宋体" w:eastAsia="宋体"/>
                <w:color w:val="auto"/>
                <w:szCs w:val="21"/>
              </w:rPr>
              <w:t>技术</w:t>
            </w:r>
          </w:p>
          <w:p w14:paraId="3D53889F">
            <w:pPr>
              <w:ind w:right="-107" w:rightChars="-51"/>
              <w:jc w:val="center"/>
              <w:rPr>
                <w:rFonts w:ascii="宋体" w:hAnsi="宋体" w:eastAsia="宋体"/>
                <w:color w:val="auto"/>
                <w:szCs w:val="21"/>
              </w:rPr>
            </w:pPr>
            <w:r>
              <w:rPr>
                <w:rFonts w:hint="eastAsia" w:ascii="宋体" w:hAnsi="宋体" w:eastAsia="宋体"/>
                <w:color w:val="auto"/>
                <w:szCs w:val="21"/>
              </w:rPr>
              <w:t>服务费</w:t>
            </w:r>
          </w:p>
        </w:tc>
        <w:tc>
          <w:tcPr>
            <w:tcW w:w="691" w:type="dxa"/>
            <w:tcBorders>
              <w:top w:val="single" w:color="auto" w:sz="4" w:space="0"/>
              <w:left w:val="single" w:color="auto" w:sz="4" w:space="0"/>
              <w:bottom w:val="single" w:color="auto" w:sz="4" w:space="0"/>
              <w:right w:val="single" w:color="auto" w:sz="4" w:space="0"/>
            </w:tcBorders>
            <w:vAlign w:val="center"/>
          </w:tcPr>
          <w:p w14:paraId="5BDED616">
            <w:pPr>
              <w:jc w:val="center"/>
              <w:rPr>
                <w:rFonts w:ascii="宋体" w:hAnsi="宋体" w:eastAsia="宋体"/>
                <w:color w:val="auto"/>
                <w:szCs w:val="21"/>
              </w:rPr>
            </w:pPr>
            <w:r>
              <w:rPr>
                <w:rFonts w:hint="eastAsia" w:ascii="宋体" w:hAnsi="宋体" w:eastAsia="宋体"/>
                <w:color w:val="auto"/>
                <w:szCs w:val="21"/>
              </w:rPr>
              <w:t>税费</w:t>
            </w:r>
          </w:p>
        </w:tc>
        <w:tc>
          <w:tcPr>
            <w:tcW w:w="1314" w:type="dxa"/>
            <w:tcBorders>
              <w:top w:val="single" w:color="auto" w:sz="4" w:space="0"/>
              <w:left w:val="single" w:color="auto" w:sz="4" w:space="0"/>
              <w:bottom w:val="single" w:color="auto" w:sz="4" w:space="0"/>
              <w:right w:val="single" w:color="auto" w:sz="4" w:space="0"/>
            </w:tcBorders>
            <w:vAlign w:val="center"/>
          </w:tcPr>
          <w:p w14:paraId="44A21DC3">
            <w:pPr>
              <w:jc w:val="center"/>
              <w:rPr>
                <w:rFonts w:ascii="宋体" w:hAnsi="宋体" w:eastAsia="宋体"/>
                <w:color w:val="auto"/>
                <w:szCs w:val="21"/>
              </w:rPr>
            </w:pPr>
            <w:r>
              <w:rPr>
                <w:rFonts w:hint="eastAsia" w:ascii="宋体" w:hAnsi="宋体" w:eastAsia="宋体"/>
                <w:color w:val="auto"/>
                <w:szCs w:val="21"/>
              </w:rPr>
              <w:t>交货日期</w:t>
            </w:r>
          </w:p>
        </w:tc>
        <w:tc>
          <w:tcPr>
            <w:tcW w:w="1241" w:type="dxa"/>
            <w:tcBorders>
              <w:top w:val="single" w:color="auto" w:sz="4" w:space="0"/>
              <w:left w:val="single" w:color="auto" w:sz="4" w:space="0"/>
              <w:bottom w:val="single" w:color="auto" w:sz="4" w:space="0"/>
              <w:right w:val="single" w:color="auto" w:sz="4" w:space="0"/>
            </w:tcBorders>
            <w:vAlign w:val="center"/>
          </w:tcPr>
          <w:p w14:paraId="2114C933">
            <w:pPr>
              <w:jc w:val="center"/>
              <w:rPr>
                <w:rFonts w:ascii="宋体" w:hAnsi="宋体" w:eastAsia="宋体"/>
                <w:color w:val="auto"/>
                <w:szCs w:val="21"/>
              </w:rPr>
            </w:pPr>
            <w:r>
              <w:rPr>
                <w:rFonts w:hint="eastAsia" w:ascii="宋体" w:hAnsi="宋体" w:eastAsia="宋体"/>
                <w:color w:val="auto"/>
                <w:szCs w:val="21"/>
              </w:rPr>
              <w:t>交货地（港）</w:t>
            </w:r>
          </w:p>
        </w:tc>
        <w:tc>
          <w:tcPr>
            <w:tcW w:w="606" w:type="dxa"/>
            <w:tcBorders>
              <w:top w:val="single" w:color="auto" w:sz="4" w:space="0"/>
              <w:left w:val="single" w:color="auto" w:sz="4" w:space="0"/>
              <w:bottom w:val="single" w:color="auto" w:sz="4" w:space="0"/>
              <w:right w:val="single" w:color="auto" w:sz="4" w:space="0"/>
            </w:tcBorders>
          </w:tcPr>
          <w:p w14:paraId="37D4355C">
            <w:pPr>
              <w:jc w:val="center"/>
              <w:rPr>
                <w:rFonts w:ascii="宋体" w:hAnsi="宋体" w:eastAsia="宋体"/>
                <w:color w:val="auto"/>
                <w:szCs w:val="21"/>
              </w:rPr>
            </w:pPr>
            <w:r>
              <w:rPr>
                <w:rFonts w:hint="eastAsia" w:ascii="宋体" w:hAnsi="宋体" w:eastAsia="宋体"/>
                <w:color w:val="auto"/>
                <w:szCs w:val="21"/>
              </w:rPr>
              <w:t>备</w:t>
            </w:r>
          </w:p>
          <w:p w14:paraId="5558BD88">
            <w:pPr>
              <w:jc w:val="center"/>
              <w:rPr>
                <w:rFonts w:ascii="宋体" w:hAnsi="宋体" w:eastAsia="宋体"/>
                <w:color w:val="auto"/>
                <w:szCs w:val="21"/>
              </w:rPr>
            </w:pPr>
            <w:r>
              <w:rPr>
                <w:rFonts w:hint="eastAsia" w:ascii="宋体" w:hAnsi="宋体" w:eastAsia="宋体"/>
                <w:color w:val="auto"/>
                <w:szCs w:val="21"/>
              </w:rPr>
              <w:t>注</w:t>
            </w:r>
          </w:p>
        </w:tc>
      </w:tr>
      <w:tr w14:paraId="69ADD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540" w:type="dxa"/>
            <w:tcBorders>
              <w:top w:val="single" w:color="auto" w:sz="4" w:space="0"/>
              <w:left w:val="single" w:color="auto" w:sz="4" w:space="0"/>
              <w:bottom w:val="single" w:color="auto" w:sz="4" w:space="0"/>
              <w:right w:val="single" w:color="auto" w:sz="4" w:space="0"/>
            </w:tcBorders>
            <w:vAlign w:val="center"/>
          </w:tcPr>
          <w:p w14:paraId="733770B6">
            <w:pPr>
              <w:jc w:val="center"/>
              <w:rPr>
                <w:rFonts w:ascii="宋体" w:hAnsi="宋体" w:eastAsia="宋体"/>
                <w:color w:val="auto"/>
                <w:szCs w:val="21"/>
              </w:rPr>
            </w:pPr>
            <w:r>
              <w:rPr>
                <w:rFonts w:hint="eastAsia" w:ascii="宋体" w:hAnsi="宋体" w:eastAsia="宋体"/>
                <w:color w:val="auto"/>
                <w:szCs w:val="21"/>
              </w:rPr>
              <w:t>1</w:t>
            </w:r>
          </w:p>
        </w:tc>
        <w:tc>
          <w:tcPr>
            <w:tcW w:w="1553" w:type="dxa"/>
            <w:tcBorders>
              <w:top w:val="single" w:color="auto" w:sz="4" w:space="0"/>
              <w:left w:val="single" w:color="auto" w:sz="4" w:space="0"/>
              <w:bottom w:val="single" w:color="auto" w:sz="4" w:space="0"/>
              <w:right w:val="single" w:color="auto" w:sz="4" w:space="0"/>
            </w:tcBorders>
            <w:vAlign w:val="center"/>
          </w:tcPr>
          <w:p w14:paraId="11403E68">
            <w:pPr>
              <w:jc w:val="center"/>
              <w:rPr>
                <w:rFonts w:ascii="宋体" w:hAnsi="宋体" w:eastAsia="宋体"/>
                <w:b/>
                <w:bCs/>
                <w:color w:val="auto"/>
                <w:szCs w:val="21"/>
              </w:rPr>
            </w:pPr>
            <w:r>
              <w:rPr>
                <w:rFonts w:hint="eastAsia" w:ascii="宋体" w:hAnsi="宋体" w:eastAsia="宋体" w:cs="宋体"/>
                <w:b/>
                <w:bCs/>
                <w:color w:val="auto"/>
                <w:szCs w:val="21"/>
              </w:rPr>
              <w:t>表面等离子共振分子互作系统</w:t>
            </w:r>
          </w:p>
        </w:tc>
        <w:tc>
          <w:tcPr>
            <w:tcW w:w="1076" w:type="dxa"/>
            <w:tcBorders>
              <w:top w:val="single" w:color="auto" w:sz="4" w:space="0"/>
              <w:left w:val="single" w:color="auto" w:sz="4" w:space="0"/>
              <w:bottom w:val="single" w:color="auto" w:sz="4" w:space="0"/>
              <w:right w:val="single" w:color="auto" w:sz="4" w:space="0"/>
            </w:tcBorders>
            <w:vAlign w:val="center"/>
          </w:tcPr>
          <w:p w14:paraId="2978D8A4">
            <w:pPr>
              <w:widowControl/>
              <w:jc w:val="center"/>
              <w:rPr>
                <w:rFonts w:ascii="宋体" w:hAnsi="宋体" w:eastAsia="宋体"/>
                <w:b/>
                <w:bCs/>
                <w:color w:val="auto"/>
                <w:kern w:val="0"/>
                <w:szCs w:val="21"/>
              </w:rPr>
            </w:pPr>
            <w:r>
              <w:rPr>
                <w:rFonts w:hint="eastAsia" w:ascii="宋体" w:hAnsi="宋体" w:eastAsia="宋体" w:cs="宋体"/>
                <w:b/>
                <w:bCs/>
                <w:color w:val="auto"/>
                <w:szCs w:val="21"/>
              </w:rPr>
              <w:t>Biacore 1k</w:t>
            </w:r>
          </w:p>
        </w:tc>
        <w:tc>
          <w:tcPr>
            <w:tcW w:w="1656" w:type="dxa"/>
            <w:tcBorders>
              <w:top w:val="single" w:color="auto" w:sz="4" w:space="0"/>
              <w:left w:val="single" w:color="auto" w:sz="4" w:space="0"/>
              <w:bottom w:val="single" w:color="auto" w:sz="4" w:space="0"/>
              <w:right w:val="single" w:color="auto" w:sz="4" w:space="0"/>
            </w:tcBorders>
            <w:vAlign w:val="center"/>
          </w:tcPr>
          <w:p w14:paraId="62F9F826">
            <w:pPr>
              <w:jc w:val="center"/>
              <w:rPr>
                <w:rFonts w:ascii="宋体" w:hAnsi="宋体" w:eastAsia="宋体"/>
                <w:b/>
                <w:bCs/>
                <w:color w:val="auto"/>
                <w:szCs w:val="21"/>
              </w:rPr>
            </w:pPr>
            <w:r>
              <w:rPr>
                <w:rFonts w:hint="eastAsia" w:ascii="宋体" w:hAnsi="宋体" w:eastAsia="宋体" w:cs="宋体"/>
                <w:b/>
                <w:bCs/>
                <w:color w:val="auto"/>
                <w:szCs w:val="21"/>
              </w:rPr>
              <w:t>格来赛生命科技（上海）有限公司</w:t>
            </w:r>
          </w:p>
        </w:tc>
        <w:tc>
          <w:tcPr>
            <w:tcW w:w="606" w:type="dxa"/>
            <w:tcBorders>
              <w:top w:val="single" w:color="auto" w:sz="4" w:space="0"/>
              <w:left w:val="single" w:color="auto" w:sz="4" w:space="0"/>
              <w:bottom w:val="single" w:color="auto" w:sz="4" w:space="0"/>
              <w:right w:val="single" w:color="auto" w:sz="4" w:space="0"/>
            </w:tcBorders>
            <w:vAlign w:val="center"/>
          </w:tcPr>
          <w:p w14:paraId="656E0D27">
            <w:pPr>
              <w:jc w:val="center"/>
              <w:rPr>
                <w:rFonts w:ascii="宋体" w:hAnsi="宋体" w:eastAsia="宋体"/>
                <w:b/>
                <w:bCs/>
                <w:color w:val="auto"/>
                <w:szCs w:val="21"/>
              </w:rPr>
            </w:pPr>
            <w:r>
              <w:rPr>
                <w:rFonts w:hint="eastAsia" w:ascii="宋体" w:hAnsi="宋体" w:eastAsia="宋体"/>
                <w:b/>
                <w:bCs/>
                <w:color w:val="auto"/>
                <w:szCs w:val="21"/>
              </w:rPr>
              <w:t>瑞典</w:t>
            </w:r>
          </w:p>
        </w:tc>
        <w:tc>
          <w:tcPr>
            <w:tcW w:w="606" w:type="dxa"/>
            <w:tcBorders>
              <w:top w:val="single" w:color="auto" w:sz="4" w:space="0"/>
              <w:left w:val="single" w:color="auto" w:sz="4" w:space="0"/>
              <w:bottom w:val="single" w:color="auto" w:sz="4" w:space="0"/>
              <w:right w:val="single" w:color="auto" w:sz="4" w:space="0"/>
            </w:tcBorders>
            <w:vAlign w:val="center"/>
          </w:tcPr>
          <w:p w14:paraId="7D253A1A">
            <w:pPr>
              <w:jc w:val="center"/>
              <w:rPr>
                <w:rFonts w:ascii="宋体" w:hAnsi="宋体" w:eastAsia="宋体"/>
                <w:b/>
                <w:bCs/>
                <w:color w:val="auto"/>
                <w:szCs w:val="21"/>
              </w:rPr>
            </w:pPr>
            <w:r>
              <w:rPr>
                <w:rFonts w:hint="eastAsia" w:ascii="宋体" w:hAnsi="宋体" w:eastAsia="宋体"/>
                <w:b/>
                <w:bCs/>
                <w:color w:val="auto"/>
                <w:szCs w:val="21"/>
              </w:rPr>
              <w:t>台</w:t>
            </w:r>
          </w:p>
        </w:tc>
        <w:tc>
          <w:tcPr>
            <w:tcW w:w="816" w:type="dxa"/>
            <w:tcBorders>
              <w:top w:val="single" w:color="auto" w:sz="4" w:space="0"/>
              <w:left w:val="single" w:color="auto" w:sz="4" w:space="0"/>
              <w:bottom w:val="single" w:color="auto" w:sz="4" w:space="0"/>
              <w:right w:val="single" w:color="auto" w:sz="4" w:space="0"/>
            </w:tcBorders>
            <w:vAlign w:val="center"/>
          </w:tcPr>
          <w:p w14:paraId="057498E9">
            <w:pPr>
              <w:jc w:val="center"/>
              <w:rPr>
                <w:rFonts w:ascii="宋体" w:hAnsi="宋体" w:eastAsia="宋体"/>
                <w:b/>
                <w:bCs/>
                <w:color w:val="auto"/>
                <w:szCs w:val="21"/>
              </w:rPr>
            </w:pPr>
            <w:r>
              <w:rPr>
                <w:rFonts w:hint="eastAsia" w:ascii="宋体" w:hAnsi="宋体" w:eastAsia="宋体"/>
                <w:b/>
                <w:bCs/>
                <w:color w:val="auto"/>
                <w:szCs w:val="21"/>
              </w:rPr>
              <w:t>1</w:t>
            </w:r>
          </w:p>
        </w:tc>
        <w:tc>
          <w:tcPr>
            <w:tcW w:w="1414" w:type="dxa"/>
            <w:tcBorders>
              <w:top w:val="single" w:color="auto" w:sz="4" w:space="0"/>
              <w:left w:val="single" w:color="auto" w:sz="4" w:space="0"/>
              <w:bottom w:val="single" w:color="auto" w:sz="4" w:space="0"/>
              <w:right w:val="single" w:color="auto" w:sz="4" w:space="0"/>
            </w:tcBorders>
            <w:vAlign w:val="center"/>
          </w:tcPr>
          <w:p w14:paraId="2C687483">
            <w:pPr>
              <w:widowControl/>
              <w:jc w:val="center"/>
              <w:rPr>
                <w:rFonts w:ascii="宋体" w:hAnsi="宋体" w:eastAsia="宋体"/>
                <w:b/>
                <w:color w:val="auto"/>
                <w:kern w:val="0"/>
                <w:szCs w:val="21"/>
              </w:rPr>
            </w:pPr>
            <w:r>
              <w:rPr>
                <w:rFonts w:hint="eastAsia" w:ascii="宋体" w:hAnsi="宋体" w:eastAsia="宋体"/>
                <w:b/>
                <w:color w:val="auto"/>
                <w:szCs w:val="21"/>
              </w:rPr>
              <w:t>2815000</w:t>
            </w:r>
          </w:p>
        </w:tc>
        <w:tc>
          <w:tcPr>
            <w:tcW w:w="1480" w:type="dxa"/>
            <w:tcBorders>
              <w:top w:val="single" w:color="auto" w:sz="4" w:space="0"/>
              <w:left w:val="single" w:color="auto" w:sz="4" w:space="0"/>
              <w:bottom w:val="single" w:color="auto" w:sz="4" w:space="0"/>
              <w:right w:val="single" w:color="auto" w:sz="4" w:space="0"/>
            </w:tcBorders>
            <w:vAlign w:val="center"/>
          </w:tcPr>
          <w:p w14:paraId="01991EC3">
            <w:pPr>
              <w:jc w:val="center"/>
              <w:rPr>
                <w:rFonts w:ascii="宋体" w:hAnsi="宋体" w:eastAsia="宋体"/>
                <w:b/>
                <w:color w:val="auto"/>
                <w:szCs w:val="21"/>
              </w:rPr>
            </w:pPr>
            <w:r>
              <w:rPr>
                <w:rFonts w:hint="eastAsia" w:ascii="宋体" w:hAnsi="宋体" w:eastAsia="宋体"/>
                <w:b/>
                <w:color w:val="auto"/>
                <w:szCs w:val="21"/>
              </w:rPr>
              <w:t>2815000</w:t>
            </w:r>
          </w:p>
        </w:tc>
        <w:tc>
          <w:tcPr>
            <w:tcW w:w="812" w:type="dxa"/>
            <w:tcBorders>
              <w:top w:val="single" w:color="auto" w:sz="4" w:space="0"/>
              <w:left w:val="single" w:color="auto" w:sz="4" w:space="0"/>
              <w:bottom w:val="single" w:color="auto" w:sz="4" w:space="0"/>
              <w:right w:val="single" w:color="auto" w:sz="4" w:space="0"/>
            </w:tcBorders>
            <w:vAlign w:val="center"/>
          </w:tcPr>
          <w:p w14:paraId="1160B5F4">
            <w:pPr>
              <w:ind w:right="-107" w:rightChars="-51"/>
              <w:jc w:val="center"/>
              <w:rPr>
                <w:rFonts w:ascii="宋体" w:hAnsi="宋体" w:eastAsia="宋体"/>
                <w:bCs/>
                <w:color w:val="auto"/>
                <w:szCs w:val="21"/>
              </w:rPr>
            </w:pPr>
            <w:r>
              <w:rPr>
                <w:rFonts w:hint="eastAsia" w:ascii="宋体" w:hAnsi="宋体" w:eastAsia="宋体"/>
                <w:bCs/>
                <w:color w:val="auto"/>
                <w:szCs w:val="21"/>
              </w:rPr>
              <w:t>已含</w:t>
            </w:r>
          </w:p>
        </w:tc>
        <w:tc>
          <w:tcPr>
            <w:tcW w:w="812" w:type="dxa"/>
            <w:tcBorders>
              <w:top w:val="single" w:color="auto" w:sz="4" w:space="0"/>
              <w:left w:val="single" w:color="auto" w:sz="4" w:space="0"/>
              <w:bottom w:val="single" w:color="auto" w:sz="4" w:space="0"/>
              <w:right w:val="single" w:color="auto" w:sz="4" w:space="0"/>
            </w:tcBorders>
            <w:vAlign w:val="center"/>
          </w:tcPr>
          <w:p w14:paraId="207FD96C">
            <w:pPr>
              <w:ind w:right="-107" w:rightChars="-51"/>
              <w:jc w:val="center"/>
              <w:rPr>
                <w:rFonts w:ascii="宋体" w:hAnsi="宋体" w:eastAsia="宋体"/>
                <w:bCs/>
                <w:color w:val="auto"/>
                <w:szCs w:val="21"/>
              </w:rPr>
            </w:pPr>
            <w:r>
              <w:rPr>
                <w:rFonts w:hint="eastAsia" w:ascii="宋体" w:hAnsi="宋体" w:eastAsia="宋体"/>
                <w:bCs/>
                <w:color w:val="auto"/>
                <w:szCs w:val="21"/>
              </w:rPr>
              <w:t>已含</w:t>
            </w:r>
          </w:p>
        </w:tc>
        <w:tc>
          <w:tcPr>
            <w:tcW w:w="691" w:type="dxa"/>
            <w:tcBorders>
              <w:top w:val="single" w:color="auto" w:sz="4" w:space="0"/>
              <w:left w:val="single" w:color="auto" w:sz="4" w:space="0"/>
              <w:bottom w:val="single" w:color="auto" w:sz="4" w:space="0"/>
              <w:right w:val="single" w:color="auto" w:sz="4" w:space="0"/>
            </w:tcBorders>
            <w:vAlign w:val="center"/>
          </w:tcPr>
          <w:p w14:paraId="3B904B59">
            <w:pPr>
              <w:jc w:val="center"/>
              <w:rPr>
                <w:rFonts w:ascii="宋体" w:hAnsi="宋体" w:eastAsia="宋体"/>
                <w:bCs/>
                <w:color w:val="auto"/>
                <w:szCs w:val="21"/>
              </w:rPr>
            </w:pPr>
            <w:r>
              <w:rPr>
                <w:rFonts w:hint="eastAsia" w:ascii="宋体" w:hAnsi="宋体" w:eastAsia="宋体"/>
                <w:b/>
                <w:color w:val="auto"/>
                <w:szCs w:val="21"/>
              </w:rPr>
              <w:t>已含</w:t>
            </w:r>
          </w:p>
        </w:tc>
        <w:tc>
          <w:tcPr>
            <w:tcW w:w="1314" w:type="dxa"/>
            <w:tcBorders>
              <w:top w:val="single" w:color="auto" w:sz="4" w:space="0"/>
              <w:left w:val="single" w:color="auto" w:sz="4" w:space="0"/>
              <w:bottom w:val="single" w:color="auto" w:sz="4" w:space="0"/>
              <w:right w:val="single" w:color="auto" w:sz="4" w:space="0"/>
            </w:tcBorders>
            <w:vAlign w:val="center"/>
          </w:tcPr>
          <w:p w14:paraId="3F19D330">
            <w:pPr>
              <w:jc w:val="center"/>
              <w:rPr>
                <w:rFonts w:ascii="宋体" w:hAnsi="宋体" w:eastAsia="宋体"/>
                <w:color w:val="auto"/>
                <w:szCs w:val="21"/>
              </w:rPr>
            </w:pPr>
            <w:r>
              <w:rPr>
                <w:rFonts w:hint="eastAsia" w:ascii="宋体" w:hAnsi="宋体" w:eastAsia="宋体"/>
                <w:color w:val="auto"/>
                <w:szCs w:val="21"/>
              </w:rPr>
              <w:t>合同签订后</w:t>
            </w:r>
          </w:p>
          <w:p w14:paraId="1EBF8590">
            <w:pPr>
              <w:jc w:val="center"/>
              <w:rPr>
                <w:rFonts w:ascii="宋体" w:hAnsi="宋体" w:eastAsia="宋体"/>
                <w:color w:val="auto"/>
                <w:szCs w:val="21"/>
              </w:rPr>
            </w:pPr>
            <w:r>
              <w:rPr>
                <w:rFonts w:hint="eastAsia" w:ascii="宋体" w:hAnsi="宋体" w:eastAsia="宋体"/>
                <w:color w:val="auto"/>
                <w:szCs w:val="21"/>
              </w:rPr>
              <w:t>60日内</w:t>
            </w:r>
          </w:p>
        </w:tc>
        <w:tc>
          <w:tcPr>
            <w:tcW w:w="1241" w:type="dxa"/>
            <w:tcBorders>
              <w:top w:val="single" w:color="auto" w:sz="4" w:space="0"/>
              <w:left w:val="single" w:color="auto" w:sz="4" w:space="0"/>
              <w:bottom w:val="single" w:color="auto" w:sz="4" w:space="0"/>
              <w:right w:val="single" w:color="auto" w:sz="4" w:space="0"/>
            </w:tcBorders>
            <w:vAlign w:val="center"/>
          </w:tcPr>
          <w:p w14:paraId="105E373A">
            <w:pPr>
              <w:jc w:val="center"/>
              <w:rPr>
                <w:rFonts w:ascii="宋体" w:hAnsi="宋体" w:eastAsia="宋体"/>
                <w:color w:val="auto"/>
                <w:szCs w:val="21"/>
              </w:rPr>
            </w:pPr>
            <w:r>
              <w:rPr>
                <w:rFonts w:hint="eastAsia" w:ascii="宋体" w:hAnsi="宋体" w:eastAsia="宋体"/>
                <w:color w:val="auto"/>
                <w:szCs w:val="21"/>
              </w:rPr>
              <w:t>郑东新区河南中医药大学</w:t>
            </w:r>
          </w:p>
        </w:tc>
        <w:tc>
          <w:tcPr>
            <w:tcW w:w="606" w:type="dxa"/>
            <w:tcBorders>
              <w:top w:val="single" w:color="auto" w:sz="4" w:space="0"/>
              <w:left w:val="single" w:color="auto" w:sz="4" w:space="0"/>
              <w:bottom w:val="single" w:color="auto" w:sz="4" w:space="0"/>
              <w:right w:val="single" w:color="auto" w:sz="4" w:space="0"/>
            </w:tcBorders>
            <w:vAlign w:val="center"/>
          </w:tcPr>
          <w:p w14:paraId="5D76BF24">
            <w:pPr>
              <w:jc w:val="center"/>
              <w:rPr>
                <w:rFonts w:ascii="宋体" w:hAnsi="宋体" w:eastAsia="宋体"/>
                <w:color w:val="auto"/>
                <w:szCs w:val="21"/>
              </w:rPr>
            </w:pPr>
            <w:r>
              <w:rPr>
                <w:rFonts w:hint="eastAsia" w:ascii="宋体" w:hAnsi="宋体" w:eastAsia="宋体"/>
                <w:color w:val="auto"/>
                <w:szCs w:val="21"/>
              </w:rPr>
              <w:t>/</w:t>
            </w:r>
          </w:p>
        </w:tc>
      </w:tr>
      <w:tr w14:paraId="33870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vAlign w:val="center"/>
          </w:tcPr>
          <w:p w14:paraId="13E3497C">
            <w:pPr>
              <w:jc w:val="center"/>
              <w:rPr>
                <w:rFonts w:ascii="宋体" w:hAnsi="宋体" w:eastAsia="宋体"/>
                <w:color w:val="auto"/>
                <w:szCs w:val="21"/>
              </w:rPr>
            </w:pPr>
            <w:r>
              <w:rPr>
                <w:rFonts w:hint="eastAsia" w:ascii="宋体" w:hAnsi="宋体" w:eastAsia="宋体"/>
                <w:color w:val="auto"/>
                <w:szCs w:val="21"/>
              </w:rPr>
              <w:t>2</w:t>
            </w:r>
          </w:p>
        </w:tc>
        <w:tc>
          <w:tcPr>
            <w:tcW w:w="1553" w:type="dxa"/>
            <w:tcBorders>
              <w:top w:val="single" w:color="auto" w:sz="4" w:space="0"/>
              <w:left w:val="single" w:color="auto" w:sz="4" w:space="0"/>
              <w:bottom w:val="single" w:color="auto" w:sz="4" w:space="0"/>
              <w:right w:val="single" w:color="auto" w:sz="4" w:space="0"/>
            </w:tcBorders>
            <w:vAlign w:val="center"/>
          </w:tcPr>
          <w:p w14:paraId="26B4F891">
            <w:pPr>
              <w:jc w:val="center"/>
              <w:rPr>
                <w:rFonts w:ascii="宋体" w:hAnsi="宋体" w:eastAsia="宋体"/>
                <w:b/>
                <w:bCs/>
                <w:color w:val="auto"/>
                <w:szCs w:val="21"/>
              </w:rPr>
            </w:pPr>
            <w:r>
              <w:rPr>
                <w:rFonts w:hint="eastAsia" w:ascii="宋体" w:hAnsi="宋体" w:eastAsia="宋体" w:cs="宋体"/>
                <w:b/>
                <w:bCs/>
                <w:color w:val="auto"/>
                <w:szCs w:val="21"/>
              </w:rPr>
              <w:t>振动切片机</w:t>
            </w:r>
          </w:p>
        </w:tc>
        <w:tc>
          <w:tcPr>
            <w:tcW w:w="1076" w:type="dxa"/>
            <w:tcBorders>
              <w:top w:val="single" w:color="auto" w:sz="4" w:space="0"/>
              <w:left w:val="single" w:color="auto" w:sz="4" w:space="0"/>
              <w:bottom w:val="single" w:color="auto" w:sz="4" w:space="0"/>
              <w:right w:val="single" w:color="auto" w:sz="4" w:space="0"/>
            </w:tcBorders>
            <w:vAlign w:val="center"/>
          </w:tcPr>
          <w:p w14:paraId="716A2D14">
            <w:pPr>
              <w:widowControl/>
              <w:jc w:val="center"/>
              <w:rPr>
                <w:rFonts w:ascii="宋体" w:hAnsi="宋体" w:eastAsia="宋体"/>
                <w:b/>
                <w:bCs/>
                <w:color w:val="auto"/>
                <w:kern w:val="0"/>
                <w:szCs w:val="21"/>
              </w:rPr>
            </w:pPr>
            <w:r>
              <w:rPr>
                <w:rFonts w:hint="eastAsia" w:ascii="宋体" w:hAnsi="宋体" w:eastAsia="宋体" w:cs="宋体"/>
                <w:b/>
                <w:bCs/>
                <w:color w:val="auto"/>
                <w:szCs w:val="21"/>
              </w:rPr>
              <w:t>VT1200S</w:t>
            </w:r>
          </w:p>
        </w:tc>
        <w:tc>
          <w:tcPr>
            <w:tcW w:w="1656" w:type="dxa"/>
            <w:tcBorders>
              <w:top w:val="single" w:color="auto" w:sz="4" w:space="0"/>
              <w:left w:val="single" w:color="auto" w:sz="4" w:space="0"/>
              <w:bottom w:val="single" w:color="auto" w:sz="4" w:space="0"/>
              <w:right w:val="single" w:color="auto" w:sz="4" w:space="0"/>
            </w:tcBorders>
            <w:vAlign w:val="center"/>
          </w:tcPr>
          <w:p w14:paraId="63AB4C43">
            <w:pPr>
              <w:jc w:val="center"/>
              <w:rPr>
                <w:rFonts w:ascii="宋体" w:hAnsi="宋体" w:eastAsia="宋体"/>
                <w:b/>
                <w:bCs/>
                <w:color w:val="auto"/>
                <w:szCs w:val="21"/>
              </w:rPr>
            </w:pPr>
            <w:r>
              <w:rPr>
                <w:rFonts w:hint="eastAsia" w:ascii="宋体" w:hAnsi="宋体" w:eastAsia="宋体" w:cs="宋体"/>
                <w:b/>
                <w:bCs/>
                <w:color w:val="auto"/>
                <w:szCs w:val="21"/>
              </w:rPr>
              <w:t xml:space="preserve"> 徕卡显微系统（上海）贸易有限公司</w:t>
            </w:r>
          </w:p>
        </w:tc>
        <w:tc>
          <w:tcPr>
            <w:tcW w:w="606" w:type="dxa"/>
            <w:tcBorders>
              <w:top w:val="single" w:color="auto" w:sz="4" w:space="0"/>
              <w:left w:val="single" w:color="auto" w:sz="4" w:space="0"/>
              <w:bottom w:val="single" w:color="auto" w:sz="4" w:space="0"/>
              <w:right w:val="single" w:color="auto" w:sz="4" w:space="0"/>
            </w:tcBorders>
            <w:vAlign w:val="center"/>
          </w:tcPr>
          <w:p w14:paraId="15B36B3F">
            <w:pPr>
              <w:jc w:val="center"/>
              <w:rPr>
                <w:rFonts w:ascii="宋体" w:hAnsi="宋体" w:eastAsia="宋体"/>
                <w:b/>
                <w:bCs/>
                <w:color w:val="auto"/>
                <w:szCs w:val="21"/>
              </w:rPr>
            </w:pPr>
            <w:r>
              <w:rPr>
                <w:rFonts w:hint="eastAsia" w:ascii="宋体" w:hAnsi="宋体" w:eastAsia="宋体"/>
                <w:b/>
                <w:bCs/>
                <w:color w:val="auto"/>
                <w:szCs w:val="21"/>
              </w:rPr>
              <w:t>中国</w:t>
            </w:r>
          </w:p>
        </w:tc>
        <w:tc>
          <w:tcPr>
            <w:tcW w:w="606" w:type="dxa"/>
            <w:tcBorders>
              <w:top w:val="single" w:color="auto" w:sz="4" w:space="0"/>
              <w:left w:val="single" w:color="auto" w:sz="4" w:space="0"/>
              <w:bottom w:val="single" w:color="auto" w:sz="4" w:space="0"/>
              <w:right w:val="single" w:color="auto" w:sz="4" w:space="0"/>
            </w:tcBorders>
            <w:vAlign w:val="center"/>
          </w:tcPr>
          <w:p w14:paraId="0321D02F">
            <w:pPr>
              <w:jc w:val="center"/>
              <w:rPr>
                <w:rFonts w:ascii="宋体" w:hAnsi="宋体" w:eastAsia="宋体"/>
                <w:b/>
                <w:bCs/>
                <w:color w:val="auto"/>
                <w:szCs w:val="21"/>
              </w:rPr>
            </w:pPr>
            <w:r>
              <w:rPr>
                <w:rFonts w:hint="eastAsia" w:ascii="宋体" w:hAnsi="宋体" w:eastAsia="宋体"/>
                <w:b/>
                <w:bCs/>
                <w:color w:val="auto"/>
                <w:szCs w:val="21"/>
              </w:rPr>
              <w:t>台</w:t>
            </w:r>
          </w:p>
        </w:tc>
        <w:tc>
          <w:tcPr>
            <w:tcW w:w="816" w:type="dxa"/>
            <w:tcBorders>
              <w:top w:val="single" w:color="auto" w:sz="4" w:space="0"/>
              <w:left w:val="single" w:color="auto" w:sz="4" w:space="0"/>
              <w:bottom w:val="single" w:color="auto" w:sz="4" w:space="0"/>
              <w:right w:val="single" w:color="auto" w:sz="4" w:space="0"/>
            </w:tcBorders>
            <w:vAlign w:val="center"/>
          </w:tcPr>
          <w:p w14:paraId="0AAFA9F0">
            <w:pPr>
              <w:jc w:val="center"/>
              <w:rPr>
                <w:rFonts w:ascii="宋体" w:hAnsi="宋体" w:eastAsia="宋体"/>
                <w:b/>
                <w:color w:val="auto"/>
                <w:szCs w:val="21"/>
              </w:rPr>
            </w:pPr>
            <w:r>
              <w:rPr>
                <w:rFonts w:hint="eastAsia" w:ascii="宋体" w:hAnsi="宋体" w:eastAsia="宋体"/>
                <w:b/>
                <w:bCs/>
                <w:color w:val="auto"/>
                <w:szCs w:val="21"/>
              </w:rPr>
              <w:t>1</w:t>
            </w:r>
          </w:p>
        </w:tc>
        <w:tc>
          <w:tcPr>
            <w:tcW w:w="1414" w:type="dxa"/>
            <w:tcBorders>
              <w:top w:val="single" w:color="auto" w:sz="4" w:space="0"/>
              <w:left w:val="single" w:color="auto" w:sz="4" w:space="0"/>
              <w:bottom w:val="single" w:color="auto" w:sz="4" w:space="0"/>
              <w:right w:val="single" w:color="auto" w:sz="4" w:space="0"/>
            </w:tcBorders>
            <w:vAlign w:val="center"/>
          </w:tcPr>
          <w:p w14:paraId="2CC4AE17">
            <w:pPr>
              <w:jc w:val="center"/>
              <w:rPr>
                <w:rFonts w:ascii="Times New Roman" w:hAnsi="Times New Roman" w:eastAsia="宋体"/>
                <w:b/>
                <w:color w:val="auto"/>
                <w:szCs w:val="21"/>
              </w:rPr>
            </w:pPr>
            <w:r>
              <w:rPr>
                <w:rFonts w:hint="eastAsia" w:ascii="宋体" w:hAnsi="宋体" w:eastAsia="宋体"/>
                <w:b/>
                <w:color w:val="auto"/>
                <w:szCs w:val="21"/>
              </w:rPr>
              <w:t>174600</w:t>
            </w:r>
          </w:p>
        </w:tc>
        <w:tc>
          <w:tcPr>
            <w:tcW w:w="1480" w:type="dxa"/>
            <w:tcBorders>
              <w:top w:val="single" w:color="auto" w:sz="4" w:space="0"/>
              <w:left w:val="single" w:color="auto" w:sz="4" w:space="0"/>
              <w:bottom w:val="single" w:color="auto" w:sz="4" w:space="0"/>
              <w:right w:val="single" w:color="auto" w:sz="4" w:space="0"/>
            </w:tcBorders>
            <w:vAlign w:val="center"/>
          </w:tcPr>
          <w:p w14:paraId="3D4488E2">
            <w:pPr>
              <w:jc w:val="center"/>
              <w:rPr>
                <w:rFonts w:ascii="宋体" w:hAnsi="宋体" w:eastAsia="宋体"/>
                <w:b/>
                <w:color w:val="auto"/>
                <w:szCs w:val="21"/>
              </w:rPr>
            </w:pPr>
            <w:r>
              <w:rPr>
                <w:rFonts w:hint="eastAsia" w:ascii="宋体" w:hAnsi="宋体" w:eastAsia="宋体"/>
                <w:b/>
                <w:color w:val="auto"/>
                <w:szCs w:val="21"/>
              </w:rPr>
              <w:t>174600</w:t>
            </w:r>
          </w:p>
        </w:tc>
        <w:tc>
          <w:tcPr>
            <w:tcW w:w="812" w:type="dxa"/>
            <w:tcBorders>
              <w:top w:val="single" w:color="auto" w:sz="4" w:space="0"/>
              <w:left w:val="single" w:color="auto" w:sz="4" w:space="0"/>
              <w:bottom w:val="single" w:color="auto" w:sz="4" w:space="0"/>
              <w:right w:val="single" w:color="auto" w:sz="4" w:space="0"/>
            </w:tcBorders>
            <w:vAlign w:val="center"/>
          </w:tcPr>
          <w:p w14:paraId="5E8688E9">
            <w:pPr>
              <w:ind w:right="-107" w:rightChars="-51"/>
              <w:jc w:val="center"/>
              <w:rPr>
                <w:rFonts w:ascii="宋体" w:hAnsi="宋体" w:eastAsia="宋体"/>
                <w:bCs/>
                <w:color w:val="auto"/>
                <w:szCs w:val="21"/>
              </w:rPr>
            </w:pPr>
            <w:r>
              <w:rPr>
                <w:rFonts w:hint="eastAsia" w:ascii="宋体" w:hAnsi="宋体" w:eastAsia="宋体"/>
                <w:bCs/>
                <w:color w:val="auto"/>
                <w:szCs w:val="21"/>
              </w:rPr>
              <w:t>已含</w:t>
            </w:r>
          </w:p>
        </w:tc>
        <w:tc>
          <w:tcPr>
            <w:tcW w:w="812" w:type="dxa"/>
            <w:tcBorders>
              <w:top w:val="single" w:color="auto" w:sz="4" w:space="0"/>
              <w:left w:val="single" w:color="auto" w:sz="4" w:space="0"/>
              <w:bottom w:val="single" w:color="auto" w:sz="4" w:space="0"/>
              <w:right w:val="single" w:color="auto" w:sz="4" w:space="0"/>
            </w:tcBorders>
            <w:vAlign w:val="center"/>
          </w:tcPr>
          <w:p w14:paraId="6E9F491C">
            <w:pPr>
              <w:ind w:right="-107" w:rightChars="-51"/>
              <w:jc w:val="center"/>
              <w:rPr>
                <w:rFonts w:ascii="宋体" w:hAnsi="宋体" w:eastAsia="宋体"/>
                <w:bCs/>
                <w:color w:val="auto"/>
                <w:szCs w:val="21"/>
              </w:rPr>
            </w:pPr>
            <w:r>
              <w:rPr>
                <w:rFonts w:hint="eastAsia" w:ascii="宋体" w:hAnsi="宋体" w:eastAsia="宋体"/>
                <w:bCs/>
                <w:color w:val="auto"/>
                <w:szCs w:val="21"/>
              </w:rPr>
              <w:t>已含</w:t>
            </w:r>
          </w:p>
        </w:tc>
        <w:tc>
          <w:tcPr>
            <w:tcW w:w="691" w:type="dxa"/>
            <w:tcBorders>
              <w:top w:val="single" w:color="auto" w:sz="4" w:space="0"/>
              <w:left w:val="single" w:color="auto" w:sz="4" w:space="0"/>
              <w:bottom w:val="single" w:color="auto" w:sz="4" w:space="0"/>
              <w:right w:val="single" w:color="auto" w:sz="4" w:space="0"/>
            </w:tcBorders>
            <w:vAlign w:val="center"/>
          </w:tcPr>
          <w:p w14:paraId="447D7AF5">
            <w:pPr>
              <w:jc w:val="center"/>
              <w:rPr>
                <w:rFonts w:ascii="Times New Roman" w:hAnsi="Times New Roman" w:eastAsia="宋体"/>
                <w:color w:val="auto"/>
                <w:szCs w:val="21"/>
              </w:rPr>
            </w:pPr>
            <w:r>
              <w:rPr>
                <w:rFonts w:hint="eastAsia" w:ascii="宋体" w:hAnsi="宋体" w:eastAsia="宋体"/>
                <w:b/>
                <w:color w:val="auto"/>
                <w:szCs w:val="21"/>
              </w:rPr>
              <w:t>已含</w:t>
            </w:r>
          </w:p>
        </w:tc>
        <w:tc>
          <w:tcPr>
            <w:tcW w:w="1314" w:type="dxa"/>
            <w:tcBorders>
              <w:top w:val="single" w:color="auto" w:sz="4" w:space="0"/>
              <w:left w:val="single" w:color="auto" w:sz="4" w:space="0"/>
              <w:bottom w:val="single" w:color="auto" w:sz="4" w:space="0"/>
              <w:right w:val="single" w:color="auto" w:sz="4" w:space="0"/>
            </w:tcBorders>
            <w:vAlign w:val="center"/>
          </w:tcPr>
          <w:p w14:paraId="715FCECB">
            <w:pPr>
              <w:jc w:val="center"/>
              <w:rPr>
                <w:rFonts w:ascii="宋体" w:hAnsi="宋体" w:eastAsia="宋体"/>
                <w:color w:val="auto"/>
                <w:szCs w:val="21"/>
              </w:rPr>
            </w:pPr>
            <w:r>
              <w:rPr>
                <w:rFonts w:hint="eastAsia" w:ascii="宋体" w:hAnsi="宋体" w:eastAsia="宋体"/>
                <w:color w:val="auto"/>
                <w:szCs w:val="21"/>
              </w:rPr>
              <w:t>合同签订后</w:t>
            </w:r>
          </w:p>
          <w:p w14:paraId="2FFD041A">
            <w:pPr>
              <w:jc w:val="center"/>
              <w:rPr>
                <w:rFonts w:ascii="宋体" w:hAnsi="宋体" w:eastAsia="宋体"/>
                <w:color w:val="auto"/>
                <w:szCs w:val="21"/>
              </w:rPr>
            </w:pPr>
            <w:r>
              <w:rPr>
                <w:rFonts w:hint="eastAsia" w:ascii="宋体" w:hAnsi="宋体" w:eastAsia="宋体"/>
                <w:color w:val="auto"/>
                <w:szCs w:val="21"/>
              </w:rPr>
              <w:t>30日内</w:t>
            </w:r>
          </w:p>
        </w:tc>
        <w:tc>
          <w:tcPr>
            <w:tcW w:w="1241" w:type="dxa"/>
            <w:tcBorders>
              <w:top w:val="single" w:color="auto" w:sz="4" w:space="0"/>
              <w:left w:val="single" w:color="auto" w:sz="4" w:space="0"/>
              <w:bottom w:val="single" w:color="auto" w:sz="4" w:space="0"/>
              <w:right w:val="single" w:color="auto" w:sz="4" w:space="0"/>
            </w:tcBorders>
          </w:tcPr>
          <w:p w14:paraId="3EE0B028">
            <w:pPr>
              <w:rPr>
                <w:rFonts w:ascii="Times New Roman" w:hAnsi="Times New Roman" w:eastAsia="宋体"/>
                <w:color w:val="auto"/>
                <w:szCs w:val="21"/>
              </w:rPr>
            </w:pPr>
            <w:r>
              <w:rPr>
                <w:rFonts w:hint="eastAsia" w:ascii="宋体" w:hAnsi="宋体" w:eastAsia="宋体"/>
                <w:color w:val="auto"/>
                <w:szCs w:val="21"/>
              </w:rPr>
              <w:t>郑东新区河南中医药大学</w:t>
            </w:r>
          </w:p>
        </w:tc>
        <w:tc>
          <w:tcPr>
            <w:tcW w:w="606" w:type="dxa"/>
            <w:tcBorders>
              <w:top w:val="single" w:color="auto" w:sz="4" w:space="0"/>
              <w:left w:val="single" w:color="auto" w:sz="4" w:space="0"/>
              <w:bottom w:val="single" w:color="auto" w:sz="4" w:space="0"/>
              <w:right w:val="single" w:color="auto" w:sz="4" w:space="0"/>
            </w:tcBorders>
            <w:vAlign w:val="center"/>
          </w:tcPr>
          <w:p w14:paraId="0CFF6B7C">
            <w:pPr>
              <w:jc w:val="center"/>
              <w:rPr>
                <w:rFonts w:ascii="宋体" w:hAnsi="宋体" w:eastAsia="宋体"/>
                <w:color w:val="auto"/>
                <w:szCs w:val="21"/>
              </w:rPr>
            </w:pPr>
            <w:r>
              <w:rPr>
                <w:rFonts w:hint="eastAsia" w:ascii="宋体" w:hAnsi="宋体" w:eastAsia="宋体"/>
                <w:color w:val="auto"/>
                <w:szCs w:val="21"/>
              </w:rPr>
              <w:t>/</w:t>
            </w:r>
          </w:p>
        </w:tc>
      </w:tr>
      <w:tr w14:paraId="7DAA6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tcPr>
          <w:p w14:paraId="26826E02">
            <w:pPr>
              <w:jc w:val="center"/>
              <w:rPr>
                <w:rFonts w:ascii="宋体" w:hAnsi="宋体" w:eastAsia="宋体"/>
                <w:color w:val="auto"/>
                <w:szCs w:val="21"/>
              </w:rPr>
            </w:pPr>
            <w:r>
              <w:rPr>
                <w:rFonts w:hint="eastAsia" w:ascii="宋体" w:hAnsi="宋体" w:eastAsia="宋体"/>
                <w:color w:val="auto"/>
                <w:szCs w:val="21"/>
              </w:rPr>
              <w:t>…</w:t>
            </w:r>
          </w:p>
        </w:tc>
        <w:tc>
          <w:tcPr>
            <w:tcW w:w="1553" w:type="dxa"/>
            <w:tcBorders>
              <w:top w:val="single" w:color="auto" w:sz="4" w:space="0"/>
              <w:left w:val="single" w:color="auto" w:sz="4" w:space="0"/>
              <w:bottom w:val="single" w:color="auto" w:sz="4" w:space="0"/>
              <w:right w:val="single" w:color="auto" w:sz="4" w:space="0"/>
            </w:tcBorders>
          </w:tcPr>
          <w:p w14:paraId="56DB1CFE">
            <w:pPr>
              <w:jc w:val="center"/>
              <w:rPr>
                <w:rFonts w:ascii="宋体" w:hAnsi="宋体" w:eastAsia="宋体"/>
                <w:b/>
                <w:color w:val="auto"/>
                <w:szCs w:val="21"/>
              </w:rPr>
            </w:pPr>
            <w:r>
              <w:rPr>
                <w:rFonts w:hint="eastAsia" w:ascii="宋体" w:hAnsi="宋体" w:eastAsia="宋体"/>
                <w:b/>
                <w:color w:val="auto"/>
                <w:szCs w:val="21"/>
              </w:rPr>
              <w:t>备品备件</w:t>
            </w:r>
          </w:p>
          <w:p w14:paraId="4BE390AE">
            <w:pPr>
              <w:jc w:val="center"/>
              <w:rPr>
                <w:rFonts w:ascii="宋体" w:hAnsi="宋体" w:eastAsia="宋体"/>
                <w:b/>
                <w:color w:val="auto"/>
                <w:szCs w:val="21"/>
              </w:rPr>
            </w:pPr>
            <w:r>
              <w:rPr>
                <w:rFonts w:hint="eastAsia" w:ascii="宋体" w:hAnsi="宋体" w:eastAsia="宋体"/>
                <w:b/>
                <w:color w:val="auto"/>
                <w:szCs w:val="21"/>
              </w:rPr>
              <w:t>及其他</w:t>
            </w:r>
          </w:p>
        </w:tc>
        <w:tc>
          <w:tcPr>
            <w:tcW w:w="2732" w:type="dxa"/>
            <w:gridSpan w:val="2"/>
            <w:tcBorders>
              <w:top w:val="single" w:color="auto" w:sz="4" w:space="0"/>
              <w:left w:val="single" w:color="auto" w:sz="4" w:space="0"/>
              <w:bottom w:val="single" w:color="auto" w:sz="4" w:space="0"/>
              <w:right w:val="single" w:color="auto" w:sz="4" w:space="0"/>
            </w:tcBorders>
            <w:vAlign w:val="center"/>
          </w:tcPr>
          <w:p w14:paraId="726F5C09">
            <w:pPr>
              <w:rPr>
                <w:rFonts w:ascii="宋体" w:hAnsi="宋体" w:eastAsia="宋体"/>
                <w:b/>
                <w:bCs/>
                <w:color w:val="auto"/>
                <w:kern w:val="0"/>
                <w:szCs w:val="21"/>
              </w:rPr>
            </w:pPr>
            <w:r>
              <w:rPr>
                <w:rFonts w:hint="eastAsia" w:ascii="宋体" w:hAnsi="宋体" w:eastAsia="宋体"/>
                <w:b/>
                <w:bCs/>
                <w:color w:val="auto"/>
                <w:kern w:val="0"/>
                <w:szCs w:val="21"/>
              </w:rPr>
              <w:t>配件</w:t>
            </w:r>
          </w:p>
          <w:p w14:paraId="3A53BCB8">
            <w:pPr>
              <w:rPr>
                <w:rFonts w:ascii="宋体" w:hAnsi="宋体" w:eastAsia="宋体"/>
                <w:b/>
                <w:bCs/>
                <w:color w:val="auto"/>
                <w:kern w:val="0"/>
                <w:szCs w:val="21"/>
              </w:rPr>
            </w:pPr>
            <w:r>
              <w:rPr>
                <w:rFonts w:hint="eastAsia" w:ascii="宋体" w:hAnsi="宋体" w:eastAsia="宋体"/>
                <w:b/>
                <w:bCs/>
                <w:color w:val="auto"/>
                <w:kern w:val="0"/>
                <w:szCs w:val="21"/>
              </w:rPr>
              <w:t>消耗品</w:t>
            </w:r>
          </w:p>
          <w:p w14:paraId="648A29DD">
            <w:pPr>
              <w:rPr>
                <w:rFonts w:ascii="宋体" w:hAnsi="宋体" w:eastAsia="宋体"/>
                <w:b/>
                <w:color w:val="auto"/>
                <w:szCs w:val="21"/>
              </w:rPr>
            </w:pPr>
            <w:r>
              <w:rPr>
                <w:rFonts w:hint="eastAsia" w:ascii="宋体" w:hAnsi="宋体" w:eastAsia="宋体"/>
                <w:b/>
                <w:color w:val="auto"/>
                <w:szCs w:val="21"/>
              </w:rPr>
              <w:t>维护工具盒：</w:t>
            </w:r>
          </w:p>
        </w:tc>
        <w:tc>
          <w:tcPr>
            <w:tcW w:w="606" w:type="dxa"/>
            <w:tcBorders>
              <w:top w:val="single" w:color="auto" w:sz="4" w:space="0"/>
              <w:left w:val="single" w:color="auto" w:sz="4" w:space="0"/>
              <w:bottom w:val="single" w:color="auto" w:sz="4" w:space="0"/>
              <w:right w:val="single" w:color="auto" w:sz="4" w:space="0"/>
            </w:tcBorders>
            <w:vAlign w:val="center"/>
          </w:tcPr>
          <w:p w14:paraId="157086FF">
            <w:pPr>
              <w:jc w:val="center"/>
              <w:rPr>
                <w:rFonts w:ascii="宋体" w:hAnsi="宋体" w:eastAsia="宋体"/>
                <w:b/>
                <w:color w:val="auto"/>
                <w:szCs w:val="21"/>
              </w:rPr>
            </w:pPr>
            <w:r>
              <w:rPr>
                <w:rFonts w:hint="eastAsia" w:ascii="宋体" w:hAnsi="宋体" w:eastAsia="宋体"/>
                <w:b/>
                <w:bCs/>
                <w:color w:val="auto"/>
                <w:szCs w:val="21"/>
              </w:rPr>
              <w:t>/</w:t>
            </w:r>
          </w:p>
        </w:tc>
        <w:tc>
          <w:tcPr>
            <w:tcW w:w="606" w:type="dxa"/>
            <w:tcBorders>
              <w:top w:val="single" w:color="auto" w:sz="4" w:space="0"/>
              <w:left w:val="single" w:color="auto" w:sz="4" w:space="0"/>
              <w:bottom w:val="single" w:color="auto" w:sz="4" w:space="0"/>
              <w:right w:val="single" w:color="auto" w:sz="4" w:space="0"/>
            </w:tcBorders>
            <w:vAlign w:val="center"/>
          </w:tcPr>
          <w:p w14:paraId="4D91C4CC">
            <w:pPr>
              <w:jc w:val="center"/>
              <w:rPr>
                <w:rFonts w:ascii="宋体" w:hAnsi="宋体" w:eastAsia="宋体"/>
                <w:b/>
                <w:color w:val="auto"/>
                <w:szCs w:val="21"/>
              </w:rPr>
            </w:pPr>
            <w:r>
              <w:rPr>
                <w:rFonts w:hint="eastAsia" w:ascii="宋体" w:hAnsi="宋体" w:eastAsia="宋体"/>
                <w:b/>
                <w:color w:val="auto"/>
                <w:szCs w:val="21"/>
              </w:rPr>
              <w:t>/</w:t>
            </w:r>
          </w:p>
        </w:tc>
        <w:tc>
          <w:tcPr>
            <w:tcW w:w="816" w:type="dxa"/>
            <w:tcBorders>
              <w:top w:val="single" w:color="auto" w:sz="4" w:space="0"/>
              <w:left w:val="single" w:color="auto" w:sz="4" w:space="0"/>
              <w:bottom w:val="single" w:color="auto" w:sz="4" w:space="0"/>
              <w:right w:val="single" w:color="auto" w:sz="4" w:space="0"/>
            </w:tcBorders>
            <w:vAlign w:val="center"/>
          </w:tcPr>
          <w:p w14:paraId="587E5856">
            <w:pPr>
              <w:jc w:val="center"/>
              <w:rPr>
                <w:rFonts w:ascii="宋体" w:hAnsi="宋体" w:eastAsia="宋体"/>
                <w:b/>
                <w:color w:val="auto"/>
                <w:szCs w:val="21"/>
              </w:rPr>
            </w:pPr>
            <w:r>
              <w:rPr>
                <w:rFonts w:hint="eastAsia" w:ascii="宋体" w:hAnsi="宋体" w:eastAsia="宋体"/>
                <w:b/>
                <w:color w:val="auto"/>
                <w:szCs w:val="21"/>
              </w:rPr>
              <w:t>/</w:t>
            </w:r>
          </w:p>
        </w:tc>
        <w:tc>
          <w:tcPr>
            <w:tcW w:w="1414" w:type="dxa"/>
            <w:tcBorders>
              <w:top w:val="single" w:color="auto" w:sz="4" w:space="0"/>
              <w:left w:val="single" w:color="auto" w:sz="4" w:space="0"/>
              <w:bottom w:val="single" w:color="auto" w:sz="4" w:space="0"/>
              <w:right w:val="single" w:color="auto" w:sz="4" w:space="0"/>
            </w:tcBorders>
            <w:vAlign w:val="center"/>
          </w:tcPr>
          <w:p w14:paraId="4C7FBCAD">
            <w:pPr>
              <w:widowControl/>
              <w:jc w:val="center"/>
              <w:rPr>
                <w:rFonts w:ascii="宋体" w:hAnsi="宋体" w:eastAsia="宋体"/>
                <w:b/>
                <w:color w:val="auto"/>
                <w:szCs w:val="21"/>
              </w:rPr>
            </w:pPr>
            <w:r>
              <w:rPr>
                <w:rFonts w:hint="eastAsia" w:ascii="宋体" w:hAnsi="宋体" w:eastAsia="宋体"/>
                <w:b/>
                <w:color w:val="auto"/>
                <w:szCs w:val="21"/>
              </w:rPr>
              <w:t>/</w:t>
            </w:r>
          </w:p>
        </w:tc>
        <w:tc>
          <w:tcPr>
            <w:tcW w:w="1480" w:type="dxa"/>
            <w:tcBorders>
              <w:top w:val="single" w:color="auto" w:sz="4" w:space="0"/>
              <w:left w:val="single" w:color="auto" w:sz="4" w:space="0"/>
              <w:bottom w:val="single" w:color="auto" w:sz="4" w:space="0"/>
              <w:right w:val="single" w:color="auto" w:sz="4" w:space="0"/>
            </w:tcBorders>
            <w:vAlign w:val="center"/>
          </w:tcPr>
          <w:p w14:paraId="07214DD3">
            <w:pPr>
              <w:jc w:val="center"/>
              <w:rPr>
                <w:rFonts w:ascii="Times New Roman" w:hAnsi="Times New Roman" w:eastAsia="宋体"/>
                <w:b/>
                <w:color w:val="auto"/>
                <w:szCs w:val="21"/>
              </w:rPr>
            </w:pPr>
            <w:r>
              <w:rPr>
                <w:rFonts w:hint="eastAsia" w:ascii="宋体" w:hAnsi="宋体" w:eastAsia="宋体"/>
                <w:b/>
                <w:color w:val="auto"/>
                <w:szCs w:val="21"/>
              </w:rPr>
              <w:t>/</w:t>
            </w:r>
          </w:p>
        </w:tc>
        <w:tc>
          <w:tcPr>
            <w:tcW w:w="812" w:type="dxa"/>
            <w:tcBorders>
              <w:top w:val="single" w:color="auto" w:sz="4" w:space="0"/>
              <w:left w:val="single" w:color="auto" w:sz="4" w:space="0"/>
              <w:bottom w:val="single" w:color="auto" w:sz="4" w:space="0"/>
              <w:right w:val="single" w:color="auto" w:sz="4" w:space="0"/>
            </w:tcBorders>
            <w:vAlign w:val="center"/>
          </w:tcPr>
          <w:p w14:paraId="26F0792E">
            <w:pPr>
              <w:ind w:right="-107" w:rightChars="-51"/>
              <w:jc w:val="center"/>
              <w:rPr>
                <w:rFonts w:ascii="宋体" w:hAnsi="宋体" w:eastAsia="宋体"/>
                <w:bCs/>
                <w:color w:val="auto"/>
                <w:szCs w:val="21"/>
              </w:rPr>
            </w:pPr>
            <w:r>
              <w:rPr>
                <w:rFonts w:hint="eastAsia" w:ascii="宋体" w:hAnsi="宋体" w:eastAsia="宋体"/>
                <w:bCs/>
                <w:color w:val="auto"/>
                <w:szCs w:val="21"/>
              </w:rPr>
              <w:t>/</w:t>
            </w:r>
          </w:p>
        </w:tc>
        <w:tc>
          <w:tcPr>
            <w:tcW w:w="812" w:type="dxa"/>
            <w:tcBorders>
              <w:top w:val="single" w:color="auto" w:sz="4" w:space="0"/>
              <w:left w:val="single" w:color="auto" w:sz="4" w:space="0"/>
              <w:bottom w:val="single" w:color="auto" w:sz="4" w:space="0"/>
              <w:right w:val="single" w:color="auto" w:sz="4" w:space="0"/>
            </w:tcBorders>
            <w:vAlign w:val="center"/>
          </w:tcPr>
          <w:p w14:paraId="630EC3F4">
            <w:pPr>
              <w:ind w:right="-107" w:rightChars="-51"/>
              <w:jc w:val="center"/>
              <w:rPr>
                <w:rFonts w:ascii="宋体" w:hAnsi="宋体" w:eastAsia="宋体"/>
                <w:bCs/>
                <w:color w:val="auto"/>
                <w:szCs w:val="21"/>
              </w:rPr>
            </w:pPr>
            <w:r>
              <w:rPr>
                <w:rFonts w:hint="eastAsia" w:ascii="宋体" w:hAnsi="宋体" w:eastAsia="宋体"/>
                <w:bCs/>
                <w:color w:val="auto"/>
                <w:szCs w:val="21"/>
              </w:rPr>
              <w:t>/</w:t>
            </w:r>
          </w:p>
        </w:tc>
        <w:tc>
          <w:tcPr>
            <w:tcW w:w="691" w:type="dxa"/>
            <w:tcBorders>
              <w:top w:val="single" w:color="auto" w:sz="4" w:space="0"/>
              <w:left w:val="single" w:color="auto" w:sz="4" w:space="0"/>
              <w:bottom w:val="single" w:color="auto" w:sz="4" w:space="0"/>
              <w:right w:val="single" w:color="auto" w:sz="4" w:space="0"/>
            </w:tcBorders>
            <w:vAlign w:val="center"/>
          </w:tcPr>
          <w:p w14:paraId="767EE801">
            <w:pPr>
              <w:jc w:val="center"/>
              <w:rPr>
                <w:rFonts w:ascii="宋体" w:hAnsi="宋体" w:eastAsia="宋体"/>
                <w:bCs/>
                <w:color w:val="auto"/>
                <w:szCs w:val="21"/>
              </w:rPr>
            </w:pPr>
            <w:r>
              <w:rPr>
                <w:rFonts w:hint="eastAsia" w:ascii="宋体" w:hAnsi="宋体" w:eastAsia="宋体"/>
                <w:bCs/>
                <w:color w:val="auto"/>
                <w:szCs w:val="21"/>
              </w:rPr>
              <w:t>/</w:t>
            </w:r>
          </w:p>
        </w:tc>
        <w:tc>
          <w:tcPr>
            <w:tcW w:w="1314" w:type="dxa"/>
            <w:tcBorders>
              <w:top w:val="single" w:color="auto" w:sz="4" w:space="0"/>
              <w:left w:val="single" w:color="auto" w:sz="4" w:space="0"/>
              <w:bottom w:val="single" w:color="auto" w:sz="4" w:space="0"/>
              <w:right w:val="single" w:color="auto" w:sz="4" w:space="0"/>
            </w:tcBorders>
            <w:vAlign w:val="center"/>
          </w:tcPr>
          <w:p w14:paraId="42981020">
            <w:pPr>
              <w:jc w:val="center"/>
              <w:rPr>
                <w:rFonts w:ascii="宋体" w:hAnsi="宋体" w:eastAsia="宋体"/>
                <w:color w:val="auto"/>
                <w:szCs w:val="21"/>
              </w:rPr>
            </w:pPr>
            <w:r>
              <w:rPr>
                <w:rFonts w:hint="eastAsia" w:ascii="宋体" w:hAnsi="宋体" w:eastAsia="宋体"/>
                <w:color w:val="auto"/>
                <w:szCs w:val="21"/>
              </w:rPr>
              <w:t>/</w:t>
            </w:r>
          </w:p>
        </w:tc>
        <w:tc>
          <w:tcPr>
            <w:tcW w:w="1241" w:type="dxa"/>
            <w:tcBorders>
              <w:top w:val="single" w:color="auto" w:sz="4" w:space="0"/>
              <w:left w:val="single" w:color="auto" w:sz="4" w:space="0"/>
              <w:bottom w:val="single" w:color="auto" w:sz="4" w:space="0"/>
              <w:right w:val="single" w:color="auto" w:sz="4" w:space="0"/>
            </w:tcBorders>
            <w:vAlign w:val="center"/>
          </w:tcPr>
          <w:p w14:paraId="1402FDC5">
            <w:pPr>
              <w:jc w:val="center"/>
              <w:rPr>
                <w:rFonts w:ascii="宋体" w:hAnsi="宋体" w:eastAsia="宋体"/>
                <w:color w:val="auto"/>
                <w:szCs w:val="21"/>
              </w:rPr>
            </w:pPr>
            <w:r>
              <w:rPr>
                <w:rFonts w:hint="eastAsia" w:ascii="宋体" w:hAnsi="宋体" w:eastAsia="宋体"/>
                <w:color w:val="auto"/>
                <w:szCs w:val="21"/>
              </w:rPr>
              <w:t>/</w:t>
            </w:r>
          </w:p>
        </w:tc>
        <w:tc>
          <w:tcPr>
            <w:tcW w:w="606" w:type="dxa"/>
            <w:tcBorders>
              <w:top w:val="single" w:color="auto" w:sz="4" w:space="0"/>
              <w:left w:val="single" w:color="auto" w:sz="4" w:space="0"/>
              <w:bottom w:val="single" w:color="auto" w:sz="4" w:space="0"/>
              <w:right w:val="single" w:color="auto" w:sz="4" w:space="0"/>
            </w:tcBorders>
            <w:vAlign w:val="center"/>
          </w:tcPr>
          <w:p w14:paraId="6B5EE7D4">
            <w:pPr>
              <w:jc w:val="center"/>
              <w:rPr>
                <w:rFonts w:ascii="宋体" w:hAnsi="宋体" w:eastAsia="宋体"/>
                <w:color w:val="auto"/>
                <w:szCs w:val="21"/>
              </w:rPr>
            </w:pPr>
            <w:r>
              <w:rPr>
                <w:rFonts w:hint="eastAsia" w:ascii="宋体" w:hAnsi="宋体" w:eastAsia="宋体"/>
                <w:color w:val="auto"/>
                <w:szCs w:val="21"/>
              </w:rPr>
              <w:t>/</w:t>
            </w:r>
          </w:p>
        </w:tc>
      </w:tr>
      <w:tr w14:paraId="40FC4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40" w:type="dxa"/>
            <w:tcBorders>
              <w:top w:val="single" w:color="auto" w:sz="4" w:space="0"/>
              <w:left w:val="single" w:color="auto" w:sz="4" w:space="0"/>
              <w:bottom w:val="single" w:color="auto" w:sz="4" w:space="0"/>
              <w:right w:val="single" w:color="auto" w:sz="4" w:space="0"/>
            </w:tcBorders>
          </w:tcPr>
          <w:p w14:paraId="0B13FA58">
            <w:pPr>
              <w:jc w:val="center"/>
              <w:rPr>
                <w:rFonts w:ascii="宋体" w:hAnsi="宋体" w:eastAsia="宋体"/>
                <w:color w:val="auto"/>
                <w:szCs w:val="21"/>
              </w:rPr>
            </w:pPr>
          </w:p>
        </w:tc>
        <w:tc>
          <w:tcPr>
            <w:tcW w:w="1553" w:type="dxa"/>
            <w:tcBorders>
              <w:top w:val="single" w:color="auto" w:sz="4" w:space="0"/>
              <w:left w:val="single" w:color="auto" w:sz="4" w:space="0"/>
              <w:bottom w:val="single" w:color="auto" w:sz="4" w:space="0"/>
              <w:right w:val="single" w:color="auto" w:sz="4" w:space="0"/>
            </w:tcBorders>
          </w:tcPr>
          <w:p w14:paraId="226ACCE3">
            <w:pPr>
              <w:jc w:val="center"/>
              <w:rPr>
                <w:rFonts w:ascii="宋体" w:hAnsi="宋体" w:eastAsia="宋体"/>
                <w:b/>
                <w:bCs/>
                <w:color w:val="auto"/>
                <w:szCs w:val="21"/>
              </w:rPr>
            </w:pPr>
            <w:r>
              <w:rPr>
                <w:rFonts w:hint="eastAsia" w:ascii="宋体" w:hAnsi="宋体" w:eastAsia="宋体"/>
                <w:b/>
                <w:bCs/>
                <w:color w:val="auto"/>
                <w:szCs w:val="21"/>
              </w:rPr>
              <w:t>合计</w:t>
            </w:r>
          </w:p>
        </w:tc>
        <w:tc>
          <w:tcPr>
            <w:tcW w:w="2732" w:type="dxa"/>
            <w:gridSpan w:val="2"/>
            <w:tcBorders>
              <w:top w:val="single" w:color="auto" w:sz="4" w:space="0"/>
              <w:left w:val="single" w:color="auto" w:sz="4" w:space="0"/>
              <w:bottom w:val="single" w:color="auto" w:sz="4" w:space="0"/>
              <w:right w:val="single" w:color="auto" w:sz="4" w:space="0"/>
            </w:tcBorders>
            <w:vAlign w:val="center"/>
          </w:tcPr>
          <w:p w14:paraId="0C899332">
            <w:pPr>
              <w:rPr>
                <w:rFonts w:ascii="宋体" w:hAnsi="宋体" w:eastAsia="宋体"/>
                <w:b/>
                <w:bCs/>
                <w:color w:val="auto"/>
                <w:kern w:val="0"/>
                <w:szCs w:val="21"/>
              </w:rPr>
            </w:pPr>
          </w:p>
        </w:tc>
        <w:tc>
          <w:tcPr>
            <w:tcW w:w="606" w:type="dxa"/>
            <w:tcBorders>
              <w:top w:val="single" w:color="auto" w:sz="4" w:space="0"/>
              <w:left w:val="single" w:color="auto" w:sz="4" w:space="0"/>
              <w:bottom w:val="single" w:color="auto" w:sz="4" w:space="0"/>
              <w:right w:val="single" w:color="auto" w:sz="4" w:space="0"/>
            </w:tcBorders>
            <w:vAlign w:val="center"/>
          </w:tcPr>
          <w:p w14:paraId="20BFAB33">
            <w:pPr>
              <w:jc w:val="center"/>
              <w:rPr>
                <w:rFonts w:ascii="宋体" w:hAnsi="宋体" w:eastAsia="宋体"/>
                <w:b/>
                <w:bCs/>
                <w:color w:val="auto"/>
                <w:szCs w:val="21"/>
              </w:rPr>
            </w:pPr>
          </w:p>
        </w:tc>
        <w:tc>
          <w:tcPr>
            <w:tcW w:w="606" w:type="dxa"/>
            <w:tcBorders>
              <w:top w:val="single" w:color="auto" w:sz="4" w:space="0"/>
              <w:left w:val="single" w:color="auto" w:sz="4" w:space="0"/>
              <w:bottom w:val="single" w:color="auto" w:sz="4" w:space="0"/>
              <w:right w:val="single" w:color="auto" w:sz="4" w:space="0"/>
            </w:tcBorders>
            <w:vAlign w:val="center"/>
          </w:tcPr>
          <w:p w14:paraId="3E237C1E">
            <w:pPr>
              <w:jc w:val="center"/>
              <w:rPr>
                <w:rFonts w:ascii="宋体" w:hAnsi="宋体" w:eastAsia="宋体"/>
                <w:b/>
                <w:bCs/>
                <w:color w:val="auto"/>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251D2BCB">
            <w:pPr>
              <w:jc w:val="center"/>
              <w:rPr>
                <w:rFonts w:ascii="宋体" w:hAnsi="宋体" w:eastAsia="宋体"/>
                <w:b/>
                <w:bCs/>
                <w:color w:val="auto"/>
                <w:szCs w:val="21"/>
              </w:rPr>
            </w:pPr>
            <w:r>
              <w:rPr>
                <w:rFonts w:hint="eastAsia" w:ascii="宋体" w:hAnsi="宋体" w:eastAsia="宋体"/>
                <w:b/>
                <w:bCs/>
                <w:color w:val="auto"/>
                <w:szCs w:val="21"/>
              </w:rPr>
              <w:t>2</w:t>
            </w:r>
          </w:p>
        </w:tc>
        <w:tc>
          <w:tcPr>
            <w:tcW w:w="1414" w:type="dxa"/>
            <w:tcBorders>
              <w:top w:val="single" w:color="auto" w:sz="4" w:space="0"/>
              <w:left w:val="single" w:color="auto" w:sz="4" w:space="0"/>
              <w:bottom w:val="single" w:color="auto" w:sz="4" w:space="0"/>
              <w:right w:val="single" w:color="auto" w:sz="4" w:space="0"/>
            </w:tcBorders>
            <w:vAlign w:val="center"/>
          </w:tcPr>
          <w:p w14:paraId="2D108D02">
            <w:pPr>
              <w:widowControl/>
              <w:jc w:val="center"/>
              <w:rPr>
                <w:rFonts w:ascii="宋体" w:hAnsi="宋体" w:eastAsia="宋体"/>
                <w:b/>
                <w:bCs/>
                <w:color w:val="auto"/>
                <w:szCs w:val="21"/>
              </w:rPr>
            </w:pPr>
          </w:p>
        </w:tc>
        <w:tc>
          <w:tcPr>
            <w:tcW w:w="1480" w:type="dxa"/>
            <w:tcBorders>
              <w:top w:val="single" w:color="auto" w:sz="4" w:space="0"/>
              <w:left w:val="single" w:color="auto" w:sz="4" w:space="0"/>
              <w:bottom w:val="single" w:color="auto" w:sz="4" w:space="0"/>
              <w:right w:val="single" w:color="auto" w:sz="4" w:space="0"/>
            </w:tcBorders>
            <w:vAlign w:val="center"/>
          </w:tcPr>
          <w:p w14:paraId="7CA1F3CE">
            <w:pPr>
              <w:jc w:val="center"/>
              <w:rPr>
                <w:rFonts w:ascii="宋体" w:hAnsi="宋体" w:eastAsia="宋体"/>
                <w:b/>
                <w:bCs/>
                <w:color w:val="auto"/>
                <w:szCs w:val="21"/>
              </w:rPr>
            </w:pPr>
            <w:r>
              <w:rPr>
                <w:rFonts w:hint="eastAsia" w:ascii="宋体" w:hAnsi="宋体" w:eastAsia="宋体"/>
                <w:b/>
                <w:bCs/>
                <w:color w:val="auto"/>
                <w:szCs w:val="21"/>
              </w:rPr>
              <w:t>2989600</w:t>
            </w:r>
          </w:p>
        </w:tc>
        <w:tc>
          <w:tcPr>
            <w:tcW w:w="812" w:type="dxa"/>
            <w:tcBorders>
              <w:top w:val="single" w:color="auto" w:sz="4" w:space="0"/>
              <w:left w:val="single" w:color="auto" w:sz="4" w:space="0"/>
              <w:bottom w:val="single" w:color="auto" w:sz="4" w:space="0"/>
              <w:right w:val="single" w:color="auto" w:sz="4" w:space="0"/>
            </w:tcBorders>
            <w:vAlign w:val="center"/>
          </w:tcPr>
          <w:p w14:paraId="35FA0300">
            <w:pPr>
              <w:ind w:right="-107" w:rightChars="-51"/>
              <w:jc w:val="center"/>
              <w:rPr>
                <w:rFonts w:ascii="宋体" w:hAnsi="宋体" w:eastAsia="宋体"/>
                <w:b/>
                <w:bCs/>
                <w:color w:val="auto"/>
                <w:szCs w:val="21"/>
              </w:rPr>
            </w:pPr>
          </w:p>
        </w:tc>
        <w:tc>
          <w:tcPr>
            <w:tcW w:w="812" w:type="dxa"/>
            <w:tcBorders>
              <w:top w:val="single" w:color="auto" w:sz="4" w:space="0"/>
              <w:left w:val="single" w:color="auto" w:sz="4" w:space="0"/>
              <w:bottom w:val="single" w:color="auto" w:sz="4" w:space="0"/>
              <w:right w:val="single" w:color="auto" w:sz="4" w:space="0"/>
            </w:tcBorders>
            <w:vAlign w:val="center"/>
          </w:tcPr>
          <w:p w14:paraId="4EB23767">
            <w:pPr>
              <w:ind w:right="-107" w:rightChars="-51"/>
              <w:jc w:val="center"/>
              <w:rPr>
                <w:rFonts w:ascii="宋体" w:hAnsi="宋体" w:eastAsia="宋体"/>
                <w:b/>
                <w:bCs/>
                <w:color w:val="auto"/>
                <w:szCs w:val="21"/>
              </w:rPr>
            </w:pPr>
          </w:p>
        </w:tc>
        <w:tc>
          <w:tcPr>
            <w:tcW w:w="691" w:type="dxa"/>
            <w:tcBorders>
              <w:top w:val="single" w:color="auto" w:sz="4" w:space="0"/>
              <w:left w:val="single" w:color="auto" w:sz="4" w:space="0"/>
              <w:bottom w:val="single" w:color="auto" w:sz="4" w:space="0"/>
              <w:right w:val="single" w:color="auto" w:sz="4" w:space="0"/>
            </w:tcBorders>
            <w:vAlign w:val="center"/>
          </w:tcPr>
          <w:p w14:paraId="095C26DB">
            <w:pPr>
              <w:jc w:val="center"/>
              <w:rPr>
                <w:rFonts w:ascii="宋体" w:hAnsi="宋体" w:eastAsia="宋体"/>
                <w:b/>
                <w:bCs/>
                <w:color w:val="auto"/>
                <w:szCs w:val="21"/>
              </w:rPr>
            </w:pPr>
          </w:p>
        </w:tc>
        <w:tc>
          <w:tcPr>
            <w:tcW w:w="1314" w:type="dxa"/>
            <w:tcBorders>
              <w:top w:val="single" w:color="auto" w:sz="4" w:space="0"/>
              <w:left w:val="single" w:color="auto" w:sz="4" w:space="0"/>
              <w:bottom w:val="single" w:color="auto" w:sz="4" w:space="0"/>
              <w:right w:val="single" w:color="auto" w:sz="4" w:space="0"/>
            </w:tcBorders>
            <w:vAlign w:val="center"/>
          </w:tcPr>
          <w:p w14:paraId="1167F178">
            <w:pPr>
              <w:jc w:val="center"/>
              <w:rPr>
                <w:rFonts w:ascii="宋体" w:hAnsi="宋体" w:eastAsia="宋体"/>
                <w:b/>
                <w:bCs/>
                <w:color w:val="auto"/>
                <w:szCs w:val="21"/>
              </w:rPr>
            </w:pPr>
          </w:p>
        </w:tc>
        <w:tc>
          <w:tcPr>
            <w:tcW w:w="1241" w:type="dxa"/>
            <w:tcBorders>
              <w:top w:val="single" w:color="auto" w:sz="4" w:space="0"/>
              <w:left w:val="single" w:color="auto" w:sz="4" w:space="0"/>
              <w:bottom w:val="single" w:color="auto" w:sz="4" w:space="0"/>
              <w:right w:val="single" w:color="auto" w:sz="4" w:space="0"/>
            </w:tcBorders>
            <w:vAlign w:val="center"/>
          </w:tcPr>
          <w:p w14:paraId="1F8C863A">
            <w:pPr>
              <w:jc w:val="center"/>
              <w:rPr>
                <w:rFonts w:ascii="宋体" w:hAnsi="宋体" w:eastAsia="宋体"/>
                <w:b/>
                <w:bCs/>
                <w:color w:val="auto"/>
                <w:szCs w:val="21"/>
              </w:rPr>
            </w:pPr>
          </w:p>
        </w:tc>
        <w:tc>
          <w:tcPr>
            <w:tcW w:w="606" w:type="dxa"/>
            <w:tcBorders>
              <w:top w:val="single" w:color="auto" w:sz="4" w:space="0"/>
              <w:left w:val="single" w:color="auto" w:sz="4" w:space="0"/>
              <w:bottom w:val="single" w:color="auto" w:sz="4" w:space="0"/>
              <w:right w:val="single" w:color="auto" w:sz="4" w:space="0"/>
            </w:tcBorders>
          </w:tcPr>
          <w:p w14:paraId="0FCCCDCA">
            <w:pPr>
              <w:jc w:val="center"/>
              <w:rPr>
                <w:rFonts w:ascii="宋体" w:hAnsi="宋体" w:eastAsia="宋体"/>
                <w:b/>
                <w:bCs/>
                <w:color w:val="auto"/>
                <w:szCs w:val="21"/>
              </w:rPr>
            </w:pPr>
          </w:p>
        </w:tc>
      </w:tr>
      <w:tr w14:paraId="68426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093" w:type="dxa"/>
            <w:gridSpan w:val="2"/>
            <w:tcBorders>
              <w:top w:val="single" w:color="auto" w:sz="4" w:space="0"/>
              <w:left w:val="single" w:color="auto" w:sz="4" w:space="0"/>
              <w:bottom w:val="single" w:color="auto" w:sz="4" w:space="0"/>
              <w:right w:val="single" w:color="auto" w:sz="4" w:space="0"/>
            </w:tcBorders>
            <w:vAlign w:val="center"/>
          </w:tcPr>
          <w:p w14:paraId="235580EC">
            <w:pPr>
              <w:jc w:val="center"/>
              <w:rPr>
                <w:rFonts w:ascii="宋体" w:hAnsi="宋体" w:eastAsia="宋体"/>
                <w:b/>
                <w:bCs/>
                <w:color w:val="auto"/>
                <w:szCs w:val="21"/>
              </w:rPr>
            </w:pPr>
            <w:r>
              <w:rPr>
                <w:rFonts w:hint="eastAsia" w:ascii="宋体" w:hAnsi="宋体" w:eastAsia="宋体"/>
                <w:b/>
                <w:bCs/>
                <w:color w:val="auto"/>
                <w:szCs w:val="21"/>
              </w:rPr>
              <w:t>人民币总价</w:t>
            </w:r>
          </w:p>
        </w:tc>
        <w:tc>
          <w:tcPr>
            <w:tcW w:w="13130" w:type="dxa"/>
            <w:gridSpan w:val="13"/>
            <w:tcBorders>
              <w:top w:val="single" w:color="auto" w:sz="4" w:space="0"/>
              <w:left w:val="single" w:color="auto" w:sz="4" w:space="0"/>
              <w:bottom w:val="single" w:color="auto" w:sz="4" w:space="0"/>
              <w:right w:val="single" w:color="auto" w:sz="4" w:space="0"/>
            </w:tcBorders>
            <w:vAlign w:val="center"/>
          </w:tcPr>
          <w:p w14:paraId="14F35054">
            <w:pPr>
              <w:ind w:firstLine="211" w:firstLineChars="100"/>
              <w:jc w:val="both"/>
              <w:rPr>
                <w:rFonts w:ascii="宋体" w:hAnsi="宋体" w:eastAsia="宋体"/>
                <w:b/>
                <w:bCs/>
                <w:color w:val="auto"/>
                <w:szCs w:val="21"/>
              </w:rPr>
            </w:pPr>
            <w:r>
              <w:rPr>
                <w:rFonts w:hint="eastAsia" w:ascii="宋体" w:hAnsi="宋体" w:eastAsia="宋体" w:cs="宋体"/>
                <w:b/>
                <w:bCs/>
                <w:color w:val="auto"/>
                <w:szCs w:val="21"/>
              </w:rPr>
              <w:t>贰佰玖拾捌万玖仟陆佰元整（￥：2989600.00 ）</w:t>
            </w:r>
          </w:p>
        </w:tc>
      </w:tr>
      <w:tr w14:paraId="6EECD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093" w:type="dxa"/>
            <w:gridSpan w:val="2"/>
            <w:tcBorders>
              <w:top w:val="single" w:color="auto" w:sz="4" w:space="0"/>
              <w:left w:val="single" w:color="auto" w:sz="4" w:space="0"/>
              <w:bottom w:val="single" w:color="auto" w:sz="4" w:space="0"/>
              <w:right w:val="single" w:color="auto" w:sz="4" w:space="0"/>
            </w:tcBorders>
            <w:vAlign w:val="center"/>
          </w:tcPr>
          <w:p w14:paraId="07D144F0">
            <w:pPr>
              <w:jc w:val="center"/>
              <w:rPr>
                <w:rFonts w:ascii="宋体" w:hAnsi="宋体" w:eastAsia="宋体"/>
                <w:color w:val="auto"/>
                <w:szCs w:val="21"/>
              </w:rPr>
            </w:pPr>
            <w:r>
              <w:rPr>
                <w:rFonts w:hint="eastAsia" w:ascii="宋体" w:hAnsi="宋体" w:eastAsia="宋体"/>
                <w:color w:val="auto"/>
                <w:szCs w:val="21"/>
              </w:rPr>
              <w:t>备注</w:t>
            </w:r>
          </w:p>
        </w:tc>
        <w:tc>
          <w:tcPr>
            <w:tcW w:w="13130" w:type="dxa"/>
            <w:gridSpan w:val="13"/>
            <w:tcBorders>
              <w:top w:val="single" w:color="auto" w:sz="4" w:space="0"/>
              <w:left w:val="single" w:color="auto" w:sz="4" w:space="0"/>
              <w:bottom w:val="single" w:color="auto" w:sz="4" w:space="0"/>
              <w:right w:val="single" w:color="auto" w:sz="4" w:space="0"/>
            </w:tcBorders>
            <w:vAlign w:val="center"/>
          </w:tcPr>
          <w:p w14:paraId="716E7D10">
            <w:pPr>
              <w:ind w:firstLine="210" w:firstLineChars="100"/>
              <w:jc w:val="both"/>
              <w:rPr>
                <w:rFonts w:ascii="宋体" w:hAnsi="宋体" w:eastAsia="宋体"/>
                <w:color w:val="auto"/>
                <w:szCs w:val="21"/>
              </w:rPr>
            </w:pPr>
            <w:r>
              <w:rPr>
                <w:rFonts w:hint="eastAsia" w:ascii="宋体" w:hAnsi="宋体" w:eastAsia="宋体"/>
                <w:color w:val="auto"/>
                <w:szCs w:val="21"/>
              </w:rPr>
              <w:t>另附</w:t>
            </w:r>
            <w:r>
              <w:rPr>
                <w:rFonts w:hint="eastAsia" w:ascii="宋体" w:hAnsi="宋体" w:eastAsia="宋体"/>
                <w:color w:val="auto"/>
                <w:kern w:val="0"/>
                <w:szCs w:val="21"/>
              </w:rPr>
              <w:t>制造商</w:t>
            </w:r>
            <w:r>
              <w:rPr>
                <w:rFonts w:hint="eastAsia" w:ascii="宋体" w:hAnsi="宋体" w:eastAsia="宋体"/>
                <w:color w:val="auto"/>
                <w:szCs w:val="21"/>
              </w:rPr>
              <w:t>：</w:t>
            </w:r>
            <w:r>
              <w:rPr>
                <w:rFonts w:hint="eastAsia" w:ascii="宋体" w:hAnsi="宋体" w:eastAsia="宋体" w:cs="宋体"/>
                <w:b w:val="0"/>
                <w:bCs w:val="0"/>
                <w:color w:val="auto"/>
                <w:szCs w:val="21"/>
              </w:rPr>
              <w:t>表面等离子共振分子互作系统</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振动切片机</w:t>
            </w:r>
            <w:r>
              <w:rPr>
                <w:rFonts w:hint="eastAsia" w:ascii="宋体" w:hAnsi="宋体" w:eastAsia="宋体"/>
                <w:b w:val="0"/>
                <w:bCs w:val="0"/>
                <w:color w:val="auto"/>
                <w:szCs w:val="21"/>
              </w:rPr>
              <w:t>配置清单</w:t>
            </w:r>
          </w:p>
        </w:tc>
      </w:tr>
    </w:tbl>
    <w:p w14:paraId="2BF6DAAE">
      <w:pPr>
        <w:rPr>
          <w:rFonts w:ascii="宋体" w:hAnsi="宋体" w:eastAsia="宋体"/>
          <w:b/>
          <w:sz w:val="24"/>
          <w:szCs w:val="24"/>
        </w:rPr>
      </w:pPr>
      <w:r>
        <w:rPr>
          <w:rFonts w:hint="eastAsia" w:ascii="宋体" w:hAnsi="宋体" w:eastAsia="宋体"/>
          <w:b/>
          <w:sz w:val="24"/>
          <w:szCs w:val="24"/>
        </w:rPr>
        <w:t xml:space="preserve"> </w:t>
      </w:r>
    </w:p>
    <w:p w14:paraId="03EE40EC">
      <w:pPr>
        <w:rPr>
          <w:rFonts w:ascii="宋体" w:hAnsi="宋体" w:eastAsia="宋体"/>
          <w:b/>
          <w:szCs w:val="21"/>
        </w:rPr>
      </w:pPr>
    </w:p>
    <w:p w14:paraId="726FEB63">
      <w:pPr>
        <w:rPr>
          <w:rFonts w:ascii="宋体" w:hAnsi="宋体" w:eastAsia="宋体"/>
          <w:b/>
          <w:szCs w:val="21"/>
        </w:rPr>
      </w:pPr>
      <w:r>
        <w:rPr>
          <w:rFonts w:hint="eastAsia" w:ascii="宋体" w:hAnsi="宋体" w:eastAsia="宋体"/>
          <w:b/>
          <w:szCs w:val="21"/>
        </w:rPr>
        <w:t>甲方货物负责人签字：</w:t>
      </w:r>
      <w:r>
        <w:rPr>
          <w:rFonts w:hint="eastAsia" w:ascii="Times New Roman" w:hAnsi="Times New Roman" w:eastAsia="宋体"/>
          <w:b/>
          <w:szCs w:val="21"/>
        </w:rPr>
        <w:t xml:space="preserve"> </w:t>
      </w:r>
    </w:p>
    <w:p w14:paraId="2BE6BBE1">
      <w:pPr>
        <w:rPr>
          <w:rFonts w:ascii="宋体" w:hAnsi="宋体" w:eastAsia="宋体"/>
          <w:b/>
          <w:sz w:val="24"/>
          <w:szCs w:val="24"/>
        </w:rPr>
      </w:pPr>
      <w:r>
        <w:rPr>
          <w:rFonts w:hint="eastAsia" w:ascii="宋体" w:hAnsi="宋体" w:eastAsia="宋体"/>
          <w:b/>
          <w:sz w:val="24"/>
          <w:szCs w:val="24"/>
        </w:rPr>
        <w:t xml:space="preserve"> </w:t>
      </w:r>
    </w:p>
    <w:p w14:paraId="6086179A">
      <w:pPr>
        <w:rPr>
          <w:rFonts w:ascii="宋体" w:hAnsi="宋体" w:eastAsia="宋体"/>
          <w:b/>
          <w:kern w:val="0"/>
          <w:sz w:val="24"/>
          <w:szCs w:val="24"/>
        </w:rPr>
      </w:pPr>
      <w:r>
        <w:rPr>
          <w:rFonts w:hint="eastAsia" w:ascii="宋体" w:hAnsi="宋体" w:eastAsia="宋体"/>
          <w:b/>
          <w:sz w:val="24"/>
          <w:szCs w:val="24"/>
        </w:rPr>
        <w:t xml:space="preserve"> </w:t>
      </w:r>
    </w:p>
    <w:p w14:paraId="0C01B3F0">
      <w:pPr>
        <w:rPr>
          <w:rFonts w:ascii="宋体" w:hAnsi="宋体" w:eastAsia="宋体"/>
          <w:b/>
          <w:kern w:val="0"/>
          <w:sz w:val="24"/>
          <w:szCs w:val="24"/>
        </w:rPr>
      </w:pPr>
    </w:p>
    <w:p w14:paraId="1C6B8FAD">
      <w:pPr>
        <w:rPr>
          <w:rFonts w:ascii="宋体" w:hAnsi="宋体" w:eastAsia="宋体"/>
          <w:b/>
          <w:kern w:val="0"/>
          <w:sz w:val="24"/>
          <w:szCs w:val="24"/>
        </w:rPr>
      </w:pPr>
    </w:p>
    <w:p w14:paraId="38CF4CB0">
      <w:pPr>
        <w:rPr>
          <w:rFonts w:ascii="宋体" w:hAnsi="宋体" w:eastAsia="宋体"/>
          <w:b/>
          <w:kern w:val="0"/>
          <w:sz w:val="24"/>
          <w:szCs w:val="24"/>
        </w:rPr>
      </w:pPr>
    </w:p>
    <w:p w14:paraId="1C766FFB">
      <w:pPr>
        <w:rPr>
          <w:rFonts w:ascii="宋体" w:hAnsi="宋体" w:eastAsia="宋体"/>
          <w:b/>
          <w:kern w:val="0"/>
          <w:sz w:val="24"/>
          <w:szCs w:val="24"/>
        </w:rPr>
      </w:pPr>
    </w:p>
    <w:p w14:paraId="33EC233B">
      <w:pPr>
        <w:rPr>
          <w:rFonts w:ascii="宋体" w:hAnsi="宋体" w:eastAsia="宋体"/>
          <w:b/>
          <w:kern w:val="0"/>
          <w:sz w:val="24"/>
          <w:szCs w:val="24"/>
        </w:rPr>
      </w:pPr>
    </w:p>
    <w:p w14:paraId="7354F160">
      <w:pPr>
        <w:rPr>
          <w:rFonts w:ascii="宋体" w:hAnsi="宋体" w:eastAsia="宋体"/>
          <w:b/>
          <w:kern w:val="0"/>
          <w:sz w:val="24"/>
          <w:szCs w:val="24"/>
        </w:rPr>
      </w:pPr>
    </w:p>
    <w:p w14:paraId="6E09C687">
      <w:pPr>
        <w:rPr>
          <w:rFonts w:ascii="宋体" w:hAnsi="宋体" w:eastAsia="宋体"/>
          <w:sz w:val="28"/>
          <w:szCs w:val="28"/>
        </w:rPr>
      </w:pPr>
      <w:r>
        <w:rPr>
          <w:rFonts w:hint="eastAsia" w:ascii="宋体" w:hAnsi="宋体" w:eastAsia="宋体"/>
          <w:b/>
          <w:kern w:val="0"/>
          <w:sz w:val="24"/>
          <w:szCs w:val="24"/>
        </w:rPr>
        <w:t>附件3：</w:t>
      </w:r>
      <w:r>
        <w:rPr>
          <w:rFonts w:hint="eastAsia" w:ascii="宋体" w:hAnsi="宋体" w:eastAsia="宋体"/>
          <w:b/>
          <w:kern w:val="0"/>
          <w:sz w:val="28"/>
          <w:szCs w:val="28"/>
        </w:rPr>
        <w:t>制造商</w:t>
      </w:r>
      <w:r>
        <w:rPr>
          <w:rFonts w:hint="eastAsia" w:ascii="宋体" w:hAnsi="宋体" w:eastAsia="宋体"/>
          <w:b/>
          <w:sz w:val="28"/>
          <w:szCs w:val="28"/>
        </w:rPr>
        <w:t>：</w:t>
      </w:r>
    </w:p>
    <w:p w14:paraId="43EFD624">
      <w:pPr>
        <w:ind w:firstLine="840" w:firstLineChars="300"/>
        <w:rPr>
          <w:rFonts w:hint="eastAsia" w:ascii="宋体" w:hAnsi="宋体" w:eastAsia="宋体"/>
          <w:bCs/>
          <w:sz w:val="28"/>
          <w:szCs w:val="28"/>
        </w:rPr>
      </w:pPr>
      <w:r>
        <w:rPr>
          <w:rFonts w:hint="eastAsia" w:ascii="宋体" w:hAnsi="宋体" w:eastAsia="宋体"/>
          <w:bCs/>
          <w:sz w:val="28"/>
          <w:szCs w:val="28"/>
        </w:rPr>
        <w:t>货物配置清单</w:t>
      </w:r>
    </w:p>
    <w:p w14:paraId="054CCDAC">
      <w:pPr>
        <w:bidi w:val="0"/>
      </w:pPr>
    </w:p>
    <w:p w14:paraId="25A662C7">
      <w:pPr>
        <w:ind w:firstLine="720" w:firstLineChars="300"/>
        <w:rPr>
          <w:rFonts w:ascii="宋体" w:hAnsi="宋体" w:eastAsia="宋体" w:cs="宋体"/>
          <w:color w:val="auto"/>
          <w:sz w:val="24"/>
          <w:szCs w:val="24"/>
        </w:rPr>
      </w:pPr>
      <w:r>
        <w:rPr>
          <w:rFonts w:hint="eastAsia" w:ascii="宋体" w:hAnsi="宋体" w:eastAsia="宋体" w:cs="宋体"/>
          <w:bCs/>
          <w:color w:val="auto"/>
          <w:sz w:val="24"/>
          <w:szCs w:val="24"/>
        </w:rPr>
        <w:t>产品名称：</w:t>
      </w:r>
      <w:r>
        <w:rPr>
          <w:rFonts w:hint="eastAsia" w:ascii="宋体" w:hAnsi="宋体" w:eastAsia="宋体" w:cs="宋体"/>
          <w:color w:val="auto"/>
          <w:sz w:val="24"/>
          <w:szCs w:val="24"/>
        </w:rPr>
        <w:t>表面等离子共振分子互作系统</w:t>
      </w:r>
    </w:p>
    <w:tbl>
      <w:tblPr>
        <w:tblStyle w:val="8"/>
        <w:tblW w:w="0" w:type="auto"/>
        <w:tblInd w:w="7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3198"/>
        <w:gridCol w:w="1185"/>
        <w:gridCol w:w="1545"/>
        <w:gridCol w:w="1710"/>
        <w:gridCol w:w="2010"/>
      </w:tblGrid>
      <w:tr w14:paraId="2B450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022" w:type="dxa"/>
            <w:vAlign w:val="center"/>
          </w:tcPr>
          <w:p w14:paraId="124514B2">
            <w:pPr>
              <w:jc w:val="center"/>
              <w:rPr>
                <w:rFonts w:ascii="宋体" w:hAnsi="宋体" w:eastAsia="宋体" w:cs="宋体"/>
                <w:bCs/>
                <w:color w:val="auto"/>
                <w:sz w:val="24"/>
                <w:szCs w:val="24"/>
              </w:rPr>
            </w:pPr>
            <w:r>
              <w:rPr>
                <w:rFonts w:hint="eastAsia" w:ascii="宋体" w:hAnsi="宋体" w:eastAsia="宋体" w:cs="宋体"/>
                <w:bCs/>
                <w:color w:val="auto"/>
                <w:sz w:val="24"/>
                <w:szCs w:val="24"/>
              </w:rPr>
              <w:t>序号</w:t>
            </w:r>
          </w:p>
        </w:tc>
        <w:tc>
          <w:tcPr>
            <w:tcW w:w="3198" w:type="dxa"/>
            <w:vAlign w:val="center"/>
          </w:tcPr>
          <w:p w14:paraId="7150A5FD">
            <w:pPr>
              <w:jc w:val="center"/>
              <w:rPr>
                <w:rFonts w:ascii="宋体" w:hAnsi="宋体" w:eastAsia="宋体" w:cs="宋体"/>
                <w:bCs/>
                <w:color w:val="auto"/>
                <w:sz w:val="24"/>
                <w:szCs w:val="24"/>
              </w:rPr>
            </w:pPr>
            <w:r>
              <w:rPr>
                <w:rFonts w:hint="eastAsia" w:ascii="宋体" w:hAnsi="宋体" w:eastAsia="宋体" w:cs="宋体"/>
                <w:bCs/>
                <w:color w:val="auto"/>
                <w:sz w:val="24"/>
                <w:szCs w:val="24"/>
              </w:rPr>
              <w:t>货物名称</w:t>
            </w:r>
          </w:p>
        </w:tc>
        <w:tc>
          <w:tcPr>
            <w:tcW w:w="1185" w:type="dxa"/>
            <w:vAlign w:val="center"/>
          </w:tcPr>
          <w:p w14:paraId="06F6BEE0">
            <w:pPr>
              <w:jc w:val="center"/>
              <w:rPr>
                <w:rFonts w:ascii="宋体" w:hAnsi="宋体" w:eastAsia="宋体" w:cs="宋体"/>
                <w:bCs/>
                <w:color w:val="auto"/>
                <w:sz w:val="24"/>
                <w:szCs w:val="24"/>
              </w:rPr>
            </w:pPr>
            <w:r>
              <w:rPr>
                <w:rFonts w:hint="eastAsia" w:ascii="宋体" w:hAnsi="宋体" w:eastAsia="宋体" w:cs="宋体"/>
                <w:bCs/>
                <w:color w:val="auto"/>
                <w:sz w:val="24"/>
                <w:szCs w:val="24"/>
              </w:rPr>
              <w:t>品牌</w:t>
            </w:r>
          </w:p>
        </w:tc>
        <w:tc>
          <w:tcPr>
            <w:tcW w:w="1545" w:type="dxa"/>
            <w:vAlign w:val="center"/>
          </w:tcPr>
          <w:p w14:paraId="5203167F">
            <w:pPr>
              <w:jc w:val="center"/>
              <w:rPr>
                <w:rFonts w:ascii="宋体" w:hAnsi="宋体" w:eastAsia="宋体" w:cs="宋体"/>
                <w:bCs/>
                <w:color w:val="auto"/>
                <w:sz w:val="24"/>
                <w:szCs w:val="24"/>
              </w:rPr>
            </w:pPr>
            <w:r>
              <w:rPr>
                <w:rFonts w:hint="eastAsia" w:ascii="宋体" w:hAnsi="宋体" w:eastAsia="宋体" w:cs="宋体"/>
                <w:bCs/>
                <w:color w:val="auto"/>
                <w:sz w:val="24"/>
                <w:szCs w:val="24"/>
              </w:rPr>
              <w:t>产地</w:t>
            </w:r>
          </w:p>
        </w:tc>
        <w:tc>
          <w:tcPr>
            <w:tcW w:w="1710" w:type="dxa"/>
            <w:vAlign w:val="center"/>
          </w:tcPr>
          <w:p w14:paraId="2C9225BA">
            <w:pPr>
              <w:jc w:val="center"/>
              <w:rPr>
                <w:rFonts w:ascii="宋体" w:hAnsi="宋体" w:eastAsia="宋体" w:cs="宋体"/>
                <w:bCs/>
                <w:color w:val="auto"/>
                <w:sz w:val="24"/>
                <w:szCs w:val="24"/>
              </w:rPr>
            </w:pPr>
            <w:r>
              <w:rPr>
                <w:rFonts w:hint="eastAsia" w:ascii="宋体" w:hAnsi="宋体" w:eastAsia="宋体" w:cs="宋体"/>
                <w:bCs/>
                <w:color w:val="auto"/>
                <w:sz w:val="24"/>
                <w:szCs w:val="24"/>
              </w:rPr>
              <w:t>型号规格</w:t>
            </w:r>
          </w:p>
        </w:tc>
        <w:tc>
          <w:tcPr>
            <w:tcW w:w="2010" w:type="dxa"/>
            <w:vAlign w:val="center"/>
          </w:tcPr>
          <w:p w14:paraId="1D2F04AF">
            <w:pPr>
              <w:ind w:firstLine="240" w:firstLineChars="100"/>
              <w:rPr>
                <w:rFonts w:ascii="宋体" w:hAnsi="宋体" w:eastAsia="宋体" w:cs="宋体"/>
                <w:bCs/>
                <w:color w:val="auto"/>
                <w:sz w:val="24"/>
                <w:szCs w:val="24"/>
              </w:rPr>
            </w:pPr>
            <w:r>
              <w:rPr>
                <w:rFonts w:hint="eastAsia" w:ascii="宋体" w:hAnsi="宋体" w:eastAsia="宋体" w:cs="宋体"/>
                <w:bCs/>
                <w:color w:val="auto"/>
                <w:sz w:val="24"/>
                <w:szCs w:val="24"/>
              </w:rPr>
              <w:t>数量及单位</w:t>
            </w:r>
          </w:p>
        </w:tc>
      </w:tr>
      <w:tr w14:paraId="0497E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022" w:type="dxa"/>
            <w:vAlign w:val="center"/>
          </w:tcPr>
          <w:p w14:paraId="66DE6F19">
            <w:pPr>
              <w:jc w:val="center"/>
              <w:rPr>
                <w:rFonts w:ascii="宋体" w:hAnsi="宋体" w:eastAsia="宋体" w:cs="宋体"/>
                <w:bCs/>
                <w:color w:val="auto"/>
                <w:sz w:val="24"/>
                <w:szCs w:val="24"/>
              </w:rPr>
            </w:pPr>
            <w:r>
              <w:rPr>
                <w:rFonts w:hint="eastAsia" w:ascii="宋体" w:hAnsi="宋体" w:eastAsia="宋体" w:cs="宋体"/>
                <w:bCs/>
                <w:color w:val="auto"/>
                <w:sz w:val="24"/>
                <w:szCs w:val="24"/>
              </w:rPr>
              <w:t>1</w:t>
            </w:r>
          </w:p>
        </w:tc>
        <w:tc>
          <w:tcPr>
            <w:tcW w:w="3198" w:type="dxa"/>
            <w:vAlign w:val="center"/>
          </w:tcPr>
          <w:p w14:paraId="5931C725">
            <w:pPr>
              <w:jc w:val="center"/>
              <w:rPr>
                <w:rFonts w:ascii="宋体" w:hAnsi="宋体" w:eastAsia="宋体" w:cs="宋体"/>
                <w:color w:val="auto"/>
                <w:sz w:val="24"/>
                <w:szCs w:val="24"/>
              </w:rPr>
            </w:pPr>
            <w:r>
              <w:rPr>
                <w:rFonts w:hint="eastAsia" w:ascii="宋体" w:hAnsi="宋体" w:eastAsia="宋体" w:cs="宋体"/>
                <w:color w:val="auto"/>
                <w:sz w:val="24"/>
                <w:szCs w:val="24"/>
              </w:rPr>
              <w:t>表面等离子共振分子互作系统</w:t>
            </w:r>
          </w:p>
        </w:tc>
        <w:tc>
          <w:tcPr>
            <w:tcW w:w="1185" w:type="dxa"/>
            <w:vAlign w:val="center"/>
          </w:tcPr>
          <w:p w14:paraId="195B0023">
            <w:pPr>
              <w:jc w:val="center"/>
              <w:rPr>
                <w:rFonts w:ascii="宋体" w:hAnsi="宋体" w:eastAsia="宋体" w:cs="宋体"/>
                <w:color w:val="auto"/>
                <w:sz w:val="24"/>
                <w:szCs w:val="24"/>
              </w:rPr>
            </w:pPr>
            <w:r>
              <w:rPr>
                <w:rFonts w:hint="eastAsia" w:ascii="宋体" w:hAnsi="宋体" w:eastAsia="宋体" w:cs="宋体"/>
                <w:color w:val="auto"/>
                <w:sz w:val="24"/>
                <w:szCs w:val="24"/>
              </w:rPr>
              <w:t>Cytiva</w:t>
            </w:r>
          </w:p>
        </w:tc>
        <w:tc>
          <w:tcPr>
            <w:tcW w:w="1545" w:type="dxa"/>
            <w:vAlign w:val="center"/>
          </w:tcPr>
          <w:p w14:paraId="50039F2B">
            <w:pPr>
              <w:jc w:val="center"/>
              <w:rPr>
                <w:rFonts w:ascii="宋体" w:hAnsi="宋体" w:eastAsia="宋体" w:cs="宋体"/>
                <w:color w:val="auto"/>
                <w:sz w:val="24"/>
                <w:szCs w:val="24"/>
              </w:rPr>
            </w:pPr>
            <w:r>
              <w:rPr>
                <w:rFonts w:hint="eastAsia" w:ascii="宋体" w:hAnsi="宋体" w:eastAsia="宋体" w:cs="宋体"/>
                <w:color w:val="auto"/>
                <w:sz w:val="24"/>
                <w:szCs w:val="24"/>
              </w:rPr>
              <w:t>瑞典</w:t>
            </w:r>
          </w:p>
        </w:tc>
        <w:tc>
          <w:tcPr>
            <w:tcW w:w="1710" w:type="dxa"/>
            <w:vAlign w:val="center"/>
          </w:tcPr>
          <w:p w14:paraId="2F91C00F">
            <w:pPr>
              <w:jc w:val="center"/>
              <w:rPr>
                <w:rFonts w:ascii="宋体" w:hAnsi="宋体" w:eastAsia="宋体" w:cs="宋体"/>
                <w:color w:val="auto"/>
                <w:sz w:val="24"/>
                <w:szCs w:val="24"/>
              </w:rPr>
            </w:pPr>
            <w:r>
              <w:rPr>
                <w:rFonts w:hint="eastAsia" w:ascii="宋体" w:hAnsi="宋体" w:eastAsia="宋体" w:cs="宋体"/>
                <w:color w:val="auto"/>
                <w:sz w:val="24"/>
                <w:szCs w:val="24"/>
              </w:rPr>
              <w:t>Biacore 1k</w:t>
            </w:r>
          </w:p>
        </w:tc>
        <w:tc>
          <w:tcPr>
            <w:tcW w:w="2010" w:type="dxa"/>
            <w:vAlign w:val="center"/>
          </w:tcPr>
          <w:p w14:paraId="2ED4E302">
            <w:pPr>
              <w:jc w:val="center"/>
              <w:rPr>
                <w:rFonts w:ascii="宋体" w:hAnsi="宋体" w:eastAsia="宋体" w:cs="宋体"/>
                <w:color w:val="auto"/>
                <w:sz w:val="24"/>
                <w:szCs w:val="24"/>
              </w:rPr>
            </w:pPr>
            <w:r>
              <w:rPr>
                <w:rFonts w:hint="eastAsia" w:ascii="宋体" w:hAnsi="宋体" w:eastAsia="宋体" w:cs="宋体"/>
                <w:color w:val="auto"/>
                <w:sz w:val="24"/>
                <w:szCs w:val="24"/>
              </w:rPr>
              <w:t>1台</w:t>
            </w:r>
          </w:p>
        </w:tc>
      </w:tr>
    </w:tbl>
    <w:p w14:paraId="67D95228">
      <w:pPr>
        <w:rPr>
          <w:rFonts w:ascii="宋体" w:hAnsi="宋体" w:eastAsia="宋体"/>
          <w:b/>
          <w:color w:val="auto"/>
          <w:sz w:val="24"/>
          <w:szCs w:val="24"/>
        </w:rPr>
      </w:pPr>
    </w:p>
    <w:p w14:paraId="75CD96BD">
      <w:pPr>
        <w:ind w:firstLine="720" w:firstLineChars="300"/>
        <w:rPr>
          <w:rFonts w:hint="eastAsia" w:ascii="宋体" w:hAnsi="宋体" w:eastAsia="宋体" w:cs="宋体"/>
          <w:bCs/>
          <w:color w:val="auto"/>
          <w:sz w:val="24"/>
          <w:szCs w:val="24"/>
        </w:rPr>
      </w:pPr>
    </w:p>
    <w:p w14:paraId="3D190120">
      <w:pPr>
        <w:ind w:firstLine="720" w:firstLineChars="300"/>
        <w:rPr>
          <w:rFonts w:ascii="宋体" w:hAnsi="宋体" w:eastAsia="宋体" w:cs="宋体"/>
          <w:color w:val="auto"/>
          <w:sz w:val="24"/>
          <w:szCs w:val="24"/>
        </w:rPr>
      </w:pPr>
      <w:r>
        <w:rPr>
          <w:rFonts w:hint="eastAsia" w:ascii="宋体" w:hAnsi="宋体" w:eastAsia="宋体" w:cs="宋体"/>
          <w:bCs/>
          <w:color w:val="auto"/>
          <w:sz w:val="24"/>
          <w:szCs w:val="24"/>
        </w:rPr>
        <w:t>产品名称：</w:t>
      </w:r>
      <w:r>
        <w:rPr>
          <w:rFonts w:hint="eastAsia" w:ascii="宋体" w:hAnsi="宋体" w:eastAsia="宋体" w:cs="宋体"/>
          <w:color w:val="auto"/>
          <w:sz w:val="24"/>
          <w:szCs w:val="24"/>
        </w:rPr>
        <w:t>振动切片机</w:t>
      </w:r>
    </w:p>
    <w:tbl>
      <w:tblPr>
        <w:tblStyle w:val="8"/>
        <w:tblW w:w="0" w:type="auto"/>
        <w:tblInd w:w="7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3198"/>
        <w:gridCol w:w="1185"/>
        <w:gridCol w:w="1545"/>
        <w:gridCol w:w="1725"/>
        <w:gridCol w:w="1995"/>
      </w:tblGrid>
      <w:tr w14:paraId="5D9C5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022" w:type="dxa"/>
            <w:vAlign w:val="center"/>
          </w:tcPr>
          <w:p w14:paraId="5DE0F932">
            <w:pPr>
              <w:jc w:val="center"/>
              <w:rPr>
                <w:rFonts w:ascii="宋体" w:hAnsi="宋体" w:eastAsia="宋体" w:cs="宋体"/>
                <w:bCs/>
                <w:color w:val="auto"/>
                <w:sz w:val="24"/>
                <w:szCs w:val="24"/>
              </w:rPr>
            </w:pPr>
            <w:r>
              <w:rPr>
                <w:rFonts w:hint="eastAsia" w:ascii="宋体" w:hAnsi="宋体" w:eastAsia="宋体" w:cs="宋体"/>
                <w:bCs/>
                <w:color w:val="auto"/>
                <w:sz w:val="24"/>
                <w:szCs w:val="24"/>
              </w:rPr>
              <w:t>序号</w:t>
            </w:r>
          </w:p>
        </w:tc>
        <w:tc>
          <w:tcPr>
            <w:tcW w:w="3198" w:type="dxa"/>
            <w:vAlign w:val="center"/>
          </w:tcPr>
          <w:p w14:paraId="34CBDD6A">
            <w:pPr>
              <w:jc w:val="center"/>
              <w:rPr>
                <w:rFonts w:ascii="宋体" w:hAnsi="宋体" w:eastAsia="宋体" w:cs="宋体"/>
                <w:bCs/>
                <w:color w:val="auto"/>
                <w:sz w:val="24"/>
                <w:szCs w:val="24"/>
              </w:rPr>
            </w:pPr>
            <w:r>
              <w:rPr>
                <w:rFonts w:hint="eastAsia" w:ascii="宋体" w:hAnsi="宋体" w:eastAsia="宋体" w:cs="宋体"/>
                <w:bCs/>
                <w:color w:val="auto"/>
                <w:sz w:val="24"/>
                <w:szCs w:val="24"/>
              </w:rPr>
              <w:t>货物名称</w:t>
            </w:r>
          </w:p>
        </w:tc>
        <w:tc>
          <w:tcPr>
            <w:tcW w:w="1185" w:type="dxa"/>
            <w:vAlign w:val="center"/>
          </w:tcPr>
          <w:p w14:paraId="60E83676">
            <w:pPr>
              <w:jc w:val="center"/>
              <w:rPr>
                <w:rFonts w:ascii="宋体" w:hAnsi="宋体" w:eastAsia="宋体" w:cs="宋体"/>
                <w:bCs/>
                <w:color w:val="auto"/>
                <w:sz w:val="24"/>
                <w:szCs w:val="24"/>
              </w:rPr>
            </w:pPr>
            <w:r>
              <w:rPr>
                <w:rFonts w:hint="eastAsia" w:ascii="宋体" w:hAnsi="宋体" w:eastAsia="宋体" w:cs="宋体"/>
                <w:bCs/>
                <w:color w:val="auto"/>
                <w:sz w:val="24"/>
                <w:szCs w:val="24"/>
              </w:rPr>
              <w:t>品牌</w:t>
            </w:r>
          </w:p>
        </w:tc>
        <w:tc>
          <w:tcPr>
            <w:tcW w:w="1545" w:type="dxa"/>
            <w:vAlign w:val="center"/>
          </w:tcPr>
          <w:p w14:paraId="6DEE8116">
            <w:pPr>
              <w:jc w:val="center"/>
              <w:rPr>
                <w:rFonts w:ascii="宋体" w:hAnsi="宋体" w:eastAsia="宋体" w:cs="宋体"/>
                <w:bCs/>
                <w:color w:val="auto"/>
                <w:sz w:val="24"/>
                <w:szCs w:val="24"/>
              </w:rPr>
            </w:pPr>
            <w:r>
              <w:rPr>
                <w:rFonts w:hint="eastAsia" w:ascii="宋体" w:hAnsi="宋体" w:eastAsia="宋体" w:cs="宋体"/>
                <w:bCs/>
                <w:color w:val="auto"/>
                <w:sz w:val="24"/>
                <w:szCs w:val="24"/>
              </w:rPr>
              <w:t>产地</w:t>
            </w:r>
          </w:p>
        </w:tc>
        <w:tc>
          <w:tcPr>
            <w:tcW w:w="1725" w:type="dxa"/>
            <w:vAlign w:val="center"/>
          </w:tcPr>
          <w:p w14:paraId="059DBE10">
            <w:pPr>
              <w:jc w:val="center"/>
              <w:rPr>
                <w:rFonts w:ascii="宋体" w:hAnsi="宋体" w:eastAsia="宋体" w:cs="宋体"/>
                <w:bCs/>
                <w:color w:val="auto"/>
                <w:sz w:val="24"/>
                <w:szCs w:val="24"/>
              </w:rPr>
            </w:pPr>
            <w:r>
              <w:rPr>
                <w:rFonts w:hint="eastAsia" w:ascii="宋体" w:hAnsi="宋体" w:eastAsia="宋体" w:cs="宋体"/>
                <w:bCs/>
                <w:color w:val="auto"/>
                <w:sz w:val="24"/>
                <w:szCs w:val="24"/>
              </w:rPr>
              <w:t>型号规格</w:t>
            </w:r>
          </w:p>
        </w:tc>
        <w:tc>
          <w:tcPr>
            <w:tcW w:w="1995" w:type="dxa"/>
            <w:vAlign w:val="center"/>
          </w:tcPr>
          <w:p w14:paraId="6407EFC6">
            <w:pPr>
              <w:jc w:val="center"/>
              <w:rPr>
                <w:rFonts w:ascii="宋体" w:hAnsi="宋体" w:eastAsia="宋体" w:cs="宋体"/>
                <w:bCs/>
                <w:color w:val="auto"/>
                <w:sz w:val="24"/>
                <w:szCs w:val="24"/>
              </w:rPr>
            </w:pPr>
            <w:r>
              <w:rPr>
                <w:rFonts w:hint="eastAsia" w:ascii="宋体" w:hAnsi="宋体" w:eastAsia="宋体" w:cs="宋体"/>
                <w:bCs/>
                <w:color w:val="auto"/>
                <w:sz w:val="24"/>
                <w:szCs w:val="24"/>
              </w:rPr>
              <w:t>数量及单位</w:t>
            </w:r>
          </w:p>
        </w:tc>
      </w:tr>
      <w:tr w14:paraId="2AF43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022" w:type="dxa"/>
            <w:vAlign w:val="center"/>
          </w:tcPr>
          <w:p w14:paraId="3EFCF851">
            <w:pPr>
              <w:jc w:val="center"/>
              <w:rPr>
                <w:rFonts w:ascii="宋体" w:hAnsi="宋体" w:eastAsia="宋体" w:cs="宋体"/>
                <w:bCs/>
                <w:color w:val="auto"/>
                <w:sz w:val="24"/>
                <w:szCs w:val="24"/>
              </w:rPr>
            </w:pPr>
            <w:r>
              <w:rPr>
                <w:rFonts w:hint="eastAsia" w:ascii="宋体" w:hAnsi="宋体" w:eastAsia="宋体" w:cs="宋体"/>
                <w:bCs/>
                <w:color w:val="auto"/>
                <w:sz w:val="24"/>
                <w:szCs w:val="24"/>
              </w:rPr>
              <w:t>1</w:t>
            </w:r>
          </w:p>
        </w:tc>
        <w:tc>
          <w:tcPr>
            <w:tcW w:w="3198" w:type="dxa"/>
            <w:vAlign w:val="center"/>
          </w:tcPr>
          <w:p w14:paraId="7E1123BB">
            <w:pPr>
              <w:jc w:val="center"/>
              <w:rPr>
                <w:rFonts w:ascii="宋体" w:hAnsi="宋体" w:eastAsia="宋体" w:cs="宋体"/>
                <w:bCs/>
                <w:color w:val="auto"/>
                <w:sz w:val="24"/>
                <w:szCs w:val="24"/>
              </w:rPr>
            </w:pPr>
            <w:r>
              <w:rPr>
                <w:rFonts w:hint="eastAsia" w:ascii="宋体" w:hAnsi="宋体" w:eastAsia="宋体" w:cs="宋体"/>
                <w:bCs/>
                <w:color w:val="auto"/>
                <w:sz w:val="24"/>
                <w:szCs w:val="24"/>
              </w:rPr>
              <w:t>振动切片机</w:t>
            </w:r>
          </w:p>
        </w:tc>
        <w:tc>
          <w:tcPr>
            <w:tcW w:w="1185" w:type="dxa"/>
            <w:vAlign w:val="center"/>
          </w:tcPr>
          <w:p w14:paraId="195BF7AD">
            <w:pPr>
              <w:jc w:val="center"/>
              <w:rPr>
                <w:rFonts w:ascii="宋体" w:hAnsi="宋体" w:eastAsia="宋体" w:cs="宋体"/>
                <w:bCs/>
                <w:color w:val="auto"/>
                <w:sz w:val="24"/>
                <w:szCs w:val="24"/>
              </w:rPr>
            </w:pPr>
            <w:r>
              <w:rPr>
                <w:rFonts w:hint="eastAsia" w:ascii="宋体" w:hAnsi="宋体" w:eastAsia="宋体" w:cs="宋体"/>
                <w:bCs/>
                <w:color w:val="auto"/>
                <w:sz w:val="24"/>
                <w:szCs w:val="24"/>
              </w:rPr>
              <w:t>Leica</w:t>
            </w:r>
          </w:p>
        </w:tc>
        <w:tc>
          <w:tcPr>
            <w:tcW w:w="1545" w:type="dxa"/>
            <w:vAlign w:val="center"/>
          </w:tcPr>
          <w:p w14:paraId="5F61AAB5">
            <w:pPr>
              <w:jc w:val="center"/>
              <w:rPr>
                <w:rFonts w:ascii="宋体" w:hAnsi="宋体" w:eastAsia="宋体" w:cs="宋体"/>
                <w:bCs/>
                <w:color w:val="auto"/>
                <w:sz w:val="24"/>
                <w:szCs w:val="24"/>
              </w:rPr>
            </w:pPr>
            <w:r>
              <w:rPr>
                <w:rFonts w:hint="eastAsia" w:ascii="宋体" w:hAnsi="宋体" w:eastAsia="宋体" w:cs="宋体"/>
                <w:bCs/>
                <w:color w:val="auto"/>
                <w:sz w:val="24"/>
                <w:szCs w:val="24"/>
              </w:rPr>
              <w:t>中国</w:t>
            </w:r>
          </w:p>
        </w:tc>
        <w:tc>
          <w:tcPr>
            <w:tcW w:w="1725" w:type="dxa"/>
            <w:vAlign w:val="center"/>
          </w:tcPr>
          <w:p w14:paraId="11B358E9">
            <w:pPr>
              <w:jc w:val="center"/>
              <w:rPr>
                <w:rFonts w:ascii="宋体" w:hAnsi="宋体" w:eastAsia="宋体" w:cs="宋体"/>
                <w:bCs/>
                <w:color w:val="auto"/>
                <w:sz w:val="24"/>
                <w:szCs w:val="24"/>
              </w:rPr>
            </w:pPr>
            <w:r>
              <w:rPr>
                <w:rFonts w:hint="eastAsia" w:ascii="宋体" w:hAnsi="宋体" w:eastAsia="宋体" w:cs="宋体"/>
                <w:bCs/>
                <w:color w:val="auto"/>
                <w:sz w:val="24"/>
                <w:szCs w:val="24"/>
              </w:rPr>
              <w:t>VT1200S</w:t>
            </w:r>
          </w:p>
        </w:tc>
        <w:tc>
          <w:tcPr>
            <w:tcW w:w="1995" w:type="dxa"/>
            <w:vAlign w:val="center"/>
          </w:tcPr>
          <w:p w14:paraId="0718DCA7">
            <w:pPr>
              <w:jc w:val="center"/>
              <w:rPr>
                <w:rFonts w:ascii="宋体" w:hAnsi="宋体" w:eastAsia="宋体" w:cs="宋体"/>
                <w:bCs/>
                <w:color w:val="auto"/>
                <w:sz w:val="24"/>
                <w:szCs w:val="24"/>
              </w:rPr>
            </w:pPr>
            <w:r>
              <w:rPr>
                <w:rFonts w:hint="eastAsia" w:ascii="宋体" w:hAnsi="宋体" w:eastAsia="宋体" w:cs="宋体"/>
                <w:bCs/>
                <w:color w:val="auto"/>
                <w:sz w:val="24"/>
                <w:szCs w:val="24"/>
              </w:rPr>
              <w:t>1台</w:t>
            </w:r>
          </w:p>
        </w:tc>
      </w:tr>
    </w:tbl>
    <w:p w14:paraId="5F37CC3C">
      <w:pPr>
        <w:rPr>
          <w:rFonts w:ascii="宋体" w:hAnsi="宋体" w:eastAsia="宋体"/>
          <w:b/>
          <w:sz w:val="24"/>
          <w:szCs w:val="24"/>
        </w:rPr>
      </w:pPr>
    </w:p>
    <w:p w14:paraId="47E25D6A">
      <w:pPr>
        <w:rPr>
          <w:rFonts w:ascii="宋体" w:hAnsi="宋体" w:eastAsia="宋体"/>
          <w:b/>
          <w:sz w:val="24"/>
          <w:szCs w:val="24"/>
        </w:rPr>
      </w:pPr>
      <w:r>
        <w:rPr>
          <w:rFonts w:hint="eastAsia" w:ascii="宋体" w:hAnsi="宋体" w:eastAsia="宋体"/>
          <w:b/>
          <w:sz w:val="24"/>
          <w:szCs w:val="24"/>
        </w:rPr>
        <w:t xml:space="preserve"> </w:t>
      </w:r>
    </w:p>
    <w:p w14:paraId="1D332D5A">
      <w:pPr>
        <w:rPr>
          <w:rFonts w:ascii="宋体" w:hAnsi="宋体" w:eastAsia="宋体"/>
          <w:b/>
          <w:sz w:val="24"/>
          <w:szCs w:val="24"/>
        </w:rPr>
      </w:pPr>
    </w:p>
    <w:p w14:paraId="47878C40">
      <w:pPr>
        <w:rPr>
          <w:rFonts w:ascii="宋体" w:hAnsi="宋体" w:eastAsia="宋体"/>
          <w:b/>
          <w:sz w:val="24"/>
          <w:szCs w:val="24"/>
        </w:rPr>
      </w:pPr>
      <w:r>
        <w:rPr>
          <w:rFonts w:hint="eastAsia" w:ascii="宋体" w:hAnsi="宋体" w:eastAsia="宋体"/>
          <w:b/>
          <w:sz w:val="24"/>
          <w:szCs w:val="24"/>
        </w:rPr>
        <w:t xml:space="preserve"> </w:t>
      </w:r>
    </w:p>
    <w:p w14:paraId="2302D02C">
      <w:pPr>
        <w:rPr>
          <w:rFonts w:ascii="宋体" w:hAnsi="宋体" w:eastAsia="宋体"/>
          <w:b/>
          <w:sz w:val="24"/>
          <w:szCs w:val="24"/>
        </w:rPr>
      </w:pPr>
      <w:r>
        <w:rPr>
          <w:rFonts w:hint="eastAsia" w:ascii="宋体" w:hAnsi="宋体" w:eastAsia="宋体"/>
          <w:b/>
          <w:sz w:val="24"/>
          <w:szCs w:val="24"/>
        </w:rPr>
        <w:t xml:space="preserve"> </w:t>
      </w:r>
    </w:p>
    <w:p w14:paraId="72E4084D">
      <w:pPr>
        <w:rPr>
          <w:rFonts w:ascii="宋体" w:hAnsi="宋体" w:eastAsia="宋体"/>
          <w:b/>
          <w:szCs w:val="21"/>
        </w:rPr>
      </w:pPr>
      <w:r>
        <w:rPr>
          <w:rFonts w:hint="eastAsia" w:ascii="宋体" w:hAnsi="宋体" w:eastAsia="宋体"/>
          <w:b/>
          <w:szCs w:val="21"/>
        </w:rPr>
        <w:t>甲方货物负责人签字：</w:t>
      </w:r>
      <w:r>
        <w:rPr>
          <w:rFonts w:hint="eastAsia" w:ascii="Times New Roman" w:hAnsi="Times New Roman" w:eastAsia="宋体"/>
          <w:b/>
          <w:szCs w:val="21"/>
        </w:rPr>
        <w:t xml:space="preserve"> </w:t>
      </w:r>
    </w:p>
    <w:p w14:paraId="65E0584E">
      <w:pPr>
        <w:rPr>
          <w:rFonts w:ascii="宋体" w:hAnsi="宋体" w:eastAsia="宋体"/>
          <w:b/>
          <w:sz w:val="24"/>
          <w:szCs w:val="24"/>
        </w:rPr>
      </w:pPr>
      <w:r>
        <w:rPr>
          <w:rFonts w:hint="eastAsia" w:ascii="宋体" w:hAnsi="宋体" w:eastAsia="宋体"/>
          <w:b/>
          <w:sz w:val="24"/>
          <w:szCs w:val="24"/>
        </w:rPr>
        <w:t xml:space="preserve"> </w:t>
      </w:r>
    </w:p>
    <w:p w14:paraId="37571CC8">
      <w:pPr>
        <w:rPr>
          <w:rFonts w:ascii="宋体" w:hAnsi="宋体" w:eastAsia="宋体"/>
          <w:b/>
          <w:sz w:val="24"/>
          <w:szCs w:val="24"/>
        </w:rPr>
      </w:pPr>
      <w:r>
        <w:rPr>
          <w:rFonts w:hint="eastAsia" w:ascii="宋体" w:hAnsi="宋体" w:eastAsia="宋体"/>
          <w:b/>
          <w:sz w:val="24"/>
          <w:szCs w:val="24"/>
        </w:rPr>
        <w:t xml:space="preserve"> </w:t>
      </w:r>
    </w:p>
    <w:p w14:paraId="03931291">
      <w:pPr>
        <w:rPr>
          <w:rFonts w:ascii="宋体" w:hAnsi="宋体" w:eastAsia="宋体"/>
          <w:b/>
          <w:sz w:val="24"/>
          <w:szCs w:val="24"/>
        </w:rPr>
      </w:pPr>
      <w:r>
        <w:rPr>
          <w:rFonts w:hint="eastAsia" w:ascii="宋体" w:hAnsi="宋体" w:eastAsia="宋体"/>
          <w:b/>
          <w:sz w:val="24"/>
          <w:szCs w:val="24"/>
        </w:rPr>
        <w:t xml:space="preserve"> </w:t>
      </w:r>
    </w:p>
    <w:p w14:paraId="7336CDC9">
      <w:pPr>
        <w:widowControl/>
        <w:jc w:val="left"/>
        <w:rPr>
          <w:rFonts w:ascii="宋体" w:hAnsi="宋体" w:eastAsia="宋体" w:cs="宋体"/>
          <w:b/>
          <w:sz w:val="24"/>
          <w:szCs w:val="24"/>
        </w:rPr>
        <w:sectPr>
          <w:pgSz w:w="16838" w:h="11906" w:orient="landscape"/>
          <w:pgMar w:top="1134" w:right="794" w:bottom="1134" w:left="1077" w:header="851" w:footer="992" w:gutter="0"/>
          <w:cols w:space="720" w:num="1"/>
          <w:docGrid w:type="lines" w:linePitch="312" w:charSpace="0"/>
        </w:sectPr>
      </w:pPr>
    </w:p>
    <w:p w14:paraId="3A84A8F0">
      <w:pPr>
        <w:rPr>
          <w:rFonts w:ascii="宋体" w:hAnsi="宋体" w:eastAsia="宋体"/>
          <w:b/>
          <w:sz w:val="24"/>
          <w:szCs w:val="24"/>
        </w:rPr>
      </w:pPr>
      <w:r>
        <w:rPr>
          <w:rFonts w:hint="eastAsia" w:ascii="宋体" w:hAnsi="宋体" w:eastAsia="宋体"/>
          <w:b/>
          <w:sz w:val="24"/>
          <w:szCs w:val="24"/>
        </w:rPr>
        <w:t>附件4：                                         货物</w:t>
      </w:r>
      <w:r>
        <w:rPr>
          <w:rFonts w:ascii="宋体" w:hAnsi="宋体" w:eastAsia="宋体"/>
          <w:b/>
          <w:sz w:val="24"/>
          <w:szCs w:val="24"/>
        </w:rPr>
        <w:t>技术</w:t>
      </w:r>
      <w:r>
        <w:rPr>
          <w:rFonts w:hint="eastAsia" w:ascii="宋体" w:hAnsi="宋体" w:eastAsia="宋体"/>
          <w:b/>
          <w:sz w:val="24"/>
          <w:szCs w:val="24"/>
        </w:rPr>
        <w:t>参数及配置表</w:t>
      </w:r>
    </w:p>
    <w:tbl>
      <w:tblPr>
        <w:tblStyle w:val="7"/>
        <w:tblW w:w="0" w:type="auto"/>
        <w:tblInd w:w="204"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5"/>
        <w:gridCol w:w="1695"/>
        <w:gridCol w:w="2235"/>
        <w:gridCol w:w="1170"/>
        <w:gridCol w:w="4335"/>
        <w:gridCol w:w="720"/>
        <w:gridCol w:w="1305"/>
        <w:gridCol w:w="1065"/>
        <w:gridCol w:w="1455"/>
      </w:tblGrid>
      <w:tr w14:paraId="115C62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55" w:type="dxa"/>
            <w:tcBorders>
              <w:top w:val="single" w:color="auto" w:sz="4" w:space="0"/>
              <w:left w:val="single" w:color="auto" w:sz="4" w:space="0"/>
              <w:bottom w:val="single" w:color="auto" w:sz="4" w:space="0"/>
              <w:right w:val="single" w:color="auto" w:sz="4" w:space="0"/>
            </w:tcBorders>
            <w:vAlign w:val="center"/>
          </w:tcPr>
          <w:p w14:paraId="04C838BD">
            <w:pPr>
              <w:jc w:val="center"/>
              <w:rPr>
                <w:rFonts w:ascii="宋体" w:hAnsi="宋体" w:eastAsia="宋体"/>
                <w:b/>
                <w:color w:val="auto"/>
                <w:szCs w:val="21"/>
              </w:rPr>
            </w:pPr>
            <w:r>
              <w:rPr>
                <w:rFonts w:hint="eastAsia" w:ascii="宋体" w:hAnsi="宋体" w:eastAsia="宋体"/>
                <w:b/>
                <w:color w:val="auto"/>
                <w:szCs w:val="21"/>
              </w:rPr>
              <w:t>序号</w:t>
            </w:r>
          </w:p>
        </w:tc>
        <w:tc>
          <w:tcPr>
            <w:tcW w:w="1695" w:type="dxa"/>
            <w:tcBorders>
              <w:top w:val="single" w:color="auto" w:sz="4" w:space="0"/>
              <w:left w:val="nil"/>
              <w:bottom w:val="single" w:color="auto" w:sz="4" w:space="0"/>
              <w:right w:val="single" w:color="auto" w:sz="4" w:space="0"/>
            </w:tcBorders>
            <w:vAlign w:val="center"/>
          </w:tcPr>
          <w:p w14:paraId="037AB76D">
            <w:pPr>
              <w:jc w:val="center"/>
              <w:rPr>
                <w:rFonts w:ascii="宋体" w:hAnsi="宋体" w:eastAsia="宋体"/>
                <w:b/>
                <w:color w:val="auto"/>
                <w:szCs w:val="21"/>
              </w:rPr>
            </w:pPr>
            <w:r>
              <w:rPr>
                <w:rFonts w:hint="eastAsia" w:ascii="宋体" w:hAnsi="宋体" w:eastAsia="宋体"/>
                <w:b/>
                <w:color w:val="auto"/>
                <w:szCs w:val="21"/>
              </w:rPr>
              <w:t>货物或配置名称</w:t>
            </w:r>
          </w:p>
        </w:tc>
        <w:tc>
          <w:tcPr>
            <w:tcW w:w="2235" w:type="dxa"/>
            <w:tcBorders>
              <w:top w:val="single" w:color="auto" w:sz="4" w:space="0"/>
              <w:left w:val="nil"/>
              <w:bottom w:val="single" w:color="auto" w:sz="4" w:space="0"/>
              <w:right w:val="single" w:color="auto" w:sz="4" w:space="0"/>
            </w:tcBorders>
            <w:vAlign w:val="center"/>
          </w:tcPr>
          <w:p w14:paraId="1F177231">
            <w:pPr>
              <w:jc w:val="center"/>
              <w:rPr>
                <w:rFonts w:ascii="宋体" w:hAnsi="宋体" w:eastAsia="宋体"/>
                <w:b/>
                <w:color w:val="auto"/>
                <w:szCs w:val="21"/>
              </w:rPr>
            </w:pPr>
            <w:r>
              <w:rPr>
                <w:rFonts w:hint="eastAsia" w:ascii="宋体" w:hAnsi="宋体" w:eastAsia="宋体"/>
                <w:b/>
                <w:color w:val="auto"/>
                <w:szCs w:val="21"/>
              </w:rPr>
              <w:t>图片</w:t>
            </w:r>
          </w:p>
        </w:tc>
        <w:tc>
          <w:tcPr>
            <w:tcW w:w="1170" w:type="dxa"/>
            <w:tcBorders>
              <w:top w:val="single" w:color="auto" w:sz="4" w:space="0"/>
              <w:left w:val="nil"/>
              <w:bottom w:val="single" w:color="auto" w:sz="4" w:space="0"/>
              <w:right w:val="single" w:color="auto" w:sz="4" w:space="0"/>
            </w:tcBorders>
            <w:vAlign w:val="center"/>
          </w:tcPr>
          <w:p w14:paraId="1E809FE4">
            <w:pPr>
              <w:jc w:val="center"/>
              <w:rPr>
                <w:rFonts w:ascii="宋体" w:hAnsi="宋体" w:eastAsia="宋体"/>
                <w:b/>
                <w:color w:val="auto"/>
                <w:szCs w:val="21"/>
              </w:rPr>
            </w:pPr>
            <w:r>
              <w:rPr>
                <w:rFonts w:hint="eastAsia" w:ascii="宋体" w:hAnsi="宋体" w:eastAsia="宋体"/>
                <w:b/>
                <w:color w:val="auto"/>
                <w:szCs w:val="21"/>
              </w:rPr>
              <w:t>型号规格</w:t>
            </w:r>
          </w:p>
        </w:tc>
        <w:tc>
          <w:tcPr>
            <w:tcW w:w="4335" w:type="dxa"/>
            <w:tcBorders>
              <w:top w:val="single" w:color="auto" w:sz="4" w:space="0"/>
              <w:left w:val="nil"/>
              <w:bottom w:val="single" w:color="auto" w:sz="4" w:space="0"/>
              <w:right w:val="single" w:color="auto" w:sz="4" w:space="0"/>
            </w:tcBorders>
            <w:vAlign w:val="center"/>
          </w:tcPr>
          <w:p w14:paraId="4275CCBA">
            <w:pPr>
              <w:jc w:val="center"/>
              <w:rPr>
                <w:rFonts w:ascii="宋体" w:hAnsi="宋体" w:eastAsia="宋体"/>
                <w:b/>
                <w:color w:val="auto"/>
                <w:szCs w:val="21"/>
              </w:rPr>
            </w:pPr>
            <w:r>
              <w:rPr>
                <w:rFonts w:hint="eastAsia" w:ascii="宋体" w:hAnsi="宋体" w:eastAsia="宋体"/>
                <w:b/>
                <w:color w:val="auto"/>
                <w:szCs w:val="21"/>
              </w:rPr>
              <w:t>规格参数</w:t>
            </w:r>
          </w:p>
        </w:tc>
        <w:tc>
          <w:tcPr>
            <w:tcW w:w="720" w:type="dxa"/>
            <w:tcBorders>
              <w:top w:val="single" w:color="auto" w:sz="4" w:space="0"/>
              <w:left w:val="nil"/>
              <w:bottom w:val="single" w:color="auto" w:sz="4" w:space="0"/>
              <w:right w:val="single" w:color="auto" w:sz="4" w:space="0"/>
            </w:tcBorders>
            <w:vAlign w:val="center"/>
          </w:tcPr>
          <w:p w14:paraId="6DBBD19A">
            <w:pPr>
              <w:jc w:val="center"/>
              <w:rPr>
                <w:rFonts w:ascii="宋体" w:hAnsi="宋体" w:eastAsia="宋体"/>
                <w:b/>
                <w:color w:val="auto"/>
                <w:szCs w:val="21"/>
              </w:rPr>
            </w:pPr>
            <w:r>
              <w:rPr>
                <w:rFonts w:hint="eastAsia" w:ascii="宋体" w:hAnsi="宋体" w:eastAsia="宋体"/>
                <w:b/>
                <w:color w:val="auto"/>
                <w:szCs w:val="21"/>
              </w:rPr>
              <w:t>数量</w:t>
            </w:r>
          </w:p>
        </w:tc>
        <w:tc>
          <w:tcPr>
            <w:tcW w:w="1305" w:type="dxa"/>
            <w:tcBorders>
              <w:top w:val="single" w:color="auto" w:sz="4" w:space="0"/>
              <w:left w:val="nil"/>
              <w:bottom w:val="single" w:color="auto" w:sz="4" w:space="0"/>
              <w:right w:val="single" w:color="auto" w:sz="4" w:space="0"/>
            </w:tcBorders>
            <w:vAlign w:val="center"/>
          </w:tcPr>
          <w:p w14:paraId="1A43915E">
            <w:pPr>
              <w:ind w:right="-107" w:rightChars="-51"/>
              <w:jc w:val="center"/>
              <w:rPr>
                <w:rFonts w:ascii="宋体" w:hAnsi="宋体" w:eastAsia="宋体"/>
                <w:b/>
                <w:color w:val="auto"/>
                <w:szCs w:val="21"/>
              </w:rPr>
            </w:pPr>
            <w:r>
              <w:rPr>
                <w:rFonts w:hint="eastAsia" w:ascii="宋体" w:hAnsi="宋体" w:eastAsia="宋体"/>
                <w:b/>
                <w:color w:val="auto"/>
                <w:szCs w:val="21"/>
              </w:rPr>
              <w:t>制造厂(商)</w:t>
            </w:r>
          </w:p>
        </w:tc>
        <w:tc>
          <w:tcPr>
            <w:tcW w:w="1065" w:type="dxa"/>
            <w:tcBorders>
              <w:top w:val="single" w:color="auto" w:sz="4" w:space="0"/>
              <w:left w:val="nil"/>
              <w:bottom w:val="single" w:color="auto" w:sz="4" w:space="0"/>
              <w:right w:val="single" w:color="auto" w:sz="4" w:space="0"/>
            </w:tcBorders>
            <w:vAlign w:val="center"/>
          </w:tcPr>
          <w:p w14:paraId="4369ACB4">
            <w:pPr>
              <w:ind w:right="-107" w:rightChars="-51"/>
              <w:jc w:val="center"/>
              <w:rPr>
                <w:rFonts w:ascii="宋体" w:hAnsi="宋体" w:eastAsia="宋体"/>
                <w:b/>
                <w:color w:val="auto"/>
                <w:szCs w:val="21"/>
              </w:rPr>
            </w:pPr>
            <w:r>
              <w:rPr>
                <w:rFonts w:hint="eastAsia" w:ascii="宋体" w:hAnsi="宋体" w:eastAsia="宋体"/>
                <w:b/>
                <w:color w:val="auto"/>
                <w:szCs w:val="21"/>
              </w:rPr>
              <w:t>原产地</w:t>
            </w:r>
          </w:p>
          <w:p w14:paraId="0075856B">
            <w:pPr>
              <w:ind w:right="-107" w:rightChars="-51"/>
              <w:jc w:val="center"/>
              <w:rPr>
                <w:rFonts w:ascii="宋体" w:hAnsi="宋体" w:eastAsia="宋体"/>
                <w:b/>
                <w:color w:val="auto"/>
                <w:szCs w:val="21"/>
              </w:rPr>
            </w:pPr>
            <w:r>
              <w:rPr>
                <w:rFonts w:hint="eastAsia" w:ascii="宋体" w:hAnsi="宋体" w:eastAsia="宋体"/>
                <w:b/>
                <w:color w:val="auto"/>
                <w:szCs w:val="21"/>
              </w:rPr>
              <w:t>(国)</w:t>
            </w:r>
          </w:p>
        </w:tc>
        <w:tc>
          <w:tcPr>
            <w:tcW w:w="1455" w:type="dxa"/>
            <w:tcBorders>
              <w:top w:val="single" w:color="auto" w:sz="4" w:space="0"/>
              <w:left w:val="nil"/>
              <w:bottom w:val="single" w:color="auto" w:sz="4" w:space="0"/>
              <w:right w:val="single" w:color="auto" w:sz="4" w:space="0"/>
            </w:tcBorders>
          </w:tcPr>
          <w:p w14:paraId="1A227264">
            <w:pPr>
              <w:ind w:right="-107" w:rightChars="-51"/>
              <w:jc w:val="center"/>
              <w:rPr>
                <w:rFonts w:ascii="宋体" w:hAnsi="宋体" w:eastAsia="宋体"/>
                <w:b/>
                <w:color w:val="auto"/>
                <w:sz w:val="18"/>
                <w:szCs w:val="18"/>
              </w:rPr>
            </w:pPr>
            <w:r>
              <w:rPr>
                <w:rFonts w:hint="eastAsia" w:ascii="宋体" w:hAnsi="宋体" w:eastAsia="宋体"/>
                <w:b/>
                <w:color w:val="auto"/>
                <w:sz w:val="18"/>
                <w:szCs w:val="18"/>
              </w:rPr>
              <w:t>甲方货物负责人签字确认</w:t>
            </w:r>
          </w:p>
        </w:tc>
      </w:tr>
      <w:tr w14:paraId="18DB6E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30" w:hRule="atLeast"/>
        </w:trPr>
        <w:tc>
          <w:tcPr>
            <w:tcW w:w="855" w:type="dxa"/>
            <w:tcBorders>
              <w:top w:val="single" w:color="auto" w:sz="4" w:space="0"/>
              <w:left w:val="single" w:color="auto" w:sz="4" w:space="0"/>
              <w:bottom w:val="single" w:color="auto" w:sz="4" w:space="0"/>
              <w:right w:val="single" w:color="auto" w:sz="4" w:space="0"/>
            </w:tcBorders>
            <w:vAlign w:val="center"/>
          </w:tcPr>
          <w:p w14:paraId="188AC79E">
            <w:pPr>
              <w:jc w:val="center"/>
              <w:rPr>
                <w:rFonts w:ascii="宋体" w:hAnsi="宋体" w:eastAsia="宋体" w:cs="宋体"/>
                <w:color w:val="auto"/>
                <w:szCs w:val="21"/>
              </w:rPr>
            </w:pPr>
            <w:r>
              <w:rPr>
                <w:rFonts w:hint="eastAsia" w:ascii="宋体" w:hAnsi="宋体" w:eastAsia="宋体" w:cs="宋体"/>
                <w:color w:val="auto"/>
                <w:szCs w:val="21"/>
              </w:rPr>
              <w:t>1</w:t>
            </w:r>
          </w:p>
        </w:tc>
        <w:tc>
          <w:tcPr>
            <w:tcW w:w="1695" w:type="dxa"/>
            <w:tcBorders>
              <w:top w:val="single" w:color="auto" w:sz="4" w:space="0"/>
              <w:left w:val="nil"/>
              <w:bottom w:val="single" w:color="auto" w:sz="4" w:space="0"/>
              <w:right w:val="single" w:color="auto" w:sz="4" w:space="0"/>
            </w:tcBorders>
            <w:vAlign w:val="center"/>
          </w:tcPr>
          <w:p w14:paraId="54A96EE7">
            <w:pPr>
              <w:jc w:val="center"/>
              <w:rPr>
                <w:rFonts w:ascii="宋体" w:hAnsi="宋体" w:eastAsia="宋体" w:cs="宋体"/>
                <w:color w:val="auto"/>
                <w:szCs w:val="21"/>
              </w:rPr>
            </w:pPr>
            <w:r>
              <w:rPr>
                <w:rFonts w:hint="eastAsia" w:ascii="宋体" w:hAnsi="宋体" w:eastAsia="宋体" w:cs="宋体"/>
                <w:color w:val="auto"/>
                <w:szCs w:val="21"/>
              </w:rPr>
              <w:t>表面等离子共振分子互作系统</w:t>
            </w:r>
          </w:p>
        </w:tc>
        <w:tc>
          <w:tcPr>
            <w:tcW w:w="2235" w:type="dxa"/>
            <w:tcBorders>
              <w:top w:val="single" w:color="auto" w:sz="4" w:space="0"/>
              <w:left w:val="nil"/>
              <w:bottom w:val="single" w:color="auto" w:sz="4" w:space="0"/>
              <w:right w:val="single" w:color="auto" w:sz="4" w:space="0"/>
            </w:tcBorders>
          </w:tcPr>
          <w:p w14:paraId="54905B70">
            <w:pPr>
              <w:jc w:val="center"/>
              <w:rPr>
                <w:rFonts w:ascii="宋体" w:hAnsi="宋体" w:eastAsia="宋体" w:cs="宋体"/>
                <w:color w:val="auto"/>
                <w:szCs w:val="21"/>
              </w:rPr>
            </w:pPr>
          </w:p>
          <w:p w14:paraId="72B499A4">
            <w:pPr>
              <w:jc w:val="center"/>
              <w:rPr>
                <w:rFonts w:ascii="宋体" w:hAnsi="宋体" w:eastAsia="宋体" w:cs="宋体"/>
                <w:color w:val="auto"/>
                <w:szCs w:val="21"/>
              </w:rPr>
            </w:pPr>
          </w:p>
          <w:p w14:paraId="70658D47">
            <w:pPr>
              <w:jc w:val="center"/>
              <w:rPr>
                <w:rFonts w:ascii="宋体" w:hAnsi="宋体" w:eastAsia="宋体" w:cs="宋体"/>
                <w:color w:val="auto"/>
                <w:szCs w:val="21"/>
              </w:rPr>
            </w:pPr>
          </w:p>
          <w:p w14:paraId="75501CB2">
            <w:pPr>
              <w:jc w:val="center"/>
              <w:rPr>
                <w:rFonts w:ascii="宋体" w:hAnsi="宋体" w:eastAsia="宋体" w:cs="宋体"/>
                <w:color w:val="auto"/>
                <w:szCs w:val="21"/>
              </w:rPr>
            </w:pPr>
          </w:p>
          <w:p w14:paraId="6FD06F10">
            <w:pPr>
              <w:jc w:val="center"/>
              <w:rPr>
                <w:rFonts w:ascii="宋体" w:hAnsi="宋体" w:eastAsia="宋体" w:cs="宋体"/>
                <w:color w:val="auto"/>
                <w:szCs w:val="21"/>
              </w:rPr>
            </w:pPr>
          </w:p>
          <w:p w14:paraId="43BC21C6">
            <w:pPr>
              <w:jc w:val="center"/>
              <w:rPr>
                <w:rFonts w:ascii="宋体" w:hAnsi="宋体" w:eastAsia="宋体" w:cs="宋体"/>
                <w:color w:val="auto"/>
                <w:szCs w:val="21"/>
              </w:rPr>
            </w:pPr>
          </w:p>
          <w:p w14:paraId="64F3EA42">
            <w:pPr>
              <w:jc w:val="center"/>
              <w:rPr>
                <w:rFonts w:ascii="宋体" w:hAnsi="宋体" w:eastAsia="宋体" w:cs="宋体"/>
                <w:color w:val="auto"/>
                <w:szCs w:val="21"/>
              </w:rPr>
            </w:pPr>
          </w:p>
          <w:p w14:paraId="649A5232">
            <w:pPr>
              <w:jc w:val="center"/>
              <w:rPr>
                <w:rFonts w:ascii="宋体" w:hAnsi="宋体" w:eastAsia="宋体" w:cs="宋体"/>
                <w:color w:val="auto"/>
                <w:szCs w:val="21"/>
              </w:rPr>
            </w:pPr>
          </w:p>
          <w:p w14:paraId="05B8B001">
            <w:pPr>
              <w:jc w:val="center"/>
              <w:rPr>
                <w:rFonts w:ascii="宋体" w:hAnsi="宋体" w:eastAsia="宋体" w:cs="宋体"/>
                <w:color w:val="auto"/>
                <w:szCs w:val="21"/>
              </w:rPr>
            </w:pPr>
            <w:r>
              <w:rPr>
                <w:rFonts w:hint="eastAsia" w:ascii="宋体" w:hAnsi="宋体" w:eastAsia="宋体" w:cs="宋体"/>
                <w:color w:val="auto"/>
                <w:szCs w:val="21"/>
              </w:rPr>
              <w:drawing>
                <wp:inline distT="0" distB="0" distL="114300" distR="114300">
                  <wp:extent cx="1118870" cy="1958975"/>
                  <wp:effectExtent l="0" t="0" r="5080" b="3175"/>
                  <wp:docPr id="6" name="图片 6" descr="1740467638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40467638354"/>
                          <pic:cNvPicPr>
                            <a:picLocks noChangeAspect="1"/>
                          </pic:cNvPicPr>
                        </pic:nvPicPr>
                        <pic:blipFill>
                          <a:blip r:embed="rId8" cstate="print"/>
                          <a:stretch>
                            <a:fillRect/>
                          </a:stretch>
                        </pic:blipFill>
                        <pic:spPr>
                          <a:xfrm>
                            <a:off x="0" y="0"/>
                            <a:ext cx="1118870" cy="1958975"/>
                          </a:xfrm>
                          <a:prstGeom prst="rect">
                            <a:avLst/>
                          </a:prstGeom>
                        </pic:spPr>
                      </pic:pic>
                    </a:graphicData>
                  </a:graphic>
                </wp:inline>
              </w:drawing>
            </w:r>
          </w:p>
        </w:tc>
        <w:tc>
          <w:tcPr>
            <w:tcW w:w="1170" w:type="dxa"/>
            <w:tcBorders>
              <w:top w:val="single" w:color="auto" w:sz="4" w:space="0"/>
              <w:left w:val="nil"/>
              <w:bottom w:val="single" w:color="auto" w:sz="4" w:space="0"/>
              <w:right w:val="single" w:color="auto" w:sz="4" w:space="0"/>
            </w:tcBorders>
            <w:vAlign w:val="center"/>
          </w:tcPr>
          <w:p w14:paraId="58EF29DF">
            <w:pPr>
              <w:jc w:val="center"/>
              <w:rPr>
                <w:rFonts w:ascii="宋体" w:hAnsi="宋体" w:eastAsia="宋体" w:cs="宋体"/>
                <w:color w:val="auto"/>
                <w:szCs w:val="21"/>
              </w:rPr>
            </w:pPr>
            <w:r>
              <w:rPr>
                <w:rFonts w:hint="eastAsia" w:ascii="宋体" w:hAnsi="宋体" w:eastAsia="宋体" w:cs="宋体"/>
                <w:color w:val="auto"/>
                <w:szCs w:val="21"/>
              </w:rPr>
              <w:t>Biacore 1k</w:t>
            </w:r>
          </w:p>
        </w:tc>
        <w:tc>
          <w:tcPr>
            <w:tcW w:w="4335" w:type="dxa"/>
            <w:tcBorders>
              <w:top w:val="single" w:color="auto" w:sz="4" w:space="0"/>
              <w:left w:val="nil"/>
              <w:bottom w:val="single" w:color="auto" w:sz="4" w:space="0"/>
              <w:right w:val="single" w:color="auto" w:sz="4" w:space="0"/>
            </w:tcBorders>
            <w:vAlign w:val="center"/>
          </w:tcPr>
          <w:p w14:paraId="72503BA8">
            <w:pPr>
              <w:numPr>
                <w:ilvl w:val="0"/>
                <w:numId w:val="1"/>
              </w:numPr>
              <w:adjustRightInd w:val="0"/>
              <w:snapToGrid w:val="0"/>
              <w:spacing w:line="260" w:lineRule="exact"/>
              <w:rPr>
                <w:rFonts w:ascii="宋体" w:hAnsi="宋体" w:eastAsia="宋体" w:cs="宋体"/>
                <w:color w:val="auto"/>
                <w:szCs w:val="21"/>
              </w:rPr>
            </w:pPr>
            <w:r>
              <w:rPr>
                <w:rFonts w:hint="eastAsia" w:ascii="宋体" w:hAnsi="宋体" w:eastAsia="宋体" w:cs="宋体"/>
                <w:color w:val="auto"/>
                <w:szCs w:val="21"/>
              </w:rPr>
              <w:t>功能：</w:t>
            </w:r>
          </w:p>
          <w:p w14:paraId="7E49380C">
            <w:pPr>
              <w:numPr>
                <w:ilvl w:val="1"/>
                <w:numId w:val="2"/>
              </w:numPr>
              <w:adjustRightInd w:val="0"/>
              <w:snapToGrid w:val="0"/>
              <w:spacing w:line="260" w:lineRule="exact"/>
              <w:rPr>
                <w:rFonts w:ascii="宋体" w:hAnsi="宋体" w:eastAsia="宋体" w:cs="宋体"/>
                <w:color w:val="auto"/>
                <w:szCs w:val="21"/>
              </w:rPr>
            </w:pPr>
            <w:r>
              <w:rPr>
                <w:rFonts w:hint="eastAsia" w:ascii="宋体" w:hAnsi="宋体" w:eastAsia="宋体" w:cs="宋体"/>
                <w:color w:val="auto"/>
                <w:szCs w:val="21"/>
              </w:rPr>
              <w:t>设备实时、直接、动态的观测分子间相互作用的全过程，并给出其结合的特异性，结合强弱（即亲和力）以及分子识别的快慢与结合复合体的稳定性（动力学），阐述多个分子（或亚基）之间的组装过程以及顺序，作用机制（Mechanism of Action, MOA）以及构效关系（Structure-Activity Relationship, SAR）。能够实现基于靶点的药物筛选与发现、药物-靶点结合强弱及结合特性检测、药物活性浓度检测、靶点发现及验证等。2、主机技术指标</w:t>
            </w:r>
          </w:p>
          <w:p w14:paraId="0D042076">
            <w:pPr>
              <w:adjustRightInd w:val="0"/>
              <w:snapToGrid w:val="0"/>
              <w:spacing w:line="260" w:lineRule="exact"/>
              <w:rPr>
                <w:rFonts w:ascii="宋体" w:hAnsi="宋体" w:eastAsia="宋体" w:cs="宋体"/>
                <w:color w:val="auto"/>
                <w:szCs w:val="21"/>
              </w:rPr>
            </w:pPr>
            <w:r>
              <w:rPr>
                <w:rFonts w:hint="eastAsia" w:ascii="宋体" w:hAnsi="宋体" w:eastAsia="宋体" w:cs="宋体"/>
                <w:color w:val="auto"/>
                <w:szCs w:val="21"/>
              </w:rPr>
              <w:t>2.1 检测原理：检测技术基于表面等离子共振SPR原理，检测分辨率、灵敏度高达0.03RU，检测结果真实可靠。不仅可以检测标记的样品，也可检测无标记样品，实时测定分子间的结合过程。</w:t>
            </w:r>
          </w:p>
          <w:p w14:paraId="52D10659">
            <w:pPr>
              <w:adjustRightInd w:val="0"/>
              <w:snapToGrid w:val="0"/>
              <w:spacing w:line="260" w:lineRule="exact"/>
              <w:rPr>
                <w:rFonts w:ascii="宋体" w:hAnsi="宋体" w:eastAsia="宋体" w:cs="宋体"/>
                <w:color w:val="auto"/>
                <w:szCs w:val="21"/>
              </w:rPr>
            </w:pPr>
            <w:r>
              <w:rPr>
                <w:rFonts w:hint="eastAsia" w:ascii="宋体" w:hAnsi="宋体" w:eastAsia="宋体" w:cs="宋体"/>
                <w:color w:val="auto"/>
                <w:szCs w:val="21"/>
              </w:rPr>
              <w:t xml:space="preserve">2.2 检测范围：能检测各类型的分子，包括蛋白、多肽、抗原/抗体、核酸（含DNA、RNA）脂类、多糖等生物大分子、小分子化合物、有机小分子，同时能够检测细胞、细菌、病毒、脂质体，以及血清、细胞上清等粗样品。 </w:t>
            </w:r>
          </w:p>
          <w:p w14:paraId="77C0DC70">
            <w:pPr>
              <w:adjustRightInd w:val="0"/>
              <w:snapToGrid w:val="0"/>
              <w:spacing w:line="260" w:lineRule="exact"/>
              <w:rPr>
                <w:rFonts w:ascii="宋体" w:hAnsi="宋体" w:eastAsia="宋体" w:cs="宋体"/>
                <w:color w:val="auto"/>
                <w:szCs w:val="21"/>
              </w:rPr>
            </w:pPr>
            <w:r>
              <w:rPr>
                <w:rFonts w:hint="eastAsia" w:ascii="宋体" w:hAnsi="宋体" w:eastAsia="宋体" w:cs="宋体"/>
                <w:color w:val="auto"/>
                <w:szCs w:val="21"/>
              </w:rPr>
              <w:t>2.3 应用范围：</w:t>
            </w:r>
          </w:p>
          <w:p w14:paraId="2EF5D5A6">
            <w:pPr>
              <w:adjustRightInd w:val="0"/>
              <w:snapToGrid w:val="0"/>
              <w:spacing w:line="260" w:lineRule="exact"/>
              <w:rPr>
                <w:rFonts w:ascii="宋体" w:hAnsi="宋体" w:eastAsia="宋体" w:cs="宋体"/>
                <w:bCs/>
                <w:color w:val="auto"/>
                <w:szCs w:val="21"/>
              </w:rPr>
            </w:pPr>
            <w:r>
              <w:rPr>
                <w:rFonts w:hint="eastAsia" w:ascii="宋体" w:hAnsi="宋体" w:eastAsia="宋体" w:cs="宋体"/>
                <w:bCs/>
                <w:color w:val="auto"/>
                <w:szCs w:val="21"/>
              </w:rPr>
              <w:t>2.3.1 亲和力与动力学测定（KD、Ka、Kd）</w:t>
            </w:r>
          </w:p>
          <w:p w14:paraId="035905D7">
            <w:pPr>
              <w:adjustRightInd w:val="0"/>
              <w:snapToGrid w:val="0"/>
              <w:spacing w:line="260" w:lineRule="exact"/>
              <w:rPr>
                <w:rFonts w:ascii="宋体" w:hAnsi="宋体" w:eastAsia="宋体" w:cs="宋体"/>
                <w:bCs/>
                <w:color w:val="auto"/>
                <w:szCs w:val="21"/>
              </w:rPr>
            </w:pPr>
            <w:r>
              <w:rPr>
                <w:rFonts w:hint="eastAsia" w:ascii="宋体" w:hAnsi="宋体" w:eastAsia="宋体" w:cs="宋体"/>
                <w:bCs/>
                <w:color w:val="auto"/>
                <w:szCs w:val="21"/>
              </w:rPr>
              <w:t>2.3.2 大分子如抗体/小分子药物如天然产物或化合物等的筛选。</w:t>
            </w:r>
          </w:p>
          <w:p w14:paraId="1EDDE8D8">
            <w:pPr>
              <w:adjustRightInd w:val="0"/>
              <w:snapToGrid w:val="0"/>
              <w:spacing w:line="260" w:lineRule="exact"/>
              <w:rPr>
                <w:rFonts w:ascii="宋体" w:hAnsi="宋体" w:eastAsia="宋体" w:cs="宋体"/>
                <w:bCs/>
                <w:color w:val="auto"/>
                <w:szCs w:val="21"/>
              </w:rPr>
            </w:pPr>
            <w:r>
              <w:rPr>
                <w:rFonts w:hint="eastAsia" w:ascii="宋体" w:hAnsi="宋体" w:eastAsia="宋体" w:cs="宋体"/>
                <w:bCs/>
                <w:color w:val="auto"/>
                <w:szCs w:val="21"/>
              </w:rPr>
              <w:t>2.3.3 基于中国药典的药物结合活性检测。</w:t>
            </w:r>
          </w:p>
          <w:p w14:paraId="37922622">
            <w:pPr>
              <w:adjustRightInd w:val="0"/>
              <w:snapToGrid w:val="0"/>
              <w:spacing w:line="260" w:lineRule="exact"/>
              <w:rPr>
                <w:rFonts w:ascii="宋体" w:hAnsi="宋体" w:eastAsia="宋体" w:cs="宋体"/>
                <w:bCs/>
                <w:color w:val="auto"/>
                <w:szCs w:val="21"/>
              </w:rPr>
            </w:pPr>
            <w:r>
              <w:rPr>
                <w:rFonts w:hint="eastAsia" w:ascii="宋体" w:hAnsi="宋体" w:eastAsia="宋体" w:cs="宋体"/>
                <w:bCs/>
                <w:color w:val="auto"/>
                <w:szCs w:val="21"/>
              </w:rPr>
              <w:t>2.3.4 抑制剂筛选及表征。</w:t>
            </w:r>
          </w:p>
          <w:p w14:paraId="15B366B8">
            <w:pPr>
              <w:adjustRightInd w:val="0"/>
              <w:snapToGrid w:val="0"/>
              <w:spacing w:line="260" w:lineRule="exact"/>
              <w:rPr>
                <w:rFonts w:ascii="宋体" w:hAnsi="宋体" w:eastAsia="宋体" w:cs="宋体"/>
                <w:bCs/>
                <w:color w:val="auto"/>
                <w:szCs w:val="21"/>
              </w:rPr>
            </w:pPr>
            <w:r>
              <w:rPr>
                <w:rFonts w:hint="eastAsia" w:ascii="宋体" w:hAnsi="宋体" w:eastAsia="宋体" w:cs="宋体"/>
                <w:bCs/>
                <w:color w:val="auto"/>
                <w:szCs w:val="21"/>
              </w:rPr>
              <w:t>2.3.5 竞争性结合及抗原表位作图，亚型鉴定，抗体分型等。</w:t>
            </w:r>
          </w:p>
          <w:p w14:paraId="24B78F4F">
            <w:pPr>
              <w:adjustRightInd w:val="0"/>
              <w:snapToGrid w:val="0"/>
              <w:spacing w:line="260" w:lineRule="exact"/>
              <w:rPr>
                <w:rFonts w:ascii="宋体" w:hAnsi="宋体" w:eastAsia="宋体" w:cs="宋体"/>
                <w:bCs/>
                <w:color w:val="auto"/>
                <w:szCs w:val="21"/>
              </w:rPr>
            </w:pPr>
            <w:r>
              <w:rPr>
                <w:rFonts w:hint="eastAsia" w:ascii="宋体" w:hAnsi="宋体" w:eastAsia="宋体" w:cs="宋体"/>
                <w:bCs/>
                <w:color w:val="auto"/>
                <w:szCs w:val="21"/>
              </w:rPr>
              <w:t>2.3.6 样品活性浓度测定及活性比例。</w:t>
            </w:r>
            <w:r>
              <w:rPr>
                <w:rFonts w:hint="eastAsia" w:ascii="宋体" w:hAnsi="宋体" w:eastAsia="宋体" w:cs="宋体"/>
                <w:color w:val="auto"/>
                <w:szCs w:val="21"/>
              </w:rPr>
              <w:t xml:space="preserve">2.4 </w:t>
            </w:r>
            <w:r>
              <w:rPr>
                <w:rFonts w:hint="eastAsia" w:ascii="宋体" w:hAnsi="宋体" w:eastAsia="宋体" w:cs="宋体"/>
                <w:bCs/>
                <w:color w:val="auto"/>
                <w:szCs w:val="21"/>
              </w:rPr>
              <w:t>亲和力、动力学等常数测定结果范围：</w:t>
            </w:r>
          </w:p>
          <w:p w14:paraId="560326E5">
            <w:pPr>
              <w:adjustRightInd w:val="0"/>
              <w:snapToGrid w:val="0"/>
              <w:spacing w:line="260" w:lineRule="exact"/>
              <w:rPr>
                <w:rFonts w:ascii="宋体" w:hAnsi="宋体" w:eastAsia="宋体" w:cs="宋体"/>
                <w:color w:val="auto"/>
                <w:szCs w:val="21"/>
                <w:vertAlign w:val="superscript"/>
                <w:lang w:val="en-GB"/>
              </w:rPr>
            </w:pPr>
            <w:r>
              <w:rPr>
                <w:rFonts w:hint="eastAsia" w:ascii="宋体" w:hAnsi="宋体" w:eastAsia="宋体" w:cs="宋体"/>
                <w:color w:val="auto"/>
                <w:szCs w:val="21"/>
              </w:rPr>
              <w:t>2.4.</w:t>
            </w:r>
            <w:r>
              <w:rPr>
                <w:rFonts w:hint="eastAsia" w:ascii="宋体" w:hAnsi="宋体" w:eastAsia="宋体" w:cs="宋体"/>
                <w:color w:val="auto"/>
                <w:szCs w:val="21"/>
                <w:lang w:val="en-GB"/>
              </w:rPr>
              <w:t>1 结合速率常数(ka)：10</w:t>
            </w:r>
            <w:r>
              <w:rPr>
                <w:rFonts w:hint="eastAsia" w:ascii="宋体" w:hAnsi="宋体" w:eastAsia="宋体" w:cs="宋体"/>
                <w:color w:val="auto"/>
                <w:szCs w:val="21"/>
                <w:vertAlign w:val="superscript"/>
                <w:lang w:val="en-GB"/>
              </w:rPr>
              <w:t xml:space="preserve">3 </w:t>
            </w:r>
            <w:r>
              <w:rPr>
                <w:rFonts w:hint="eastAsia" w:ascii="宋体" w:hAnsi="宋体" w:eastAsia="宋体" w:cs="宋体"/>
                <w:color w:val="auto"/>
                <w:szCs w:val="21"/>
                <w:lang w:val="en-GB"/>
              </w:rPr>
              <w:t>-3×10</w:t>
            </w:r>
            <w:r>
              <w:rPr>
                <w:rFonts w:hint="eastAsia" w:ascii="宋体" w:hAnsi="宋体" w:eastAsia="宋体" w:cs="宋体"/>
                <w:color w:val="auto"/>
                <w:szCs w:val="21"/>
                <w:vertAlign w:val="superscript"/>
                <w:lang w:val="en-GB"/>
              </w:rPr>
              <w:t>9</w:t>
            </w:r>
            <w:r>
              <w:rPr>
                <w:rFonts w:hint="eastAsia" w:ascii="宋体" w:hAnsi="宋体" w:eastAsia="宋体" w:cs="宋体"/>
                <w:color w:val="auto"/>
                <w:szCs w:val="21"/>
                <w:lang w:val="en-GB"/>
              </w:rPr>
              <w:t xml:space="preserve"> M</w:t>
            </w:r>
            <w:r>
              <w:rPr>
                <w:rFonts w:hint="eastAsia" w:ascii="宋体" w:hAnsi="宋体" w:eastAsia="宋体" w:cs="宋体"/>
                <w:color w:val="auto"/>
                <w:szCs w:val="21"/>
                <w:vertAlign w:val="superscript"/>
                <w:lang w:val="en-GB"/>
              </w:rPr>
              <w:t>-1</w:t>
            </w:r>
            <w:r>
              <w:rPr>
                <w:rFonts w:hint="eastAsia" w:ascii="宋体" w:hAnsi="宋体" w:eastAsia="宋体" w:cs="宋体"/>
                <w:color w:val="auto"/>
                <w:szCs w:val="21"/>
                <w:lang w:val="en-GB"/>
              </w:rPr>
              <w:t>s</w:t>
            </w:r>
            <w:r>
              <w:rPr>
                <w:rFonts w:hint="eastAsia" w:ascii="宋体" w:hAnsi="宋体" w:eastAsia="宋体" w:cs="宋体"/>
                <w:color w:val="auto"/>
                <w:szCs w:val="21"/>
                <w:vertAlign w:val="superscript"/>
                <w:lang w:val="en-GB"/>
              </w:rPr>
              <w:t xml:space="preserve">-1 </w:t>
            </w:r>
          </w:p>
          <w:p w14:paraId="5029236D">
            <w:pPr>
              <w:adjustRightInd w:val="0"/>
              <w:snapToGrid w:val="0"/>
              <w:spacing w:line="260" w:lineRule="exact"/>
              <w:rPr>
                <w:rFonts w:ascii="宋体" w:hAnsi="宋体" w:eastAsia="宋体" w:cs="宋体"/>
                <w:color w:val="auto"/>
                <w:szCs w:val="21"/>
                <w:vertAlign w:val="superscript"/>
              </w:rPr>
            </w:pPr>
            <w:r>
              <w:rPr>
                <w:rFonts w:hint="eastAsia" w:ascii="宋体" w:hAnsi="宋体" w:eastAsia="宋体" w:cs="宋体"/>
                <w:color w:val="auto"/>
                <w:szCs w:val="21"/>
              </w:rPr>
              <w:t>2.4.</w:t>
            </w:r>
            <w:r>
              <w:rPr>
                <w:rFonts w:hint="eastAsia" w:ascii="宋体" w:hAnsi="宋体" w:eastAsia="宋体" w:cs="宋体"/>
                <w:color w:val="auto"/>
                <w:szCs w:val="21"/>
                <w:lang w:val="en-GB"/>
              </w:rPr>
              <w:t>2 解离速率常数(kd)：</w:t>
            </w:r>
            <w:r>
              <w:rPr>
                <w:rFonts w:hint="eastAsia" w:ascii="宋体" w:hAnsi="宋体" w:eastAsia="宋体" w:cs="宋体"/>
                <w:color w:val="auto"/>
                <w:szCs w:val="21"/>
              </w:rPr>
              <w:t>10</w:t>
            </w:r>
            <w:r>
              <w:rPr>
                <w:rFonts w:hint="eastAsia" w:ascii="宋体" w:hAnsi="宋体" w:eastAsia="宋体" w:cs="宋体"/>
                <w:color w:val="auto"/>
                <w:szCs w:val="21"/>
                <w:vertAlign w:val="superscript"/>
              </w:rPr>
              <w:t>-6</w:t>
            </w:r>
            <w:r>
              <w:rPr>
                <w:rFonts w:hint="eastAsia" w:ascii="宋体" w:hAnsi="宋体" w:eastAsia="宋体" w:cs="宋体"/>
                <w:color w:val="auto"/>
                <w:szCs w:val="21"/>
              </w:rPr>
              <w:t>–1 s</w:t>
            </w:r>
            <w:r>
              <w:rPr>
                <w:rFonts w:hint="eastAsia" w:ascii="宋体" w:hAnsi="宋体" w:eastAsia="宋体" w:cs="宋体"/>
                <w:color w:val="auto"/>
                <w:szCs w:val="21"/>
                <w:vertAlign w:val="superscript"/>
              </w:rPr>
              <w:t>-1</w:t>
            </w:r>
          </w:p>
          <w:p w14:paraId="215E71E6">
            <w:pPr>
              <w:adjustRightInd w:val="0"/>
              <w:snapToGrid w:val="0"/>
              <w:spacing w:line="260" w:lineRule="exact"/>
              <w:rPr>
                <w:rFonts w:ascii="宋体" w:hAnsi="宋体" w:eastAsia="宋体" w:cs="宋体"/>
                <w:color w:val="auto"/>
                <w:szCs w:val="21"/>
                <w:vertAlign w:val="superscript"/>
              </w:rPr>
            </w:pPr>
            <w:r>
              <w:rPr>
                <w:rFonts w:hint="eastAsia" w:ascii="宋体" w:hAnsi="宋体" w:eastAsia="宋体" w:cs="宋体"/>
                <w:color w:val="auto"/>
                <w:szCs w:val="21"/>
              </w:rPr>
              <w:t>2.4.3 亲和力（KD）：10</w:t>
            </w:r>
            <w:r>
              <w:rPr>
                <w:rFonts w:hint="eastAsia" w:ascii="宋体" w:hAnsi="宋体" w:eastAsia="宋体" w:cs="宋体"/>
                <w:color w:val="auto"/>
                <w:szCs w:val="21"/>
                <w:vertAlign w:val="superscript"/>
              </w:rPr>
              <w:t>3</w:t>
            </w:r>
            <w:r>
              <w:rPr>
                <w:rFonts w:hint="eastAsia" w:ascii="宋体" w:hAnsi="宋体" w:eastAsia="宋体" w:cs="宋体"/>
                <w:color w:val="auto"/>
                <w:szCs w:val="21"/>
              </w:rPr>
              <w:t xml:space="preserve"> - 3×10</w:t>
            </w:r>
            <w:r>
              <w:rPr>
                <w:rFonts w:hint="eastAsia" w:ascii="宋体" w:hAnsi="宋体" w:eastAsia="宋体" w:cs="宋体"/>
                <w:color w:val="auto"/>
                <w:szCs w:val="21"/>
                <w:vertAlign w:val="superscript"/>
              </w:rPr>
              <w:t>15</w:t>
            </w:r>
            <w:r>
              <w:rPr>
                <w:rFonts w:hint="eastAsia" w:ascii="宋体" w:hAnsi="宋体" w:eastAsia="宋体" w:cs="宋体"/>
                <w:color w:val="auto"/>
                <w:szCs w:val="21"/>
              </w:rPr>
              <w:t xml:space="preserve"> M</w:t>
            </w:r>
            <w:r>
              <w:rPr>
                <w:rFonts w:hint="eastAsia" w:ascii="宋体" w:hAnsi="宋体" w:eastAsia="宋体" w:cs="宋体"/>
                <w:color w:val="auto"/>
                <w:szCs w:val="21"/>
                <w:vertAlign w:val="superscript"/>
              </w:rPr>
              <w:t>-1</w:t>
            </w:r>
          </w:p>
          <w:p w14:paraId="3D752720">
            <w:pPr>
              <w:widowControl/>
              <w:tabs>
                <w:tab w:val="left" w:pos="420"/>
              </w:tabs>
              <w:textAlignment w:val="center"/>
              <w:rPr>
                <w:rFonts w:ascii="宋体" w:hAnsi="宋体" w:eastAsia="宋体" w:cs="宋体"/>
                <w:color w:val="auto"/>
                <w:szCs w:val="21"/>
                <w:lang w:val="en-GB"/>
              </w:rPr>
            </w:pPr>
            <w:r>
              <w:rPr>
                <w:rFonts w:hint="eastAsia" w:ascii="宋体" w:hAnsi="宋体" w:eastAsia="宋体" w:cs="宋体"/>
                <w:color w:val="auto"/>
                <w:szCs w:val="21"/>
              </w:rPr>
              <w:t xml:space="preserve">2.5 </w:t>
            </w:r>
            <w:r>
              <w:rPr>
                <w:rFonts w:hint="eastAsia" w:ascii="宋体" w:hAnsi="宋体" w:eastAsia="宋体" w:cs="宋体"/>
                <w:color w:val="auto"/>
                <w:szCs w:val="21"/>
                <w:lang w:val="en-GB"/>
              </w:rPr>
              <w:t>设备检测分辨率和灵敏度：</w:t>
            </w:r>
          </w:p>
          <w:p w14:paraId="0A9A2528">
            <w:pPr>
              <w:widowControl/>
              <w:tabs>
                <w:tab w:val="left" w:pos="420"/>
              </w:tabs>
              <w:textAlignment w:val="center"/>
              <w:rPr>
                <w:rFonts w:ascii="宋体" w:hAnsi="宋体" w:eastAsia="宋体" w:cs="宋体"/>
                <w:color w:val="auto"/>
                <w:szCs w:val="21"/>
                <w:lang w:val="en-GB"/>
              </w:rPr>
            </w:pPr>
            <w:r>
              <w:rPr>
                <w:rFonts w:hint="eastAsia" w:ascii="宋体" w:hAnsi="宋体" w:eastAsia="宋体" w:cs="宋体"/>
                <w:color w:val="auto"/>
                <w:szCs w:val="21"/>
              </w:rPr>
              <w:t>2.5.</w:t>
            </w:r>
            <w:r>
              <w:rPr>
                <w:rFonts w:hint="eastAsia" w:ascii="宋体" w:hAnsi="宋体" w:eastAsia="宋体" w:cs="宋体"/>
                <w:color w:val="auto"/>
                <w:szCs w:val="21"/>
                <w:lang w:val="en-GB"/>
              </w:rPr>
              <w:t>1 基线噪声：&lt;0.03 RU (RMS)</w:t>
            </w:r>
          </w:p>
          <w:p w14:paraId="7BDFCF70">
            <w:pPr>
              <w:widowControl/>
              <w:tabs>
                <w:tab w:val="left" w:pos="420"/>
              </w:tabs>
              <w:textAlignment w:val="center"/>
              <w:rPr>
                <w:rFonts w:ascii="宋体" w:hAnsi="宋体" w:eastAsia="宋体" w:cs="宋体"/>
                <w:color w:val="auto"/>
                <w:szCs w:val="21"/>
                <w:lang w:val="en-GB"/>
              </w:rPr>
            </w:pPr>
            <w:r>
              <w:rPr>
                <w:rFonts w:hint="eastAsia" w:ascii="宋体" w:hAnsi="宋体" w:eastAsia="宋体" w:cs="宋体"/>
                <w:color w:val="auto"/>
                <w:szCs w:val="21"/>
                <w:lang w:val="en-GB"/>
              </w:rPr>
              <w:t>可检测pg级别的信号变化，获得真实的结合信号，避免假阴性。</w:t>
            </w:r>
          </w:p>
          <w:p w14:paraId="4DB2730F">
            <w:pPr>
              <w:widowControl/>
              <w:tabs>
                <w:tab w:val="left" w:pos="420"/>
              </w:tabs>
              <w:textAlignment w:val="center"/>
              <w:rPr>
                <w:rFonts w:ascii="宋体" w:hAnsi="宋体" w:eastAsia="宋体" w:cs="宋体"/>
                <w:color w:val="auto"/>
                <w:szCs w:val="21"/>
                <w:lang w:val="en-GB"/>
              </w:rPr>
            </w:pPr>
            <w:r>
              <w:rPr>
                <w:rFonts w:hint="eastAsia" w:ascii="宋体" w:hAnsi="宋体" w:eastAsia="宋体" w:cs="宋体"/>
                <w:color w:val="auto"/>
                <w:szCs w:val="21"/>
              </w:rPr>
              <w:t>2.5.</w:t>
            </w:r>
            <w:r>
              <w:rPr>
                <w:rFonts w:hint="eastAsia" w:ascii="宋体" w:hAnsi="宋体" w:eastAsia="宋体" w:cs="宋体"/>
                <w:color w:val="auto"/>
                <w:szCs w:val="21"/>
                <w:lang w:val="en-GB"/>
              </w:rPr>
              <w:t>2 基线漂移：&lt;0.3 RU/min</w:t>
            </w:r>
          </w:p>
          <w:p w14:paraId="5DDF612F">
            <w:pPr>
              <w:widowControl/>
              <w:tabs>
                <w:tab w:val="left" w:pos="420"/>
              </w:tabs>
              <w:textAlignment w:val="center"/>
              <w:rPr>
                <w:rFonts w:ascii="宋体" w:hAnsi="宋体" w:eastAsia="宋体" w:cs="宋体"/>
                <w:color w:val="auto"/>
                <w:szCs w:val="21"/>
                <w:lang w:val="en-GB"/>
              </w:rPr>
            </w:pPr>
            <w:r>
              <w:rPr>
                <w:rFonts w:hint="eastAsia" w:ascii="宋体" w:hAnsi="宋体" w:eastAsia="宋体" w:cs="宋体"/>
                <w:color w:val="auto"/>
                <w:szCs w:val="21"/>
                <w:lang w:val="en-GB"/>
              </w:rPr>
              <w:t>稳定性极佳，可以获得真实的解离信号，避免基线漂移导致的信号变化。</w:t>
            </w:r>
          </w:p>
          <w:p w14:paraId="2AE7411C">
            <w:pPr>
              <w:widowControl/>
              <w:tabs>
                <w:tab w:val="left" w:pos="420"/>
              </w:tabs>
              <w:textAlignment w:val="center"/>
              <w:rPr>
                <w:rFonts w:ascii="宋体" w:hAnsi="宋体" w:eastAsia="宋体" w:cs="宋体"/>
                <w:color w:val="auto"/>
                <w:szCs w:val="21"/>
                <w:lang w:val="en-GB"/>
              </w:rPr>
            </w:pPr>
            <w:r>
              <w:rPr>
                <w:rFonts w:hint="eastAsia" w:ascii="宋体" w:hAnsi="宋体" w:eastAsia="宋体" w:cs="宋体"/>
                <w:color w:val="auto"/>
                <w:szCs w:val="21"/>
              </w:rPr>
              <w:t>2.5.</w:t>
            </w:r>
            <w:r>
              <w:rPr>
                <w:rFonts w:hint="eastAsia" w:ascii="宋体" w:hAnsi="宋体" w:eastAsia="宋体" w:cs="宋体"/>
                <w:color w:val="auto"/>
                <w:szCs w:val="21"/>
                <w:lang w:val="en-GB"/>
              </w:rPr>
              <w:t>3 样品浓度检测下限：1pM</w:t>
            </w:r>
          </w:p>
          <w:p w14:paraId="66F2D977">
            <w:pPr>
              <w:adjustRightInd w:val="0"/>
              <w:snapToGrid w:val="0"/>
              <w:spacing w:line="260" w:lineRule="exact"/>
              <w:rPr>
                <w:rFonts w:ascii="宋体" w:hAnsi="宋体" w:eastAsia="宋体" w:cs="宋体"/>
                <w:color w:val="auto"/>
                <w:szCs w:val="21"/>
                <w:lang w:val="en-GB"/>
              </w:rPr>
            </w:pPr>
            <w:r>
              <w:rPr>
                <w:rFonts w:hint="eastAsia" w:ascii="宋体" w:hAnsi="宋体" w:eastAsia="宋体" w:cs="宋体"/>
                <w:color w:val="auto"/>
                <w:szCs w:val="21"/>
                <w:lang w:val="en-GB"/>
              </w:rPr>
              <w:t>可以检测超低浓度的样品，应用范围更广。</w:t>
            </w:r>
          </w:p>
          <w:p w14:paraId="3CD4A5B2">
            <w:pPr>
              <w:adjustRightInd w:val="0"/>
              <w:snapToGrid w:val="0"/>
              <w:spacing w:line="260" w:lineRule="exact"/>
              <w:rPr>
                <w:rFonts w:ascii="宋体" w:hAnsi="宋体" w:eastAsia="宋体" w:cs="宋体"/>
                <w:color w:val="auto"/>
                <w:szCs w:val="21"/>
              </w:rPr>
            </w:pPr>
            <w:r>
              <w:rPr>
                <w:rFonts w:hint="eastAsia" w:ascii="宋体" w:hAnsi="宋体" w:eastAsia="宋体" w:cs="宋体"/>
                <w:color w:val="auto"/>
                <w:szCs w:val="21"/>
              </w:rPr>
              <w:t>2.6 设备硬件指标：</w:t>
            </w:r>
          </w:p>
          <w:p w14:paraId="7A9EA7E2">
            <w:pPr>
              <w:widowControl/>
              <w:tabs>
                <w:tab w:val="left" w:pos="420"/>
              </w:tabs>
              <w:textAlignment w:val="center"/>
              <w:rPr>
                <w:rFonts w:ascii="宋体" w:hAnsi="宋体" w:eastAsia="宋体" w:cs="宋体"/>
                <w:color w:val="auto"/>
                <w:szCs w:val="21"/>
              </w:rPr>
            </w:pPr>
            <w:r>
              <w:rPr>
                <w:rFonts w:hint="eastAsia" w:ascii="宋体" w:hAnsi="宋体" w:eastAsia="宋体" w:cs="宋体"/>
                <w:color w:val="auto"/>
                <w:szCs w:val="21"/>
              </w:rPr>
              <w:t>2.6.</w:t>
            </w:r>
            <w:r>
              <w:rPr>
                <w:rFonts w:hint="eastAsia" w:ascii="宋体" w:hAnsi="宋体" w:eastAsia="宋体" w:cs="宋体"/>
                <w:color w:val="auto"/>
                <w:szCs w:val="21"/>
                <w:lang w:val="en-GB"/>
              </w:rPr>
              <w:t xml:space="preserve">1 </w:t>
            </w:r>
            <w:r>
              <w:rPr>
                <w:rFonts w:hint="eastAsia" w:ascii="宋体" w:hAnsi="宋体" w:eastAsia="宋体" w:cs="宋体"/>
                <w:color w:val="auto"/>
                <w:szCs w:val="21"/>
              </w:rPr>
              <w:t>内置自动进样器，全自动样品装载和注射，省去复杂的手动操作，进样更精准。</w:t>
            </w:r>
          </w:p>
          <w:p w14:paraId="7F160F0F">
            <w:pPr>
              <w:widowControl/>
              <w:tabs>
                <w:tab w:val="left" w:pos="420"/>
              </w:tabs>
              <w:textAlignment w:val="center"/>
              <w:rPr>
                <w:rFonts w:ascii="宋体" w:hAnsi="宋体" w:eastAsia="宋体" w:cs="宋体"/>
                <w:color w:val="auto"/>
                <w:szCs w:val="21"/>
              </w:rPr>
            </w:pPr>
            <w:r>
              <w:rPr>
                <w:rFonts w:hint="eastAsia" w:ascii="宋体" w:hAnsi="宋体" w:eastAsia="宋体" w:cs="宋体"/>
                <w:color w:val="auto"/>
                <w:szCs w:val="21"/>
              </w:rPr>
              <w:t>2.6.</w:t>
            </w:r>
            <w:r>
              <w:rPr>
                <w:rFonts w:hint="eastAsia" w:ascii="宋体" w:hAnsi="宋体" w:eastAsia="宋体" w:cs="宋体"/>
                <w:color w:val="auto"/>
                <w:szCs w:val="21"/>
                <w:lang w:val="en-GB"/>
              </w:rPr>
              <w:t xml:space="preserve">2 </w:t>
            </w:r>
            <w:r>
              <w:rPr>
                <w:rFonts w:hint="eastAsia" w:ascii="宋体" w:hAnsi="宋体" w:eastAsia="宋体" w:cs="宋体"/>
                <w:color w:val="auto"/>
                <w:szCs w:val="21"/>
              </w:rPr>
              <w:t>检测流通池（Flow Cell）：6个，可独立、配对串联使用，使用灵活。流通池池高度：50um，进样更准确。</w:t>
            </w:r>
          </w:p>
          <w:p w14:paraId="6CD63FC0">
            <w:pPr>
              <w:widowControl/>
              <w:tabs>
                <w:tab w:val="left" w:pos="420"/>
              </w:tabs>
              <w:textAlignment w:val="center"/>
              <w:rPr>
                <w:rFonts w:ascii="宋体" w:hAnsi="宋体" w:eastAsia="宋体" w:cs="宋体"/>
                <w:color w:val="auto"/>
                <w:szCs w:val="21"/>
              </w:rPr>
            </w:pPr>
            <w:r>
              <w:rPr>
                <w:rFonts w:hint="eastAsia" w:ascii="宋体" w:hAnsi="宋体" w:eastAsia="宋体" w:cs="宋体"/>
                <w:color w:val="auto"/>
                <w:szCs w:val="21"/>
              </w:rPr>
              <w:t>2.6.</w:t>
            </w:r>
            <w:r>
              <w:rPr>
                <w:rFonts w:hint="eastAsia" w:ascii="宋体" w:hAnsi="宋体" w:eastAsia="宋体" w:cs="宋体"/>
                <w:color w:val="auto"/>
                <w:szCs w:val="21"/>
                <w:lang w:val="en-GB"/>
              </w:rPr>
              <w:t xml:space="preserve">3 </w:t>
            </w:r>
            <w:r>
              <w:rPr>
                <w:rFonts w:hint="eastAsia" w:ascii="宋体" w:hAnsi="宋体" w:eastAsia="宋体" w:cs="宋体"/>
                <w:color w:val="auto"/>
                <w:szCs w:val="21"/>
              </w:rPr>
              <w:t>系统流速：1-100μl/min，满足各类型检测需求。</w:t>
            </w:r>
          </w:p>
          <w:p w14:paraId="4B4558D9">
            <w:pPr>
              <w:widowControl/>
              <w:tabs>
                <w:tab w:val="left" w:pos="420"/>
              </w:tabs>
              <w:textAlignment w:val="center"/>
              <w:rPr>
                <w:rFonts w:ascii="宋体" w:hAnsi="宋体" w:eastAsia="宋体" w:cs="宋体"/>
                <w:color w:val="auto"/>
                <w:szCs w:val="21"/>
                <w:highlight w:val="magenta"/>
              </w:rPr>
            </w:pPr>
            <w:r>
              <w:rPr>
                <w:rFonts w:hint="eastAsia" w:ascii="宋体" w:hAnsi="宋体" w:eastAsia="宋体" w:cs="宋体"/>
                <w:color w:val="auto"/>
                <w:szCs w:val="21"/>
              </w:rPr>
              <w:t>2.6.</w:t>
            </w:r>
            <w:r>
              <w:rPr>
                <w:rFonts w:hint="eastAsia" w:ascii="宋体" w:hAnsi="宋体" w:eastAsia="宋体" w:cs="宋体"/>
                <w:color w:val="auto"/>
                <w:szCs w:val="21"/>
                <w:lang w:val="en-GB"/>
              </w:rPr>
              <w:t xml:space="preserve">4 </w:t>
            </w:r>
            <w:r>
              <w:rPr>
                <w:rFonts w:hint="eastAsia" w:ascii="宋体" w:hAnsi="宋体" w:eastAsia="宋体" w:cs="宋体"/>
                <w:color w:val="auto"/>
                <w:szCs w:val="21"/>
              </w:rPr>
              <w:t>有机溶剂矫正：自动，避免有机试剂对信号的影响，避免手动矫正的误差。2.6.</w:t>
            </w:r>
            <w:r>
              <w:rPr>
                <w:rFonts w:hint="eastAsia" w:ascii="宋体" w:hAnsi="宋体" w:eastAsia="宋体" w:cs="宋体"/>
                <w:color w:val="auto"/>
                <w:szCs w:val="21"/>
                <w:lang w:val="en-GB"/>
              </w:rPr>
              <w:t xml:space="preserve">5 </w:t>
            </w:r>
            <w:r>
              <w:rPr>
                <w:rFonts w:hint="eastAsia" w:ascii="宋体" w:hAnsi="宋体" w:eastAsia="宋体" w:cs="宋体"/>
                <w:color w:val="auto"/>
                <w:szCs w:val="21"/>
              </w:rPr>
              <w:t>最小样品进样体积：1μl，节省进样体积。2.6.6</w:t>
            </w:r>
            <w:r>
              <w:rPr>
                <w:rFonts w:hint="eastAsia" w:ascii="宋体" w:hAnsi="宋体" w:eastAsia="宋体" w:cs="宋体"/>
                <w:color w:val="auto"/>
                <w:szCs w:val="21"/>
                <w:lang w:val="en-GB"/>
              </w:rPr>
              <w:t>样品容器类型：同时支持1.5mL道夫管、96孔板（深+浅，U+V）/384孔板（深+浅，U+V）及其他0.7-4.4mL试管，满足各类型实验需求。</w:t>
            </w:r>
          </w:p>
          <w:p w14:paraId="78814FAA">
            <w:pPr>
              <w:widowControl/>
              <w:tabs>
                <w:tab w:val="left" w:pos="420"/>
              </w:tabs>
              <w:textAlignment w:val="center"/>
              <w:rPr>
                <w:rFonts w:ascii="宋体" w:hAnsi="宋体" w:eastAsia="宋体" w:cs="宋体"/>
                <w:color w:val="auto"/>
                <w:szCs w:val="21"/>
              </w:rPr>
            </w:pPr>
            <w:r>
              <w:rPr>
                <w:rFonts w:hint="eastAsia" w:ascii="宋体" w:hAnsi="宋体" w:eastAsia="宋体" w:cs="宋体"/>
                <w:color w:val="auto"/>
                <w:szCs w:val="21"/>
              </w:rPr>
              <w:t>2.6.7</w:t>
            </w:r>
            <w:r>
              <w:rPr>
                <w:rFonts w:hint="eastAsia" w:ascii="宋体" w:hAnsi="宋体" w:eastAsia="宋体" w:cs="宋体"/>
                <w:color w:val="auto"/>
                <w:szCs w:val="21"/>
                <w:lang w:val="en-GB"/>
              </w:rPr>
              <w:t xml:space="preserve"> </w:t>
            </w:r>
            <w:r>
              <w:rPr>
                <w:rFonts w:hint="eastAsia" w:ascii="宋体" w:hAnsi="宋体" w:eastAsia="宋体" w:cs="宋体"/>
                <w:bCs/>
                <w:color w:val="auto"/>
                <w:szCs w:val="21"/>
              </w:rPr>
              <w:t>样品仓温控</w:t>
            </w:r>
            <w:r>
              <w:rPr>
                <w:rFonts w:hint="eastAsia" w:ascii="宋体" w:hAnsi="宋体" w:eastAsia="宋体" w:cs="宋体"/>
                <w:color w:val="auto"/>
                <w:szCs w:val="21"/>
              </w:rPr>
              <w:t>4-37℃，低温有利于样品活性的保持。温控精度小于3×10</w:t>
            </w:r>
            <w:r>
              <w:rPr>
                <w:rFonts w:hint="eastAsia" w:ascii="宋体" w:hAnsi="宋体" w:eastAsia="宋体" w:cs="宋体"/>
                <w:color w:val="auto"/>
                <w:szCs w:val="21"/>
                <w:vertAlign w:val="superscript"/>
              </w:rPr>
              <w:t>-3</w:t>
            </w:r>
            <w:r>
              <w:rPr>
                <w:rFonts w:hint="eastAsia" w:ascii="宋体" w:hAnsi="宋体" w:eastAsia="宋体" w:cs="宋体"/>
                <w:color w:val="auto"/>
                <w:szCs w:val="21"/>
              </w:rPr>
              <w:t>℃，温控更精准，检测更稳定。</w:t>
            </w:r>
          </w:p>
          <w:p w14:paraId="2B5E4793">
            <w:pPr>
              <w:widowControl/>
              <w:tabs>
                <w:tab w:val="left" w:pos="420"/>
              </w:tabs>
              <w:textAlignment w:val="center"/>
              <w:rPr>
                <w:rFonts w:ascii="宋体" w:hAnsi="宋体" w:eastAsia="宋体" w:cs="宋体"/>
                <w:color w:val="auto"/>
                <w:szCs w:val="21"/>
              </w:rPr>
            </w:pPr>
            <w:r>
              <w:rPr>
                <w:rFonts w:hint="eastAsia" w:ascii="宋体" w:hAnsi="宋体" w:eastAsia="宋体" w:cs="宋体"/>
                <w:color w:val="auto"/>
                <w:szCs w:val="21"/>
              </w:rPr>
              <w:t>2.6.8</w:t>
            </w:r>
            <w:r>
              <w:rPr>
                <w:rFonts w:hint="eastAsia" w:ascii="宋体" w:hAnsi="宋体" w:eastAsia="宋体" w:cs="宋体"/>
                <w:color w:val="auto"/>
                <w:szCs w:val="21"/>
                <w:lang w:val="en-GB"/>
              </w:rPr>
              <w:t xml:space="preserve"> </w:t>
            </w:r>
            <w:r>
              <w:rPr>
                <w:rFonts w:hint="eastAsia" w:ascii="宋体" w:hAnsi="宋体" w:eastAsia="宋体" w:cs="宋体"/>
                <w:bCs/>
                <w:color w:val="auto"/>
                <w:szCs w:val="21"/>
              </w:rPr>
              <w:t>检测仓可与样品仓分开温控，范围</w:t>
            </w:r>
            <w:r>
              <w:rPr>
                <w:rFonts w:hint="eastAsia" w:ascii="宋体" w:hAnsi="宋体" w:eastAsia="宋体" w:cs="宋体"/>
                <w:color w:val="auto"/>
                <w:szCs w:val="21"/>
              </w:rPr>
              <w:t>25-37℃，温控精度小于3×10</w:t>
            </w:r>
            <w:r>
              <w:rPr>
                <w:rFonts w:hint="eastAsia" w:ascii="宋体" w:hAnsi="宋体" w:eastAsia="宋体" w:cs="宋体"/>
                <w:color w:val="auto"/>
                <w:szCs w:val="21"/>
                <w:vertAlign w:val="superscript"/>
              </w:rPr>
              <w:t>-3</w:t>
            </w:r>
            <w:r>
              <w:rPr>
                <w:rFonts w:hint="eastAsia" w:ascii="宋体" w:hAnsi="宋体" w:eastAsia="宋体" w:cs="宋体"/>
                <w:color w:val="auto"/>
                <w:szCs w:val="21"/>
              </w:rPr>
              <w:t>℃，温控更精准，检测更稳定。</w:t>
            </w:r>
          </w:p>
          <w:p w14:paraId="3FBFAFCB">
            <w:pPr>
              <w:widowControl/>
              <w:tabs>
                <w:tab w:val="left" w:pos="420"/>
              </w:tabs>
              <w:textAlignment w:val="center"/>
              <w:rPr>
                <w:rFonts w:ascii="宋体" w:hAnsi="宋体" w:eastAsia="宋体" w:cs="宋体"/>
                <w:color w:val="auto"/>
                <w:szCs w:val="21"/>
              </w:rPr>
            </w:pPr>
            <w:r>
              <w:rPr>
                <w:rFonts w:hint="eastAsia" w:ascii="宋体" w:hAnsi="宋体" w:eastAsia="宋体" w:cs="宋体"/>
                <w:color w:val="auto"/>
                <w:szCs w:val="21"/>
              </w:rPr>
              <w:t>2.6.9</w:t>
            </w:r>
            <w:r>
              <w:rPr>
                <w:rFonts w:hint="eastAsia" w:ascii="宋体" w:hAnsi="宋体" w:eastAsia="宋体" w:cs="宋体"/>
                <w:color w:val="auto"/>
                <w:szCs w:val="21"/>
                <w:lang w:val="en-GB"/>
              </w:rPr>
              <w:t xml:space="preserve"> </w:t>
            </w:r>
            <w:r>
              <w:rPr>
                <w:rFonts w:hint="eastAsia" w:ascii="宋体" w:hAnsi="宋体" w:eastAsia="宋体" w:cs="宋体"/>
                <w:color w:val="auto"/>
                <w:szCs w:val="21"/>
              </w:rPr>
              <w:t>自动在线溶液脱气，避免气泡的干扰。</w:t>
            </w:r>
          </w:p>
          <w:p w14:paraId="5021C13C">
            <w:pPr>
              <w:widowControl/>
              <w:tabs>
                <w:tab w:val="left" w:pos="420"/>
              </w:tabs>
              <w:textAlignment w:val="center"/>
              <w:rPr>
                <w:rFonts w:ascii="宋体" w:hAnsi="宋体" w:eastAsia="宋体" w:cs="宋体"/>
                <w:color w:val="auto"/>
                <w:szCs w:val="21"/>
              </w:rPr>
            </w:pPr>
            <w:r>
              <w:rPr>
                <w:rFonts w:hint="eastAsia" w:ascii="宋体" w:hAnsi="宋体" w:eastAsia="宋体" w:cs="宋体"/>
                <w:color w:val="auto"/>
                <w:szCs w:val="21"/>
              </w:rPr>
              <w:t>2.6.10</w:t>
            </w:r>
            <w:r>
              <w:rPr>
                <w:rFonts w:hint="eastAsia" w:ascii="宋体" w:hAnsi="宋体" w:eastAsia="宋体" w:cs="宋体"/>
                <w:color w:val="auto"/>
                <w:szCs w:val="21"/>
                <w:lang w:val="en-GB"/>
              </w:rPr>
              <w:t xml:space="preserve"> </w:t>
            </w:r>
            <w:r>
              <w:rPr>
                <w:rFonts w:hint="eastAsia" w:ascii="宋体" w:hAnsi="宋体" w:eastAsia="宋体" w:cs="宋体"/>
                <w:color w:val="auto"/>
                <w:szCs w:val="21"/>
              </w:rPr>
              <w:t>自动在线背景扣除，实时观测背景扣除后的真实信号。</w:t>
            </w:r>
          </w:p>
          <w:p w14:paraId="35DA2AD6">
            <w:pPr>
              <w:widowControl/>
              <w:tabs>
                <w:tab w:val="left" w:pos="420"/>
              </w:tabs>
              <w:textAlignment w:val="center"/>
              <w:rPr>
                <w:rFonts w:ascii="宋体" w:hAnsi="宋体" w:eastAsia="宋体" w:cs="宋体"/>
                <w:color w:val="auto"/>
                <w:szCs w:val="21"/>
              </w:rPr>
            </w:pPr>
            <w:r>
              <w:rPr>
                <w:rFonts w:hint="eastAsia" w:ascii="宋体" w:hAnsi="宋体" w:eastAsia="宋体" w:cs="宋体"/>
                <w:color w:val="auto"/>
                <w:szCs w:val="21"/>
              </w:rPr>
              <w:t>2.6.</w:t>
            </w:r>
            <w:r>
              <w:rPr>
                <w:rFonts w:hint="eastAsia" w:ascii="宋体" w:hAnsi="宋体" w:eastAsia="宋体" w:cs="宋体"/>
                <w:color w:val="auto"/>
                <w:szCs w:val="21"/>
                <w:lang w:val="en-GB"/>
              </w:rPr>
              <w:t xml:space="preserve">11 </w:t>
            </w:r>
            <w:r>
              <w:rPr>
                <w:rFonts w:hint="eastAsia" w:ascii="宋体" w:hAnsi="宋体" w:eastAsia="宋体" w:cs="宋体"/>
                <w:color w:val="auto"/>
                <w:szCs w:val="21"/>
              </w:rPr>
              <w:t>检测最小分子量：无分子量限制，可检测离子、激素、片段化合物等小分子及各类型大分子。</w:t>
            </w:r>
          </w:p>
          <w:p w14:paraId="53E745E5">
            <w:pPr>
              <w:widowControl/>
              <w:tabs>
                <w:tab w:val="left" w:pos="420"/>
              </w:tabs>
              <w:textAlignment w:val="center"/>
              <w:rPr>
                <w:rFonts w:ascii="宋体" w:hAnsi="宋体" w:eastAsia="宋体" w:cs="宋体"/>
                <w:color w:val="auto"/>
                <w:szCs w:val="21"/>
                <w:highlight w:val="magenta"/>
              </w:rPr>
            </w:pPr>
            <w:r>
              <w:rPr>
                <w:rFonts w:hint="eastAsia" w:ascii="宋体" w:hAnsi="宋体" w:eastAsia="宋体" w:cs="宋体"/>
                <w:color w:val="auto"/>
                <w:szCs w:val="21"/>
              </w:rPr>
              <w:t>2.6.</w:t>
            </w:r>
            <w:r>
              <w:rPr>
                <w:rFonts w:hint="eastAsia" w:ascii="宋体" w:hAnsi="宋体" w:eastAsia="宋体" w:cs="宋体"/>
                <w:color w:val="auto"/>
                <w:szCs w:val="21"/>
                <w:lang w:val="en-GB"/>
              </w:rPr>
              <w:t xml:space="preserve">12 </w:t>
            </w:r>
            <w:r>
              <w:rPr>
                <w:rFonts w:hint="eastAsia" w:ascii="宋体" w:hAnsi="宋体" w:eastAsia="宋体" w:cs="宋体"/>
                <w:color w:val="auto"/>
                <w:szCs w:val="21"/>
              </w:rPr>
              <w:t>支持sample-buffer,Dual injection,ABA injection, Poly injection等多种功能，满足筛选，亲和力测定，抑制剂筛选、抑制剂表征，抗体表位分析、复合物组装顺序等应用。</w:t>
            </w:r>
          </w:p>
          <w:p w14:paraId="7F0AC6F5">
            <w:pPr>
              <w:widowControl/>
              <w:tabs>
                <w:tab w:val="left" w:pos="420"/>
              </w:tabs>
              <w:textAlignment w:val="center"/>
              <w:rPr>
                <w:rFonts w:ascii="宋体" w:hAnsi="宋体" w:eastAsia="宋体" w:cs="宋体"/>
                <w:color w:val="auto"/>
                <w:szCs w:val="21"/>
              </w:rPr>
            </w:pPr>
            <w:r>
              <w:rPr>
                <w:rFonts w:hint="eastAsia" w:ascii="宋体" w:hAnsi="宋体" w:eastAsia="宋体" w:cs="宋体"/>
                <w:color w:val="auto"/>
                <w:szCs w:val="21"/>
              </w:rPr>
              <w:t>2.7 配套试剂、耗材指标：</w:t>
            </w:r>
          </w:p>
          <w:p w14:paraId="3B2B4AC7">
            <w:pPr>
              <w:widowControl/>
              <w:tabs>
                <w:tab w:val="left" w:pos="420"/>
              </w:tabs>
              <w:textAlignment w:val="center"/>
              <w:rPr>
                <w:rFonts w:ascii="宋体" w:hAnsi="宋体" w:eastAsia="宋体" w:cs="宋体"/>
                <w:color w:val="auto"/>
                <w:szCs w:val="21"/>
                <w:lang w:val="en-GB"/>
              </w:rPr>
            </w:pPr>
            <w:r>
              <w:rPr>
                <w:rFonts w:hint="eastAsia" w:ascii="宋体" w:hAnsi="宋体" w:eastAsia="宋体" w:cs="宋体"/>
                <w:color w:val="auto"/>
                <w:szCs w:val="21"/>
              </w:rPr>
              <w:t>2.7.</w:t>
            </w:r>
            <w:r>
              <w:rPr>
                <w:rFonts w:hint="eastAsia" w:ascii="宋体" w:hAnsi="宋体" w:eastAsia="宋体" w:cs="宋体"/>
                <w:color w:val="auto"/>
                <w:szCs w:val="21"/>
                <w:lang w:val="en-GB"/>
              </w:rPr>
              <w:t>1 单一独立传感芯片检测，检测在同一张芯片上检测，可确保数据的稳定性及一致性。</w:t>
            </w:r>
          </w:p>
          <w:p w14:paraId="5AF92F10">
            <w:pPr>
              <w:widowControl/>
              <w:tabs>
                <w:tab w:val="left" w:pos="420"/>
              </w:tabs>
              <w:textAlignment w:val="center"/>
              <w:rPr>
                <w:rFonts w:ascii="宋体" w:hAnsi="宋体" w:eastAsia="宋体" w:cs="宋体"/>
                <w:color w:val="auto"/>
                <w:szCs w:val="21"/>
              </w:rPr>
            </w:pPr>
            <w:r>
              <w:rPr>
                <w:rFonts w:hint="eastAsia" w:ascii="宋体" w:hAnsi="宋体" w:eastAsia="宋体" w:cs="宋体"/>
                <w:color w:val="auto"/>
                <w:szCs w:val="21"/>
              </w:rPr>
              <w:t>2.7.</w:t>
            </w:r>
            <w:r>
              <w:rPr>
                <w:rFonts w:hint="eastAsia" w:ascii="宋体" w:hAnsi="宋体" w:eastAsia="宋体" w:cs="宋体"/>
                <w:color w:val="auto"/>
                <w:szCs w:val="21"/>
                <w:lang w:val="en-GB"/>
              </w:rPr>
              <w:t xml:space="preserve">2 </w:t>
            </w:r>
            <w:r>
              <w:rPr>
                <w:rFonts w:hint="eastAsia" w:ascii="宋体" w:hAnsi="宋体" w:eastAsia="宋体" w:cs="宋体"/>
                <w:color w:val="auto"/>
                <w:szCs w:val="21"/>
              </w:rPr>
              <w:t>具有多种原厂传感器芯片，包括共价偶联蛋白，特异性捕获抗体及His和GST等标签蛋白，特异性捕获疏水分子的原厂芯片，满足各类型分子的检测需求，且原厂芯片使用简单</w:t>
            </w:r>
          </w:p>
          <w:p w14:paraId="5D9CC832">
            <w:pPr>
              <w:widowControl/>
              <w:tabs>
                <w:tab w:val="left" w:pos="420"/>
              </w:tabs>
              <w:textAlignment w:val="center"/>
              <w:rPr>
                <w:rFonts w:ascii="宋体" w:hAnsi="宋体" w:eastAsia="宋体" w:cs="宋体"/>
                <w:color w:val="auto"/>
                <w:szCs w:val="21"/>
              </w:rPr>
            </w:pPr>
            <w:r>
              <w:rPr>
                <w:rFonts w:hint="eastAsia" w:ascii="宋体" w:hAnsi="宋体" w:eastAsia="宋体" w:cs="宋体"/>
                <w:color w:val="auto"/>
                <w:szCs w:val="21"/>
              </w:rPr>
              <w:t>2.7.</w:t>
            </w:r>
            <w:r>
              <w:rPr>
                <w:rFonts w:hint="eastAsia" w:ascii="宋体" w:hAnsi="宋体" w:eastAsia="宋体" w:cs="宋体"/>
                <w:color w:val="auto"/>
                <w:szCs w:val="21"/>
                <w:lang w:val="en-GB"/>
              </w:rPr>
              <w:t xml:space="preserve">3 </w:t>
            </w:r>
            <w:r>
              <w:rPr>
                <w:rFonts w:hint="eastAsia" w:ascii="宋体" w:hAnsi="宋体" w:eastAsia="宋体" w:cs="宋体"/>
                <w:color w:val="auto"/>
                <w:szCs w:val="21"/>
              </w:rPr>
              <w:t>具有多种与仪器配套的检测试剂和耗材。包括用于捕获人源/鼠源抗体、his标签、GST标签、生物素标签等样品的芯片和配套试剂盒等，满足各类型分子的检测需求，且原厂使用简单。</w:t>
            </w:r>
          </w:p>
          <w:p w14:paraId="07039735">
            <w:pPr>
              <w:widowControl/>
              <w:tabs>
                <w:tab w:val="left" w:pos="420"/>
              </w:tabs>
              <w:textAlignment w:val="center"/>
              <w:rPr>
                <w:rFonts w:ascii="宋体" w:hAnsi="宋体" w:eastAsia="宋体" w:cs="宋体"/>
                <w:color w:val="auto"/>
                <w:szCs w:val="21"/>
              </w:rPr>
            </w:pPr>
            <w:r>
              <w:rPr>
                <w:rFonts w:hint="eastAsia" w:ascii="宋体" w:hAnsi="宋体" w:eastAsia="宋体" w:cs="宋体"/>
                <w:color w:val="auto"/>
                <w:szCs w:val="21"/>
              </w:rPr>
              <w:t>2.7.</w:t>
            </w:r>
            <w:r>
              <w:rPr>
                <w:rFonts w:hint="eastAsia" w:ascii="宋体" w:hAnsi="宋体" w:eastAsia="宋体" w:cs="宋体"/>
                <w:color w:val="auto"/>
                <w:szCs w:val="21"/>
                <w:lang w:val="en-GB"/>
              </w:rPr>
              <w:t xml:space="preserve">4 </w:t>
            </w:r>
            <w:r>
              <w:rPr>
                <w:rFonts w:hint="eastAsia" w:ascii="宋体" w:hAnsi="宋体" w:eastAsia="宋体" w:cs="宋体"/>
                <w:color w:val="auto"/>
                <w:szCs w:val="21"/>
              </w:rPr>
              <w:t>传感器芯片可多次再生，再生100次的变异系数＜5%，多次使用可显著降低芯片的使用成本。</w:t>
            </w:r>
          </w:p>
          <w:p w14:paraId="2C4D71F6">
            <w:pPr>
              <w:widowControl/>
              <w:tabs>
                <w:tab w:val="left" w:pos="420"/>
              </w:tabs>
              <w:textAlignment w:val="center"/>
              <w:rPr>
                <w:rFonts w:ascii="宋体" w:hAnsi="宋体" w:eastAsia="宋体" w:cs="宋体"/>
                <w:caps/>
                <w:color w:val="auto"/>
                <w:szCs w:val="21"/>
              </w:rPr>
            </w:pPr>
            <w:r>
              <w:rPr>
                <w:rFonts w:hint="eastAsia" w:ascii="宋体" w:hAnsi="宋体" w:eastAsia="宋体" w:cs="宋体"/>
                <w:color w:val="auto"/>
                <w:szCs w:val="21"/>
              </w:rPr>
              <w:t xml:space="preserve">3.  </w:t>
            </w:r>
            <w:r>
              <w:rPr>
                <w:rFonts w:hint="eastAsia" w:ascii="宋体" w:hAnsi="宋体" w:eastAsia="宋体" w:cs="宋体"/>
                <w:caps/>
                <w:color w:val="auto"/>
                <w:szCs w:val="21"/>
              </w:rPr>
              <w:t>软件技术指标：</w:t>
            </w:r>
          </w:p>
          <w:p w14:paraId="62FF52B0">
            <w:pPr>
              <w:widowControl/>
              <w:tabs>
                <w:tab w:val="left" w:pos="420"/>
              </w:tabs>
              <w:textAlignment w:val="center"/>
              <w:rPr>
                <w:rFonts w:ascii="宋体" w:hAnsi="宋体" w:eastAsia="宋体" w:cs="宋体"/>
                <w:color w:val="auto"/>
                <w:szCs w:val="21"/>
              </w:rPr>
            </w:pPr>
            <w:r>
              <w:rPr>
                <w:rFonts w:hint="eastAsia" w:ascii="宋体" w:hAnsi="宋体" w:eastAsia="宋体" w:cs="宋体"/>
                <w:caps/>
                <w:color w:val="auto"/>
                <w:szCs w:val="21"/>
              </w:rPr>
              <w:t>3.1</w:t>
            </w:r>
            <w:r>
              <w:rPr>
                <w:rFonts w:hint="eastAsia" w:ascii="宋体" w:hAnsi="宋体" w:eastAsia="宋体" w:cs="宋体"/>
                <w:color w:val="auto"/>
                <w:szCs w:val="21"/>
              </w:rPr>
              <w:t xml:space="preserve"> 可实现实时检测和采集数据，并且进样时间、进样位置、流速、流路等反应参数能够实时自由设置，能够实时显示样品名称、种类、体积，能够进行连续流控制，并自动扣减背景。使用灵活，缩短方法开发的时间。</w:t>
            </w:r>
          </w:p>
          <w:p w14:paraId="75094BB2">
            <w:pPr>
              <w:widowControl/>
              <w:tabs>
                <w:tab w:val="left" w:pos="420"/>
              </w:tabs>
              <w:textAlignment w:val="center"/>
              <w:rPr>
                <w:rFonts w:ascii="宋体" w:hAnsi="宋体" w:eastAsia="宋体" w:cs="宋体"/>
                <w:color w:val="auto"/>
                <w:szCs w:val="21"/>
                <w:highlight w:val="magenta"/>
              </w:rPr>
            </w:pPr>
            <w:r>
              <w:rPr>
                <w:rFonts w:hint="eastAsia" w:ascii="宋体" w:hAnsi="宋体" w:eastAsia="宋体" w:cs="宋体"/>
                <w:color w:val="auto"/>
                <w:szCs w:val="21"/>
              </w:rPr>
              <w:t>3.2能够在进样过程中暂停进样，可根据结果选择继续进样或放弃进样。使用灵活，缩短方法开发的时间，降低使用成本。</w:t>
            </w:r>
          </w:p>
          <w:p w14:paraId="4F5F673D">
            <w:pPr>
              <w:widowControl/>
              <w:tabs>
                <w:tab w:val="left" w:pos="420"/>
              </w:tabs>
              <w:textAlignment w:val="center"/>
              <w:rPr>
                <w:rFonts w:ascii="宋体" w:hAnsi="宋体" w:eastAsia="宋体" w:cs="宋体"/>
                <w:color w:val="auto"/>
                <w:szCs w:val="21"/>
              </w:rPr>
            </w:pPr>
            <w:r>
              <w:rPr>
                <w:rFonts w:hint="eastAsia" w:ascii="宋体" w:hAnsi="宋体" w:eastAsia="宋体" w:cs="宋体"/>
                <w:color w:val="auto"/>
                <w:szCs w:val="21"/>
              </w:rPr>
              <w:t>3.3 软件具备多种片段化合物的清库、筛选功能，预设清库、筛选实验方法模块及对应的自动分析方法模块。实验开展更简单，减少方法开发，提高实验效率。</w:t>
            </w:r>
          </w:p>
          <w:p w14:paraId="768D76AE">
            <w:pPr>
              <w:widowControl/>
              <w:tabs>
                <w:tab w:val="left" w:pos="420"/>
              </w:tabs>
              <w:textAlignment w:val="center"/>
              <w:rPr>
                <w:rFonts w:ascii="宋体" w:hAnsi="宋体" w:eastAsia="宋体" w:cs="宋体"/>
                <w:color w:val="auto"/>
                <w:szCs w:val="21"/>
              </w:rPr>
            </w:pPr>
            <w:r>
              <w:rPr>
                <w:rFonts w:hint="eastAsia" w:ascii="宋体" w:hAnsi="宋体" w:eastAsia="宋体" w:cs="宋体"/>
                <w:color w:val="auto"/>
                <w:szCs w:val="21"/>
              </w:rPr>
              <w:t>3.4 软件具有多种抗体表位分析功能，预设夹心法、串联法、预混法等经典的抗体表位检测方法，并具有对应的自动分析方法模块。实验开展更简单，提高实验效率。3.5 软件具有多种浓度检测和效价检测功能，可以测定活性浓度、PLA/EC50，并自动拟合。</w:t>
            </w:r>
          </w:p>
          <w:p w14:paraId="29A9D623">
            <w:pPr>
              <w:widowControl/>
              <w:tabs>
                <w:tab w:val="left" w:pos="420"/>
              </w:tabs>
              <w:textAlignment w:val="center"/>
              <w:rPr>
                <w:rFonts w:ascii="宋体" w:hAnsi="宋体" w:eastAsia="宋体" w:cs="宋体"/>
                <w:color w:val="auto"/>
                <w:szCs w:val="21"/>
              </w:rPr>
            </w:pPr>
            <w:r>
              <w:rPr>
                <w:rFonts w:hint="eastAsia" w:ascii="宋体" w:hAnsi="宋体" w:eastAsia="宋体" w:cs="宋体"/>
                <w:color w:val="auto"/>
                <w:szCs w:val="21"/>
              </w:rPr>
              <w:t xml:space="preserve">3.6 </w:t>
            </w:r>
            <w:r>
              <w:rPr>
                <w:rFonts w:hint="eastAsia" w:ascii="宋体" w:hAnsi="宋体" w:eastAsia="宋体" w:cs="宋体"/>
                <w:caps/>
                <w:color w:val="auto"/>
                <w:szCs w:val="21"/>
              </w:rPr>
              <w:t>可以模块化、批量分析动力学等结果，能够自由选择分析、拟合模式，并自动拟合分析。</w:t>
            </w:r>
            <w:r>
              <w:rPr>
                <w:rFonts w:hint="eastAsia" w:ascii="宋体" w:hAnsi="宋体" w:eastAsia="宋体" w:cs="宋体"/>
                <w:bCs/>
                <w:color w:val="auto"/>
                <w:szCs w:val="21"/>
                <w:lang w:val="en-GB"/>
              </w:rPr>
              <w:t>数据分析结果支持多种输出Excel, JEPG，txt、PPT格式</w:t>
            </w:r>
            <w:r>
              <w:rPr>
                <w:rFonts w:hint="eastAsia" w:ascii="宋体" w:hAnsi="宋体" w:eastAsia="宋体" w:cs="宋体"/>
                <w:color w:val="auto"/>
                <w:szCs w:val="21"/>
              </w:rPr>
              <w:t>，减少数据处理的时间，提高实验效率。</w:t>
            </w:r>
          </w:p>
          <w:p w14:paraId="0F13F1E3">
            <w:pPr>
              <w:widowControl/>
              <w:tabs>
                <w:tab w:val="left" w:pos="420"/>
              </w:tabs>
              <w:textAlignment w:val="center"/>
              <w:rPr>
                <w:rFonts w:ascii="宋体" w:hAnsi="宋体" w:eastAsia="宋体" w:cs="宋体"/>
                <w:color w:val="auto"/>
                <w:szCs w:val="21"/>
                <w:highlight w:val="magenta"/>
              </w:rPr>
            </w:pPr>
            <w:r>
              <w:rPr>
                <w:rFonts w:hint="eastAsia" w:ascii="宋体" w:hAnsi="宋体" w:eastAsia="宋体" w:cs="宋体"/>
                <w:color w:val="auto"/>
                <w:szCs w:val="21"/>
              </w:rPr>
              <w:t>3.7 软件具备队列运行功能，可将不同实验整合在队列中，减少等待时间，提高实验效率。</w:t>
            </w:r>
            <w:r>
              <w:rPr>
                <w:rFonts w:hint="eastAsia" w:ascii="宋体" w:hAnsi="宋体" w:eastAsia="宋体" w:cs="宋体"/>
                <w:color w:val="auto"/>
                <w:szCs w:val="21"/>
                <w:highlight w:val="none"/>
              </w:rPr>
              <w:t xml:space="preserve"> </w:t>
            </w:r>
          </w:p>
          <w:p w14:paraId="4C1780DC">
            <w:pPr>
              <w:widowControl/>
              <w:tabs>
                <w:tab w:val="left" w:pos="420"/>
              </w:tabs>
              <w:textAlignment w:val="center"/>
              <w:rPr>
                <w:rFonts w:ascii="宋体" w:hAnsi="宋体" w:eastAsia="宋体" w:cs="宋体"/>
                <w:color w:val="auto"/>
                <w:szCs w:val="21"/>
                <w:highlight w:val="magenta"/>
              </w:rPr>
            </w:pPr>
            <w:r>
              <w:rPr>
                <w:rFonts w:hint="eastAsia" w:ascii="宋体" w:hAnsi="宋体" w:eastAsia="宋体" w:cs="宋体"/>
                <w:color w:val="auto"/>
                <w:szCs w:val="21"/>
              </w:rPr>
              <w:t>3.8 队列运行中，软件可自动判断偶联结果，并根据结果判断是否执行队列中的后续实验。</w:t>
            </w:r>
          </w:p>
          <w:p w14:paraId="2F8FC58E">
            <w:pPr>
              <w:widowControl/>
              <w:tabs>
                <w:tab w:val="left" w:pos="420"/>
              </w:tabs>
              <w:textAlignment w:val="center"/>
              <w:rPr>
                <w:rFonts w:ascii="宋体" w:hAnsi="宋体" w:eastAsia="宋体" w:cs="宋体"/>
                <w:color w:val="auto"/>
                <w:szCs w:val="21"/>
              </w:rPr>
            </w:pPr>
            <w:r>
              <w:rPr>
                <w:rFonts w:hint="eastAsia" w:ascii="宋体" w:hAnsi="宋体" w:eastAsia="宋体" w:cs="宋体"/>
                <w:color w:val="auto"/>
                <w:szCs w:val="21"/>
              </w:rPr>
              <w:t>3.9 偶联实验中，除了设置偶联时间外，还可设置目标偶联量，软件可智能化控制进样时间以达到目标偶联量，降低实验方法摸索的成本，提高实验效率。</w:t>
            </w:r>
          </w:p>
          <w:p w14:paraId="7C50E851">
            <w:pPr>
              <w:widowControl/>
              <w:tabs>
                <w:tab w:val="left" w:pos="420"/>
              </w:tabs>
              <w:textAlignment w:val="center"/>
              <w:rPr>
                <w:rFonts w:ascii="宋体" w:hAnsi="宋体" w:eastAsia="宋体" w:cs="宋体"/>
                <w:bCs/>
                <w:color w:val="auto"/>
                <w:szCs w:val="21"/>
                <w:lang w:val="en-GB"/>
              </w:rPr>
            </w:pPr>
            <w:r>
              <w:rPr>
                <w:rFonts w:hint="eastAsia" w:ascii="宋体" w:hAnsi="宋体" w:eastAsia="宋体" w:cs="宋体"/>
                <w:bCs/>
                <w:color w:val="auto"/>
                <w:szCs w:val="21"/>
                <w:lang w:val="en-GB"/>
              </w:rPr>
              <w:t>3.10 能够进行动力学、亲和力筛选数据分析，拟合分析，并且具有多种拟合模型可供选择，包括：1:1结合，1:1解离，Bivalent模型（抗体专用），Heterogeneous ligand（多聚体分析），Two-state(协同效应)，稳态拟合等，满足各类型实验需求。</w:t>
            </w:r>
          </w:p>
          <w:p w14:paraId="37D50E63">
            <w:pPr>
              <w:widowControl/>
              <w:tabs>
                <w:tab w:val="left" w:pos="420"/>
              </w:tabs>
              <w:textAlignment w:val="center"/>
              <w:rPr>
                <w:rFonts w:ascii="宋体" w:hAnsi="宋体" w:eastAsia="宋体" w:cs="宋体"/>
                <w:color w:val="auto"/>
                <w:szCs w:val="21"/>
              </w:rPr>
            </w:pPr>
            <w:r>
              <w:rPr>
                <w:rFonts w:hint="eastAsia" w:ascii="宋体" w:hAnsi="宋体" w:eastAsia="宋体" w:cs="宋体"/>
                <w:bCs/>
                <w:color w:val="auto"/>
                <w:szCs w:val="21"/>
                <w:lang w:val="en-GB"/>
              </w:rPr>
              <w:t>3.11 能够进行溶剂矫正分析，</w:t>
            </w:r>
            <w:r>
              <w:rPr>
                <w:rFonts w:hint="eastAsia" w:ascii="宋体" w:hAnsi="宋体" w:eastAsia="宋体" w:cs="宋体"/>
                <w:color w:val="auto"/>
                <w:szCs w:val="21"/>
              </w:rPr>
              <w:t>能够设置参比或对照通道，</w:t>
            </w:r>
            <w:r>
              <w:rPr>
                <w:rFonts w:hint="eastAsia" w:ascii="宋体" w:hAnsi="宋体" w:eastAsia="宋体" w:cs="宋体"/>
                <w:bCs/>
                <w:color w:val="auto"/>
                <w:szCs w:val="21"/>
                <w:lang w:val="en-GB"/>
              </w:rPr>
              <w:t>并且自动扣减背景或/和矫正系数，减少人为操作引起的误差。3.12</w:t>
            </w:r>
            <w:r>
              <w:rPr>
                <w:rFonts w:hint="eastAsia" w:ascii="宋体" w:hAnsi="宋体" w:eastAsia="宋体" w:cs="宋体"/>
                <w:caps/>
                <w:color w:val="auto"/>
                <w:szCs w:val="21"/>
              </w:rPr>
              <w:t>具有智能数据质量评估系统，能够图形化显示评估结果。能够对结果自动进行统计学分析，并给出相应参数，减少数据分析的学习成本及时间。</w:t>
            </w:r>
            <w:r>
              <w:rPr>
                <w:rFonts w:hint="eastAsia" w:ascii="宋体" w:hAnsi="宋体" w:eastAsia="宋体" w:cs="宋体"/>
                <w:color w:val="auto"/>
                <w:szCs w:val="21"/>
              </w:rPr>
              <w:t>4、技术服务：</w:t>
            </w:r>
          </w:p>
          <w:p w14:paraId="5B315513">
            <w:pPr>
              <w:widowControl/>
              <w:tabs>
                <w:tab w:val="left" w:pos="420"/>
              </w:tabs>
              <w:textAlignment w:val="center"/>
              <w:rPr>
                <w:rFonts w:ascii="宋体" w:hAnsi="宋体" w:eastAsia="宋体" w:cs="宋体"/>
                <w:color w:val="auto"/>
                <w:szCs w:val="21"/>
              </w:rPr>
            </w:pPr>
            <w:r>
              <w:rPr>
                <w:rFonts w:hint="eastAsia" w:ascii="宋体" w:hAnsi="宋体" w:eastAsia="宋体" w:cs="宋体"/>
                <w:color w:val="auto"/>
                <w:szCs w:val="21"/>
              </w:rPr>
              <w:t>4.1安装、校验、初始试运行要求</w:t>
            </w:r>
          </w:p>
          <w:p w14:paraId="56CAA3FC">
            <w:pPr>
              <w:widowControl/>
              <w:tabs>
                <w:tab w:val="left" w:pos="420"/>
              </w:tabs>
              <w:textAlignment w:val="center"/>
              <w:rPr>
                <w:rFonts w:ascii="宋体" w:hAnsi="宋体" w:eastAsia="宋体" w:cs="宋体"/>
                <w:color w:val="auto"/>
                <w:szCs w:val="21"/>
              </w:rPr>
            </w:pPr>
            <w:r>
              <w:rPr>
                <w:rFonts w:hint="eastAsia" w:ascii="宋体" w:hAnsi="宋体" w:eastAsia="宋体" w:cs="宋体"/>
                <w:color w:val="auto"/>
                <w:szCs w:val="21"/>
              </w:rPr>
              <w:t>4.1.1厂家工程师负责现场安装、调试，并达到产品设计的各项技术标准，校验符合要求。除仪器本身自带数据处理工作站，另配数据工作站一台，用于脱机数据处理，配置i7处理器，16GB内存，1TB硬盘，1GB独立显卡，27英寸高清液晶显示器，win7以上操作系统。</w:t>
            </w:r>
          </w:p>
          <w:p w14:paraId="623633BB">
            <w:pPr>
              <w:widowControl/>
              <w:tabs>
                <w:tab w:val="left" w:pos="420"/>
              </w:tabs>
              <w:textAlignment w:val="center"/>
              <w:rPr>
                <w:rFonts w:ascii="宋体" w:hAnsi="宋体" w:eastAsia="宋体" w:cs="宋体"/>
                <w:color w:val="auto"/>
                <w:szCs w:val="21"/>
              </w:rPr>
            </w:pPr>
            <w:r>
              <w:rPr>
                <w:rFonts w:hint="eastAsia" w:ascii="宋体" w:hAnsi="宋体" w:eastAsia="宋体" w:cs="宋体"/>
                <w:color w:val="auto"/>
                <w:szCs w:val="21"/>
              </w:rPr>
              <w:t>4.1.2初始试运行各类功能操作与产品功能一致且达到设计标准；技术参数中“*”项内容的参数提供技术支持资料参考。提供厂家或总代理公章授权。</w:t>
            </w:r>
          </w:p>
          <w:p w14:paraId="1927ECD7">
            <w:pPr>
              <w:widowControl/>
              <w:tabs>
                <w:tab w:val="left" w:pos="420"/>
              </w:tabs>
              <w:textAlignment w:val="center"/>
              <w:rPr>
                <w:rFonts w:ascii="宋体" w:hAnsi="宋体" w:eastAsia="宋体" w:cs="宋体"/>
                <w:color w:val="auto"/>
                <w:szCs w:val="21"/>
              </w:rPr>
            </w:pPr>
            <w:r>
              <w:rPr>
                <w:rFonts w:hint="eastAsia" w:ascii="宋体" w:hAnsi="宋体" w:eastAsia="宋体" w:cs="宋体"/>
                <w:color w:val="auto"/>
                <w:szCs w:val="21"/>
              </w:rPr>
              <w:t>4.2人员培训要求</w:t>
            </w:r>
          </w:p>
          <w:p w14:paraId="476C6F97">
            <w:pPr>
              <w:widowControl/>
              <w:tabs>
                <w:tab w:val="left" w:pos="420"/>
              </w:tabs>
              <w:textAlignment w:val="center"/>
              <w:rPr>
                <w:rFonts w:ascii="宋体" w:hAnsi="宋体" w:eastAsia="宋体" w:cs="宋体"/>
                <w:color w:val="auto"/>
                <w:szCs w:val="21"/>
              </w:rPr>
            </w:pPr>
            <w:r>
              <w:rPr>
                <w:rFonts w:hint="eastAsia" w:ascii="宋体" w:hAnsi="宋体" w:eastAsia="宋体" w:cs="宋体"/>
                <w:color w:val="auto"/>
                <w:szCs w:val="21"/>
              </w:rPr>
              <w:t>4.2.1现场培训：厂家工程师负责仪器设备的基本原理、操作应用、注意事项、日常维护等内容，使其能够掌握仪器的正确操作和日常保养、维护及简单故障的处理。</w:t>
            </w:r>
          </w:p>
          <w:p w14:paraId="5F7CCEFB">
            <w:pPr>
              <w:widowControl/>
              <w:numPr>
                <w:ilvl w:val="0"/>
                <w:numId w:val="3"/>
              </w:numPr>
              <w:tabs>
                <w:tab w:val="left" w:pos="420"/>
              </w:tabs>
              <w:textAlignment w:val="center"/>
              <w:rPr>
                <w:rFonts w:ascii="宋体" w:hAnsi="宋体" w:eastAsia="宋体" w:cs="宋体"/>
                <w:color w:val="auto"/>
                <w:szCs w:val="21"/>
              </w:rPr>
            </w:pPr>
            <w:r>
              <w:rPr>
                <w:rFonts w:hint="eastAsia" w:ascii="宋体" w:hAnsi="宋体" w:eastAsia="宋体" w:cs="宋体"/>
                <w:color w:val="auto"/>
                <w:szCs w:val="21"/>
              </w:rPr>
              <w:t>质量保证期</w:t>
            </w:r>
          </w:p>
          <w:p w14:paraId="6E5099E2">
            <w:pPr>
              <w:widowControl/>
              <w:tabs>
                <w:tab w:val="left" w:pos="420"/>
              </w:tabs>
              <w:textAlignment w:val="center"/>
              <w:rPr>
                <w:rFonts w:ascii="宋体" w:hAnsi="宋体" w:eastAsia="宋体" w:cs="宋体"/>
                <w:color w:val="auto"/>
                <w:szCs w:val="21"/>
              </w:rPr>
            </w:pPr>
            <w:r>
              <w:rPr>
                <w:rFonts w:hint="eastAsia" w:ascii="宋体" w:hAnsi="宋体" w:eastAsia="宋体" w:cs="宋体"/>
                <w:color w:val="auto"/>
                <w:szCs w:val="21"/>
              </w:rPr>
              <w:t>整机及所有配套产品提供3年免费保修服务</w:t>
            </w:r>
          </w:p>
        </w:tc>
        <w:tc>
          <w:tcPr>
            <w:tcW w:w="720" w:type="dxa"/>
            <w:tcBorders>
              <w:top w:val="single" w:color="auto" w:sz="4" w:space="0"/>
              <w:left w:val="nil"/>
              <w:bottom w:val="single" w:color="auto" w:sz="4" w:space="0"/>
              <w:right w:val="single" w:color="auto" w:sz="4" w:space="0"/>
            </w:tcBorders>
            <w:vAlign w:val="center"/>
          </w:tcPr>
          <w:p w14:paraId="5D0C7EF7">
            <w:pPr>
              <w:adjustRightInd w:val="0"/>
              <w:snapToGrid w:val="0"/>
              <w:spacing w:line="260" w:lineRule="exact"/>
              <w:rPr>
                <w:rFonts w:ascii="宋体" w:hAnsi="宋体" w:eastAsia="宋体" w:cs="宋体"/>
                <w:color w:val="auto"/>
                <w:szCs w:val="21"/>
              </w:rPr>
            </w:pPr>
            <w:r>
              <w:rPr>
                <w:rFonts w:hint="eastAsia" w:ascii="宋体" w:hAnsi="宋体" w:eastAsia="宋体" w:cs="宋体"/>
                <w:color w:val="auto"/>
                <w:szCs w:val="21"/>
              </w:rPr>
              <w:t>1</w:t>
            </w:r>
          </w:p>
        </w:tc>
        <w:tc>
          <w:tcPr>
            <w:tcW w:w="1305" w:type="dxa"/>
            <w:tcBorders>
              <w:top w:val="single" w:color="auto" w:sz="4" w:space="0"/>
              <w:left w:val="nil"/>
              <w:bottom w:val="single" w:color="auto" w:sz="4" w:space="0"/>
              <w:right w:val="single" w:color="auto" w:sz="4" w:space="0"/>
            </w:tcBorders>
            <w:vAlign w:val="center"/>
          </w:tcPr>
          <w:p w14:paraId="30297234">
            <w:pPr>
              <w:ind w:right="-107" w:rightChars="-51"/>
              <w:jc w:val="center"/>
              <w:rPr>
                <w:rFonts w:ascii="宋体" w:hAnsi="宋体" w:eastAsia="宋体" w:cs="宋体"/>
                <w:color w:val="auto"/>
                <w:kern w:val="0"/>
                <w:szCs w:val="21"/>
              </w:rPr>
            </w:pPr>
            <w:r>
              <w:rPr>
                <w:rFonts w:hint="eastAsia" w:ascii="宋体" w:hAnsi="宋体" w:eastAsia="宋体" w:cs="宋体"/>
                <w:color w:val="auto"/>
                <w:szCs w:val="21"/>
              </w:rPr>
              <w:t xml:space="preserve"> 格来赛生命科技（上海）有限公司</w:t>
            </w:r>
          </w:p>
        </w:tc>
        <w:tc>
          <w:tcPr>
            <w:tcW w:w="1065" w:type="dxa"/>
            <w:tcBorders>
              <w:top w:val="single" w:color="auto" w:sz="4" w:space="0"/>
              <w:left w:val="nil"/>
              <w:bottom w:val="single" w:color="auto" w:sz="4" w:space="0"/>
              <w:right w:val="single" w:color="auto" w:sz="4" w:space="0"/>
            </w:tcBorders>
            <w:vAlign w:val="center"/>
          </w:tcPr>
          <w:p w14:paraId="458559E5">
            <w:pPr>
              <w:jc w:val="center"/>
              <w:rPr>
                <w:rFonts w:ascii="宋体" w:hAnsi="宋体" w:eastAsia="宋体" w:cs="宋体"/>
                <w:color w:val="auto"/>
                <w:szCs w:val="21"/>
              </w:rPr>
            </w:pPr>
            <w:r>
              <w:rPr>
                <w:rFonts w:hint="eastAsia" w:ascii="宋体" w:hAnsi="宋体" w:eastAsia="宋体" w:cs="宋体"/>
                <w:color w:val="auto"/>
                <w:szCs w:val="21"/>
              </w:rPr>
              <w:t>瑞典</w:t>
            </w:r>
          </w:p>
        </w:tc>
        <w:tc>
          <w:tcPr>
            <w:tcW w:w="1455" w:type="dxa"/>
            <w:tcBorders>
              <w:top w:val="single" w:color="auto" w:sz="4" w:space="0"/>
              <w:left w:val="nil"/>
              <w:bottom w:val="single" w:color="auto" w:sz="4" w:space="0"/>
              <w:right w:val="single" w:color="auto" w:sz="4" w:space="0"/>
            </w:tcBorders>
          </w:tcPr>
          <w:p w14:paraId="33C0F09C">
            <w:pPr>
              <w:jc w:val="center"/>
              <w:rPr>
                <w:rFonts w:ascii="宋体" w:hAnsi="宋体" w:eastAsia="宋体" w:cs="宋体"/>
                <w:color w:val="auto"/>
                <w:szCs w:val="21"/>
              </w:rPr>
            </w:pPr>
          </w:p>
        </w:tc>
      </w:tr>
      <w:tr w14:paraId="3F90FF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45" w:hRule="atLeast"/>
        </w:trPr>
        <w:tc>
          <w:tcPr>
            <w:tcW w:w="855" w:type="dxa"/>
            <w:tcBorders>
              <w:top w:val="single" w:color="auto" w:sz="4" w:space="0"/>
              <w:left w:val="single" w:color="auto" w:sz="4" w:space="0"/>
              <w:bottom w:val="single" w:color="auto" w:sz="4" w:space="0"/>
              <w:right w:val="single" w:color="auto" w:sz="4" w:space="0"/>
            </w:tcBorders>
            <w:vAlign w:val="center"/>
          </w:tcPr>
          <w:p w14:paraId="70D3EDED">
            <w:pPr>
              <w:jc w:val="center"/>
              <w:rPr>
                <w:rFonts w:ascii="宋体" w:hAnsi="宋体" w:eastAsia="宋体" w:cs="宋体"/>
                <w:color w:val="auto"/>
                <w:szCs w:val="21"/>
              </w:rPr>
            </w:pPr>
            <w:r>
              <w:rPr>
                <w:rFonts w:hint="eastAsia" w:ascii="宋体" w:hAnsi="宋体" w:eastAsia="宋体" w:cs="宋体"/>
                <w:color w:val="auto"/>
                <w:szCs w:val="21"/>
              </w:rPr>
              <w:t>2</w:t>
            </w:r>
          </w:p>
        </w:tc>
        <w:tc>
          <w:tcPr>
            <w:tcW w:w="1695" w:type="dxa"/>
            <w:tcBorders>
              <w:top w:val="single" w:color="auto" w:sz="4" w:space="0"/>
              <w:left w:val="nil"/>
              <w:bottom w:val="single" w:color="auto" w:sz="4" w:space="0"/>
              <w:right w:val="single" w:color="auto" w:sz="4" w:space="0"/>
            </w:tcBorders>
            <w:vAlign w:val="center"/>
          </w:tcPr>
          <w:p w14:paraId="00EA69BF">
            <w:pPr>
              <w:jc w:val="center"/>
              <w:rPr>
                <w:rFonts w:ascii="宋体" w:hAnsi="宋体" w:eastAsia="宋体" w:cs="宋体"/>
                <w:color w:val="auto"/>
                <w:szCs w:val="21"/>
              </w:rPr>
            </w:pPr>
            <w:r>
              <w:rPr>
                <w:rFonts w:hint="eastAsia" w:ascii="宋体" w:hAnsi="宋体" w:eastAsia="宋体" w:cs="宋体"/>
                <w:color w:val="auto"/>
                <w:szCs w:val="21"/>
              </w:rPr>
              <w:t>振动切片机</w:t>
            </w:r>
          </w:p>
        </w:tc>
        <w:tc>
          <w:tcPr>
            <w:tcW w:w="2235" w:type="dxa"/>
            <w:tcBorders>
              <w:top w:val="single" w:color="auto" w:sz="4" w:space="0"/>
              <w:left w:val="nil"/>
              <w:bottom w:val="single" w:color="auto" w:sz="4" w:space="0"/>
              <w:right w:val="single" w:color="auto" w:sz="4" w:space="0"/>
            </w:tcBorders>
          </w:tcPr>
          <w:p w14:paraId="3CDC2F70">
            <w:pPr>
              <w:jc w:val="center"/>
              <w:rPr>
                <w:rFonts w:ascii="宋体" w:hAnsi="宋体" w:eastAsia="宋体" w:cs="宋体"/>
                <w:color w:val="auto"/>
                <w:szCs w:val="21"/>
              </w:rPr>
            </w:pPr>
          </w:p>
          <w:p w14:paraId="42BC98F7">
            <w:pPr>
              <w:jc w:val="center"/>
              <w:rPr>
                <w:rFonts w:ascii="宋体" w:hAnsi="宋体" w:eastAsia="宋体" w:cs="宋体"/>
                <w:color w:val="auto"/>
                <w:szCs w:val="21"/>
              </w:rPr>
            </w:pPr>
          </w:p>
          <w:p w14:paraId="21CD80BB">
            <w:pPr>
              <w:jc w:val="center"/>
              <w:rPr>
                <w:rFonts w:ascii="宋体" w:hAnsi="宋体" w:eastAsia="宋体" w:cs="宋体"/>
                <w:color w:val="auto"/>
                <w:szCs w:val="21"/>
              </w:rPr>
            </w:pPr>
          </w:p>
          <w:p w14:paraId="42C1C7DC">
            <w:pPr>
              <w:bidi w:val="0"/>
            </w:pPr>
          </w:p>
          <w:p w14:paraId="06B51034">
            <w:pPr>
              <w:bidi w:val="0"/>
            </w:pPr>
          </w:p>
          <w:p w14:paraId="7FF1A395">
            <w:pPr>
              <w:bidi w:val="0"/>
            </w:pPr>
          </w:p>
          <w:p w14:paraId="3D42B28E">
            <w:pPr>
              <w:bidi w:val="0"/>
            </w:pPr>
          </w:p>
          <w:p w14:paraId="49BC5054">
            <w:pPr>
              <w:bidi w:val="0"/>
            </w:pPr>
          </w:p>
          <w:p w14:paraId="7FA50BBA">
            <w:pPr>
              <w:bidi w:val="0"/>
            </w:pPr>
          </w:p>
          <w:p w14:paraId="110920B9">
            <w:pPr>
              <w:bidi w:val="0"/>
            </w:pPr>
          </w:p>
          <w:p w14:paraId="781040CF">
            <w:pPr>
              <w:bidi w:val="0"/>
            </w:pPr>
          </w:p>
          <w:p w14:paraId="38E3F16D">
            <w:pPr>
              <w:jc w:val="center"/>
              <w:rPr>
                <w:rFonts w:ascii="宋体" w:hAnsi="宋体" w:eastAsia="宋体" w:cs="宋体"/>
                <w:color w:val="auto"/>
                <w:szCs w:val="21"/>
              </w:rPr>
            </w:pPr>
          </w:p>
          <w:p w14:paraId="21D6B134">
            <w:pPr>
              <w:jc w:val="center"/>
              <w:rPr>
                <w:rFonts w:ascii="宋体" w:hAnsi="宋体" w:eastAsia="宋体" w:cs="宋体"/>
                <w:color w:val="auto"/>
                <w:szCs w:val="21"/>
              </w:rPr>
            </w:pPr>
            <w:r>
              <w:rPr>
                <w:rFonts w:hint="eastAsia" w:ascii="宋体" w:hAnsi="宋体" w:eastAsia="宋体" w:cs="宋体"/>
                <w:color w:val="auto"/>
                <w:szCs w:val="21"/>
              </w:rPr>
              <w:drawing>
                <wp:inline distT="0" distB="0" distL="114300" distR="114300">
                  <wp:extent cx="1298575" cy="1316990"/>
                  <wp:effectExtent l="0" t="0" r="15875" b="16510"/>
                  <wp:docPr id="7" name="图片 7" descr="1740467590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40467590686"/>
                          <pic:cNvPicPr>
                            <a:picLocks noChangeAspect="1"/>
                          </pic:cNvPicPr>
                        </pic:nvPicPr>
                        <pic:blipFill>
                          <a:blip r:embed="rId9" cstate="print"/>
                          <a:stretch>
                            <a:fillRect/>
                          </a:stretch>
                        </pic:blipFill>
                        <pic:spPr>
                          <a:xfrm>
                            <a:off x="0" y="0"/>
                            <a:ext cx="1298575" cy="1316990"/>
                          </a:xfrm>
                          <a:prstGeom prst="rect">
                            <a:avLst/>
                          </a:prstGeom>
                        </pic:spPr>
                      </pic:pic>
                    </a:graphicData>
                  </a:graphic>
                </wp:inline>
              </w:drawing>
            </w:r>
          </w:p>
        </w:tc>
        <w:tc>
          <w:tcPr>
            <w:tcW w:w="1170" w:type="dxa"/>
            <w:tcBorders>
              <w:top w:val="single" w:color="auto" w:sz="4" w:space="0"/>
              <w:left w:val="nil"/>
              <w:bottom w:val="single" w:color="auto" w:sz="4" w:space="0"/>
              <w:right w:val="single" w:color="auto" w:sz="4" w:space="0"/>
            </w:tcBorders>
            <w:vAlign w:val="center"/>
          </w:tcPr>
          <w:p w14:paraId="05678A49">
            <w:pPr>
              <w:rPr>
                <w:rFonts w:ascii="宋体" w:hAnsi="宋体" w:eastAsia="宋体" w:cs="宋体"/>
                <w:color w:val="auto"/>
                <w:szCs w:val="21"/>
              </w:rPr>
            </w:pPr>
          </w:p>
        </w:tc>
        <w:tc>
          <w:tcPr>
            <w:tcW w:w="4335" w:type="dxa"/>
            <w:tcBorders>
              <w:top w:val="single" w:color="auto" w:sz="4" w:space="0"/>
              <w:left w:val="nil"/>
              <w:bottom w:val="single" w:color="auto" w:sz="4" w:space="0"/>
              <w:right w:val="single" w:color="auto" w:sz="4" w:space="0"/>
            </w:tcBorders>
            <w:vAlign w:val="center"/>
          </w:tcPr>
          <w:p w14:paraId="32913C25">
            <w:pPr>
              <w:widowControl/>
              <w:tabs>
                <w:tab w:val="left" w:pos="420"/>
              </w:tabs>
              <w:textAlignment w:val="center"/>
              <w:rPr>
                <w:rFonts w:ascii="宋体" w:hAnsi="宋体" w:eastAsia="宋体" w:cs="宋体"/>
                <w:color w:val="auto"/>
                <w:kern w:val="0"/>
                <w:szCs w:val="21"/>
              </w:rPr>
            </w:pPr>
            <w:r>
              <w:rPr>
                <w:rFonts w:hint="eastAsia" w:ascii="宋体" w:hAnsi="宋体" w:eastAsia="宋体" w:cs="宋体"/>
                <w:color w:val="auto"/>
                <w:kern w:val="0"/>
                <w:szCs w:val="21"/>
              </w:rPr>
              <w:t>1.设计紧凑的独立控制面板，图形化按钮有效控制所有的操作。</w:t>
            </w:r>
          </w:p>
          <w:p w14:paraId="3C98AB0B">
            <w:pPr>
              <w:widowControl/>
              <w:tabs>
                <w:tab w:val="left" w:pos="420"/>
              </w:tabs>
              <w:textAlignment w:val="center"/>
              <w:rPr>
                <w:rFonts w:ascii="宋体" w:hAnsi="宋体" w:eastAsia="宋体" w:cs="宋体"/>
                <w:color w:val="auto"/>
                <w:kern w:val="0"/>
                <w:szCs w:val="21"/>
              </w:rPr>
            </w:pPr>
            <w:r>
              <w:rPr>
                <w:rFonts w:hint="eastAsia" w:ascii="宋体" w:hAnsi="宋体" w:eastAsia="宋体" w:cs="宋体"/>
                <w:color w:val="auto"/>
                <w:kern w:val="0"/>
                <w:szCs w:val="21"/>
              </w:rPr>
              <w:t>2.带振动刀片的全自动切片机，可以在自动切片模式下操作，也可在半自动切片模式下操作。</w:t>
            </w:r>
          </w:p>
          <w:p w14:paraId="228DCC0C">
            <w:pPr>
              <w:widowControl/>
              <w:tabs>
                <w:tab w:val="left" w:pos="420"/>
              </w:tabs>
              <w:textAlignment w:val="center"/>
              <w:rPr>
                <w:rFonts w:ascii="宋体" w:hAnsi="宋体" w:eastAsia="宋体" w:cs="宋体"/>
                <w:color w:val="auto"/>
                <w:kern w:val="0"/>
                <w:szCs w:val="21"/>
              </w:rPr>
            </w:pPr>
            <w:r>
              <w:rPr>
                <w:rFonts w:hint="eastAsia" w:ascii="宋体" w:hAnsi="宋体" w:eastAsia="宋体" w:cs="宋体"/>
                <w:color w:val="auto"/>
                <w:kern w:val="0"/>
                <w:szCs w:val="21"/>
              </w:rPr>
              <w:t>3.自动切片模式下带有样品回缩功能；半自动切片模式下无自动样品回缩功能，但可以手动执行回缩。</w:t>
            </w:r>
          </w:p>
          <w:p w14:paraId="4A9D147E">
            <w:pPr>
              <w:widowControl/>
              <w:tabs>
                <w:tab w:val="left" w:pos="420"/>
              </w:tabs>
              <w:textAlignment w:val="center"/>
              <w:rPr>
                <w:rFonts w:ascii="宋体" w:hAnsi="宋体" w:eastAsia="宋体" w:cs="宋体"/>
                <w:color w:val="auto"/>
                <w:kern w:val="0"/>
                <w:szCs w:val="21"/>
              </w:rPr>
            </w:pPr>
            <w:r>
              <w:rPr>
                <w:rStyle w:val="18"/>
                <w:rFonts w:hint="default" w:ascii="宋体" w:hAnsi="宋体" w:eastAsia="宋体" w:cs="宋体"/>
                <w:color w:val="auto"/>
              </w:rPr>
              <w:t>4.切片厚度设置：手动，以1</w:t>
            </w:r>
            <w:r>
              <w:rPr>
                <w:rStyle w:val="19"/>
                <w:rFonts w:hint="eastAsia" w:ascii="宋体" w:hAnsi="宋体" w:eastAsia="宋体" w:cs="宋体"/>
                <w:color w:val="auto"/>
              </w:rPr>
              <w:t>μ</w:t>
            </w:r>
            <w:r>
              <w:rPr>
                <w:rStyle w:val="18"/>
                <w:rFonts w:hint="default" w:ascii="宋体" w:hAnsi="宋体" w:eastAsia="宋体" w:cs="宋体"/>
                <w:color w:val="auto"/>
              </w:rPr>
              <w:t>m递增；或自动，最厚1000</w:t>
            </w:r>
            <w:r>
              <w:rPr>
                <w:rStyle w:val="19"/>
                <w:rFonts w:hint="eastAsia" w:ascii="宋体" w:hAnsi="宋体" w:eastAsia="宋体" w:cs="宋体"/>
                <w:color w:val="auto"/>
              </w:rPr>
              <w:t>μ</w:t>
            </w:r>
            <w:r>
              <w:rPr>
                <w:rStyle w:val="18"/>
                <w:rFonts w:hint="default" w:ascii="宋体" w:hAnsi="宋体" w:eastAsia="宋体" w:cs="宋体"/>
                <w:color w:val="auto"/>
              </w:rPr>
              <w:t>m；切片厚度可计。</w:t>
            </w:r>
            <w:r>
              <w:rPr>
                <w:rFonts w:hint="eastAsia" w:ascii="宋体" w:hAnsi="宋体" w:eastAsia="宋体" w:cs="宋体"/>
                <w:color w:val="auto"/>
                <w:kern w:val="0"/>
                <w:szCs w:val="21"/>
              </w:rPr>
              <w:t>5.切片频率（±10%）：85Hz（±10%）。6.切片振幅：0-3mm，以0.05mm增幅。</w:t>
            </w:r>
          </w:p>
          <w:p w14:paraId="6BB7BB25">
            <w:pPr>
              <w:widowControl/>
              <w:tabs>
                <w:tab w:val="left" w:pos="420"/>
              </w:tabs>
              <w:textAlignment w:val="center"/>
              <w:rPr>
                <w:rFonts w:ascii="宋体" w:hAnsi="宋体" w:eastAsia="宋体" w:cs="宋体"/>
                <w:color w:val="auto"/>
                <w:kern w:val="0"/>
                <w:szCs w:val="21"/>
              </w:rPr>
            </w:pPr>
            <w:r>
              <w:rPr>
                <w:rFonts w:hint="eastAsia" w:ascii="宋体" w:hAnsi="宋体" w:eastAsia="宋体" w:cs="宋体"/>
                <w:color w:val="auto"/>
                <w:kern w:val="0"/>
                <w:szCs w:val="21"/>
              </w:rPr>
              <w:t>7.切片速度（±10%）：0.01-1.5mm /s</w:t>
            </w:r>
          </w:p>
          <w:p w14:paraId="42C72675">
            <w:pPr>
              <w:widowControl/>
              <w:tabs>
                <w:tab w:val="left" w:pos="420"/>
              </w:tabs>
              <w:textAlignment w:val="center"/>
              <w:rPr>
                <w:rFonts w:ascii="宋体" w:hAnsi="宋体" w:eastAsia="宋体" w:cs="宋体"/>
                <w:color w:val="auto"/>
                <w:kern w:val="0"/>
                <w:szCs w:val="21"/>
              </w:rPr>
            </w:pPr>
            <w:r>
              <w:rPr>
                <w:rFonts w:hint="eastAsia" w:ascii="宋体" w:hAnsi="宋体" w:eastAsia="宋体" w:cs="宋体"/>
                <w:color w:val="auto"/>
                <w:kern w:val="0"/>
                <w:szCs w:val="21"/>
              </w:rPr>
              <w:t>0.01 –0.1，0.01 mm/s 增幅；</w:t>
            </w:r>
          </w:p>
          <w:p w14:paraId="0FEA9BBA">
            <w:pPr>
              <w:widowControl/>
              <w:tabs>
                <w:tab w:val="left" w:pos="420"/>
              </w:tabs>
              <w:textAlignment w:val="center"/>
              <w:rPr>
                <w:rFonts w:ascii="宋体" w:hAnsi="宋体" w:eastAsia="宋体" w:cs="宋体"/>
                <w:color w:val="auto"/>
                <w:kern w:val="0"/>
                <w:szCs w:val="21"/>
              </w:rPr>
            </w:pPr>
            <w:r>
              <w:rPr>
                <w:rFonts w:hint="eastAsia" w:ascii="宋体" w:hAnsi="宋体" w:eastAsia="宋体" w:cs="宋体"/>
                <w:color w:val="auto"/>
                <w:kern w:val="0"/>
                <w:szCs w:val="21"/>
              </w:rPr>
              <w:t>0.10 –0.5，0.02 mm/s 增幅；</w:t>
            </w:r>
          </w:p>
          <w:p w14:paraId="1896BCFF">
            <w:pPr>
              <w:widowControl/>
              <w:tabs>
                <w:tab w:val="left" w:pos="420"/>
              </w:tabs>
              <w:textAlignment w:val="center"/>
              <w:rPr>
                <w:rFonts w:ascii="宋体" w:hAnsi="宋体" w:eastAsia="宋体" w:cs="宋体"/>
                <w:color w:val="auto"/>
                <w:kern w:val="0"/>
                <w:szCs w:val="21"/>
              </w:rPr>
            </w:pPr>
            <w:r>
              <w:rPr>
                <w:rFonts w:hint="eastAsia" w:ascii="宋体" w:hAnsi="宋体" w:eastAsia="宋体" w:cs="宋体"/>
                <w:color w:val="auto"/>
                <w:kern w:val="0"/>
                <w:szCs w:val="21"/>
              </w:rPr>
              <w:t>0.50 –1.5，0.10 mm/s 增幅。</w:t>
            </w:r>
          </w:p>
          <w:p w14:paraId="27431268">
            <w:pPr>
              <w:widowControl/>
              <w:numPr>
                <w:ilvl w:val="0"/>
                <w:numId w:val="4"/>
              </w:numPr>
              <w:tabs>
                <w:tab w:val="left" w:pos="420"/>
                <w:tab w:val="clear" w:pos="312"/>
              </w:tabs>
              <w:textAlignment w:val="center"/>
              <w:rPr>
                <w:rFonts w:ascii="宋体" w:hAnsi="宋体" w:eastAsia="宋体" w:cs="宋体"/>
                <w:color w:val="auto"/>
                <w:kern w:val="0"/>
                <w:szCs w:val="21"/>
              </w:rPr>
            </w:pPr>
            <w:r>
              <w:rPr>
                <w:rFonts w:hint="eastAsia" w:ascii="宋体" w:hAnsi="宋体" w:eastAsia="宋体" w:cs="宋体"/>
                <w:color w:val="auto"/>
                <w:kern w:val="0"/>
                <w:szCs w:val="21"/>
              </w:rPr>
              <w:t>返回速度（±10%）：1.0-5mm/s，以0.5mm/s增幅。</w:t>
            </w:r>
          </w:p>
          <w:p w14:paraId="491C1901">
            <w:pPr>
              <w:widowControl/>
              <w:numPr>
                <w:ilvl w:val="0"/>
                <w:numId w:val="4"/>
              </w:numPr>
              <w:tabs>
                <w:tab w:val="left" w:pos="420"/>
                <w:tab w:val="clear" w:pos="312"/>
              </w:tabs>
              <w:textAlignment w:val="center"/>
              <w:rPr>
                <w:rFonts w:ascii="宋体" w:hAnsi="宋体" w:eastAsia="宋体" w:cs="宋体"/>
                <w:color w:val="auto"/>
                <w:kern w:val="0"/>
                <w:szCs w:val="21"/>
              </w:rPr>
            </w:pPr>
            <w:r>
              <w:rPr>
                <w:rFonts w:hint="eastAsia" w:ascii="宋体" w:hAnsi="宋体" w:eastAsia="宋体" w:cs="宋体"/>
                <w:color w:val="auto"/>
                <w:kern w:val="0"/>
                <w:szCs w:val="21"/>
              </w:rPr>
              <w:t>样品垂直总行程：20mm（电动）。</w:t>
            </w:r>
          </w:p>
          <w:p w14:paraId="2D62DFF4">
            <w:pPr>
              <w:widowControl/>
              <w:numPr>
                <w:ilvl w:val="0"/>
                <w:numId w:val="4"/>
              </w:numPr>
              <w:tabs>
                <w:tab w:val="left" w:pos="420"/>
                <w:tab w:val="clear" w:pos="312"/>
              </w:tabs>
              <w:textAlignment w:val="center"/>
              <w:rPr>
                <w:rFonts w:ascii="宋体" w:hAnsi="宋体" w:eastAsia="宋体" w:cs="宋体"/>
                <w:color w:val="auto"/>
                <w:kern w:val="0"/>
                <w:szCs w:val="21"/>
              </w:rPr>
            </w:pPr>
            <w:r>
              <w:rPr>
                <w:rFonts w:hint="eastAsia" w:ascii="宋体" w:hAnsi="宋体" w:eastAsia="宋体" w:cs="宋体"/>
                <w:color w:val="auto"/>
                <w:kern w:val="0"/>
                <w:szCs w:val="21"/>
              </w:rPr>
              <w:t>切片范围及切片窗口：45mm；0.5mm-45mm。</w:t>
            </w:r>
          </w:p>
          <w:p w14:paraId="3E335E3B">
            <w:pPr>
              <w:widowControl/>
              <w:numPr>
                <w:ilvl w:val="0"/>
                <w:numId w:val="4"/>
              </w:numPr>
              <w:tabs>
                <w:tab w:val="left" w:pos="420"/>
                <w:tab w:val="clear" w:pos="312"/>
              </w:tabs>
              <w:textAlignment w:val="center"/>
              <w:rPr>
                <w:rFonts w:ascii="宋体" w:hAnsi="宋体" w:eastAsia="宋体" w:cs="宋体"/>
                <w:color w:val="auto"/>
                <w:kern w:val="0"/>
                <w:szCs w:val="21"/>
              </w:rPr>
            </w:pPr>
            <w:r>
              <w:rPr>
                <w:rFonts w:hint="eastAsia" w:ascii="宋体" w:hAnsi="宋体" w:eastAsia="宋体" w:cs="宋体"/>
                <w:color w:val="auto"/>
                <w:kern w:val="0"/>
                <w:szCs w:val="21"/>
              </w:rPr>
              <w:t>样品回缩：0-100μm（可调，可关闭）。12.通过控制单元操作，可保存8组用户参数设置。</w:t>
            </w:r>
          </w:p>
          <w:p w14:paraId="287CFBB8">
            <w:pPr>
              <w:widowControl/>
              <w:numPr>
                <w:ilvl w:val="0"/>
                <w:numId w:val="4"/>
              </w:numPr>
              <w:tabs>
                <w:tab w:val="left" w:pos="420"/>
                <w:tab w:val="clear" w:pos="312"/>
              </w:tabs>
              <w:textAlignment w:val="center"/>
              <w:rPr>
                <w:rFonts w:ascii="宋体" w:hAnsi="宋体" w:eastAsia="宋体" w:cs="宋体"/>
                <w:color w:val="auto"/>
                <w:kern w:val="0"/>
                <w:szCs w:val="21"/>
              </w:rPr>
            </w:pPr>
            <w:r>
              <w:rPr>
                <w:rFonts w:hint="eastAsia" w:ascii="宋体" w:hAnsi="宋体" w:eastAsia="宋体" w:cs="宋体"/>
                <w:color w:val="auto"/>
                <w:kern w:val="0"/>
                <w:szCs w:val="21"/>
              </w:rPr>
              <w:t>在生理条件下工作：可拆卸的冰浴盘和缓冲盘保证工作在生理条件下进行。14.保证最佳切片质量：（Jonas进样）；避免Z轴上的纵向运动：通过Vibrocheck进行测量；通过刀架上的调节按钮把振动降到最低。</w:t>
            </w:r>
          </w:p>
          <w:p w14:paraId="25122448">
            <w:pPr>
              <w:widowControl/>
              <w:numPr>
                <w:ilvl w:val="0"/>
                <w:numId w:val="5"/>
              </w:numPr>
              <w:tabs>
                <w:tab w:val="left" w:pos="420"/>
                <w:tab w:val="clear" w:pos="312"/>
              </w:tabs>
              <w:textAlignment w:val="center"/>
              <w:rPr>
                <w:rFonts w:ascii="宋体" w:hAnsi="宋体" w:eastAsia="宋体" w:cs="宋体"/>
                <w:color w:val="auto"/>
                <w:szCs w:val="21"/>
              </w:rPr>
            </w:pPr>
            <w:r>
              <w:rPr>
                <w:rFonts w:hint="eastAsia" w:ascii="宋体" w:hAnsi="宋体" w:eastAsia="宋体" w:cs="宋体"/>
                <w:color w:val="auto"/>
                <w:kern w:val="0"/>
                <w:szCs w:val="21"/>
              </w:rPr>
              <w:t>全新刀架，提供安全的刀片安装：可以适用剃须刀，注射刀片或者蓝宝石刀片，整片剃须刀可以插入刀架，无需将刀片截成两半；刀架可以翻折 90 °，以便插入刀片；优化的设计可以防止缓冲液溢出。</w:t>
            </w:r>
          </w:p>
          <w:p w14:paraId="2D9DF841">
            <w:pPr>
              <w:widowControl/>
              <w:tabs>
                <w:tab w:val="left" w:pos="420"/>
              </w:tabs>
              <w:textAlignment w:val="center"/>
              <w:rPr>
                <w:rFonts w:ascii="宋体" w:hAnsi="宋体" w:eastAsia="宋体" w:cs="宋体"/>
                <w:color w:val="auto"/>
                <w:szCs w:val="21"/>
              </w:rPr>
            </w:pPr>
            <w:r>
              <w:rPr>
                <w:rFonts w:hint="eastAsia" w:ascii="宋体" w:hAnsi="宋体" w:eastAsia="宋体" w:cs="宋体"/>
                <w:color w:val="auto"/>
                <w:kern w:val="0"/>
                <w:szCs w:val="21"/>
              </w:rPr>
              <w:t>16. Vibrocheck震动检测器：针对刀片的垂直向移动的自动检测装置，保证切片角度不会发生偏移，保证样品各个位置厚度保持一致。</w:t>
            </w:r>
          </w:p>
        </w:tc>
        <w:tc>
          <w:tcPr>
            <w:tcW w:w="720" w:type="dxa"/>
            <w:tcBorders>
              <w:top w:val="single" w:color="auto" w:sz="4" w:space="0"/>
              <w:left w:val="nil"/>
              <w:bottom w:val="single" w:color="auto" w:sz="4" w:space="0"/>
              <w:right w:val="single" w:color="auto" w:sz="4" w:space="0"/>
            </w:tcBorders>
            <w:vAlign w:val="center"/>
          </w:tcPr>
          <w:p w14:paraId="191CC9CA">
            <w:pPr>
              <w:adjustRightInd w:val="0"/>
              <w:snapToGrid w:val="0"/>
              <w:spacing w:line="260" w:lineRule="exact"/>
              <w:rPr>
                <w:rFonts w:ascii="宋体" w:hAnsi="宋体" w:eastAsia="宋体" w:cs="宋体"/>
                <w:color w:val="auto"/>
                <w:szCs w:val="21"/>
              </w:rPr>
            </w:pPr>
            <w:r>
              <w:rPr>
                <w:rFonts w:hint="eastAsia" w:ascii="宋体" w:hAnsi="宋体" w:eastAsia="宋体" w:cs="宋体"/>
                <w:color w:val="auto"/>
                <w:szCs w:val="21"/>
              </w:rPr>
              <w:t>1</w:t>
            </w:r>
          </w:p>
        </w:tc>
        <w:tc>
          <w:tcPr>
            <w:tcW w:w="1305" w:type="dxa"/>
            <w:tcBorders>
              <w:top w:val="single" w:color="auto" w:sz="4" w:space="0"/>
              <w:left w:val="nil"/>
              <w:bottom w:val="single" w:color="auto" w:sz="4" w:space="0"/>
              <w:right w:val="single" w:color="auto" w:sz="4" w:space="0"/>
            </w:tcBorders>
            <w:vAlign w:val="center"/>
          </w:tcPr>
          <w:p w14:paraId="7F86BA7F">
            <w:pPr>
              <w:ind w:right="-107" w:rightChars="-51"/>
              <w:jc w:val="center"/>
              <w:rPr>
                <w:rFonts w:ascii="宋体" w:hAnsi="宋体" w:eastAsia="宋体" w:cs="宋体"/>
                <w:color w:val="auto"/>
                <w:szCs w:val="21"/>
              </w:rPr>
            </w:pPr>
            <w:r>
              <w:rPr>
                <w:rFonts w:hint="eastAsia" w:ascii="宋体" w:hAnsi="宋体" w:eastAsia="宋体" w:cs="宋体"/>
                <w:color w:val="auto"/>
                <w:szCs w:val="21"/>
              </w:rPr>
              <w:t xml:space="preserve"> 徕卡显微系统（上海）贸易有限公司</w:t>
            </w:r>
          </w:p>
        </w:tc>
        <w:tc>
          <w:tcPr>
            <w:tcW w:w="1065" w:type="dxa"/>
            <w:tcBorders>
              <w:top w:val="single" w:color="auto" w:sz="4" w:space="0"/>
              <w:left w:val="nil"/>
              <w:bottom w:val="single" w:color="auto" w:sz="4" w:space="0"/>
              <w:right w:val="single" w:color="auto" w:sz="4" w:space="0"/>
            </w:tcBorders>
            <w:vAlign w:val="center"/>
          </w:tcPr>
          <w:p w14:paraId="3909D04E">
            <w:pPr>
              <w:jc w:val="center"/>
              <w:rPr>
                <w:rFonts w:ascii="宋体" w:hAnsi="宋体" w:eastAsia="宋体" w:cs="宋体"/>
                <w:color w:val="auto"/>
                <w:szCs w:val="21"/>
              </w:rPr>
            </w:pPr>
            <w:r>
              <w:rPr>
                <w:rFonts w:hint="eastAsia" w:ascii="宋体" w:hAnsi="宋体" w:eastAsia="宋体" w:cs="宋体"/>
                <w:color w:val="auto"/>
                <w:szCs w:val="21"/>
              </w:rPr>
              <w:t>中国</w:t>
            </w:r>
          </w:p>
        </w:tc>
        <w:tc>
          <w:tcPr>
            <w:tcW w:w="1455" w:type="dxa"/>
            <w:tcBorders>
              <w:top w:val="single" w:color="auto" w:sz="4" w:space="0"/>
              <w:left w:val="nil"/>
              <w:bottom w:val="single" w:color="auto" w:sz="4" w:space="0"/>
              <w:right w:val="single" w:color="auto" w:sz="4" w:space="0"/>
            </w:tcBorders>
          </w:tcPr>
          <w:p w14:paraId="7A8E5818">
            <w:pPr>
              <w:jc w:val="center"/>
              <w:rPr>
                <w:rFonts w:ascii="宋体" w:hAnsi="宋体" w:eastAsia="宋体" w:cs="宋体"/>
                <w:color w:val="auto"/>
                <w:szCs w:val="21"/>
              </w:rPr>
            </w:pPr>
          </w:p>
        </w:tc>
      </w:tr>
    </w:tbl>
    <w:p w14:paraId="45282E84">
      <w:pPr>
        <w:rPr>
          <w:rFonts w:ascii="宋体" w:hAnsi="宋体" w:eastAsia="宋体"/>
          <w:sz w:val="24"/>
          <w:szCs w:val="24"/>
        </w:rPr>
      </w:pPr>
      <w:r>
        <w:rPr>
          <w:rFonts w:hint="eastAsia" w:ascii="宋体" w:hAnsi="宋体" w:eastAsia="宋体"/>
          <w:sz w:val="24"/>
          <w:szCs w:val="24"/>
        </w:rPr>
        <w:t xml:space="preserve"> </w:t>
      </w:r>
    </w:p>
    <w:p w14:paraId="7F480CD5">
      <w:pPr>
        <w:rPr>
          <w:rFonts w:ascii="宋体" w:hAnsi="宋体" w:eastAsia="宋体"/>
          <w:sz w:val="24"/>
          <w:szCs w:val="24"/>
        </w:rPr>
      </w:pPr>
      <w:r>
        <w:rPr>
          <w:rFonts w:hint="eastAsia" w:ascii="宋体" w:hAnsi="宋体" w:eastAsia="宋体"/>
          <w:sz w:val="24"/>
          <w:szCs w:val="24"/>
        </w:rPr>
        <w:t xml:space="preserve"> </w:t>
      </w:r>
    </w:p>
    <w:p w14:paraId="759CFD4E">
      <w:pPr>
        <w:rPr>
          <w:rFonts w:ascii="Times New Roman" w:hAnsi="Times New Roman" w:eastAsia="宋体"/>
          <w:b/>
          <w:szCs w:val="21"/>
        </w:rPr>
      </w:pPr>
      <w:r>
        <w:rPr>
          <w:rFonts w:hint="eastAsia" w:ascii="宋体" w:hAnsi="宋体" w:eastAsia="宋体"/>
          <w:b/>
          <w:szCs w:val="21"/>
        </w:rPr>
        <w:t>甲方货物负责人签字：</w:t>
      </w:r>
    </w:p>
    <w:p w14:paraId="16B5336C">
      <w:pPr>
        <w:widowControl/>
        <w:jc w:val="left"/>
        <w:rPr>
          <w:rFonts w:ascii="宋体" w:hAnsi="宋体" w:eastAsia="宋体" w:cs="宋体"/>
          <w:b/>
          <w:sz w:val="24"/>
          <w:szCs w:val="24"/>
        </w:rPr>
        <w:sectPr>
          <w:pgSz w:w="16838" w:h="11906" w:orient="landscape"/>
          <w:pgMar w:top="1134" w:right="1077" w:bottom="1134" w:left="794" w:header="851" w:footer="992" w:gutter="0"/>
          <w:cols w:space="720" w:num="1"/>
          <w:docGrid w:type="lines" w:linePitch="312" w:charSpace="0"/>
        </w:sectPr>
      </w:pPr>
    </w:p>
    <w:p w14:paraId="1757B319">
      <w:r>
        <w:drawing>
          <wp:inline distT="0" distB="0" distL="114300" distR="114300">
            <wp:extent cx="6386195" cy="8448675"/>
            <wp:effectExtent l="0" t="0" r="190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0"/>
                    <a:stretch>
                      <a:fillRect/>
                    </a:stretch>
                  </pic:blipFill>
                  <pic:spPr>
                    <a:xfrm>
                      <a:off x="0" y="0"/>
                      <a:ext cx="6386195" cy="8448675"/>
                    </a:xfrm>
                    <a:prstGeom prst="rect">
                      <a:avLst/>
                    </a:prstGeom>
                    <a:noFill/>
                    <a:ln>
                      <a:noFill/>
                    </a:ln>
                  </pic:spPr>
                </pic:pic>
              </a:graphicData>
            </a:graphic>
          </wp:inline>
        </w:drawing>
      </w:r>
    </w:p>
    <w:p w14:paraId="473A7354">
      <w:pPr>
        <w:rPr>
          <w:rFonts w:hint="eastAsia" w:ascii="宋体" w:hAnsi="宋体" w:eastAsia="宋体"/>
          <w:b/>
          <w:sz w:val="24"/>
          <w:szCs w:val="24"/>
        </w:rPr>
      </w:pPr>
      <w:r>
        <w:rPr>
          <w:rFonts w:hint="eastAsia" w:ascii="宋体" w:hAnsi="宋体" w:eastAsia="宋体"/>
          <w:b/>
          <w:sz w:val="24"/>
          <w:szCs w:val="24"/>
        </w:rPr>
        <w:br w:type="page"/>
      </w:r>
    </w:p>
    <w:p w14:paraId="22288952">
      <w:pPr>
        <w:spacing w:line="360" w:lineRule="auto"/>
        <w:rPr>
          <w:rFonts w:ascii="宋体" w:hAnsi="宋体" w:eastAsia="宋体"/>
          <w:b/>
          <w:sz w:val="24"/>
          <w:szCs w:val="24"/>
        </w:rPr>
      </w:pPr>
      <w:r>
        <w:drawing>
          <wp:inline distT="0" distB="0" distL="114300" distR="114300">
            <wp:extent cx="6254115" cy="8354060"/>
            <wp:effectExtent l="0" t="0" r="6985" b="254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1"/>
                    <a:stretch>
                      <a:fillRect/>
                    </a:stretch>
                  </pic:blipFill>
                  <pic:spPr>
                    <a:xfrm>
                      <a:off x="0" y="0"/>
                      <a:ext cx="6254115" cy="8354060"/>
                    </a:xfrm>
                    <a:prstGeom prst="rect">
                      <a:avLst/>
                    </a:prstGeom>
                    <a:noFill/>
                    <a:ln>
                      <a:noFill/>
                    </a:ln>
                  </pic:spPr>
                </pic:pic>
              </a:graphicData>
            </a:graphic>
          </wp:inline>
        </w:drawing>
      </w:r>
    </w:p>
    <w:p w14:paraId="65886A00">
      <w:pPr>
        <w:widowControl/>
        <w:jc w:val="left"/>
        <w:rPr>
          <w:rFonts w:ascii="宋体" w:hAnsi="宋体" w:eastAsia="宋体"/>
          <w:b/>
          <w:sz w:val="24"/>
          <w:szCs w:val="24"/>
        </w:rPr>
      </w:pPr>
      <w:r>
        <w:rPr>
          <w:rFonts w:ascii="宋体" w:hAnsi="宋体" w:eastAsia="宋体"/>
          <w:b/>
          <w:sz w:val="24"/>
          <w:szCs w:val="24"/>
        </w:rPr>
        <w:br w:type="page"/>
      </w:r>
    </w:p>
    <w:p w14:paraId="48E4E77C">
      <w:pPr>
        <w:spacing w:line="360" w:lineRule="auto"/>
        <w:rPr>
          <w:rFonts w:ascii="宋体" w:hAnsi="宋体" w:eastAsia="宋体"/>
          <w:b/>
          <w:sz w:val="28"/>
          <w:szCs w:val="28"/>
        </w:rPr>
      </w:pPr>
      <w:r>
        <w:rPr>
          <w:rFonts w:hint="eastAsia" w:ascii="宋体" w:hAnsi="宋体" w:eastAsia="宋体"/>
          <w:b/>
          <w:sz w:val="24"/>
          <w:szCs w:val="24"/>
        </w:rPr>
        <w:t xml:space="preserve">附件7：  </w:t>
      </w:r>
      <w:r>
        <w:rPr>
          <w:rFonts w:hint="eastAsia" w:ascii="宋体" w:hAnsi="宋体" w:eastAsia="宋体"/>
          <w:b/>
          <w:sz w:val="28"/>
          <w:szCs w:val="28"/>
        </w:rPr>
        <w:t xml:space="preserve">           制造商售后其它服务承诺</w:t>
      </w:r>
    </w:p>
    <w:p w14:paraId="2ED0BA2E">
      <w:pPr>
        <w:spacing w:line="360" w:lineRule="auto"/>
        <w:rPr>
          <w:rFonts w:hint="eastAsia" w:ascii="宋体" w:hAnsi="宋体" w:eastAsia="宋体"/>
          <w:b/>
          <w:sz w:val="24"/>
          <w:szCs w:val="24"/>
          <w:lang w:eastAsia="zh-CN"/>
        </w:rPr>
      </w:pPr>
      <w:r>
        <w:rPr>
          <w:rFonts w:hint="eastAsia" w:ascii="宋体" w:hAnsi="宋体" w:eastAsia="宋体"/>
          <w:b/>
          <w:sz w:val="24"/>
          <w:szCs w:val="24"/>
          <w:lang w:eastAsia="zh-CN"/>
        </w:rPr>
        <w:drawing>
          <wp:inline distT="0" distB="0" distL="114300" distR="114300">
            <wp:extent cx="5915025" cy="8355330"/>
            <wp:effectExtent l="0" t="0" r="3175" b="1270"/>
            <wp:docPr id="2" name="图片 2" descr="2-售后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售后_00"/>
                    <pic:cNvPicPr>
                      <a:picLocks noChangeAspect="1"/>
                    </pic:cNvPicPr>
                  </pic:nvPicPr>
                  <pic:blipFill>
                    <a:blip r:embed="rId12"/>
                    <a:stretch>
                      <a:fillRect/>
                    </a:stretch>
                  </pic:blipFill>
                  <pic:spPr>
                    <a:xfrm>
                      <a:off x="0" y="0"/>
                      <a:ext cx="5915025" cy="8355330"/>
                    </a:xfrm>
                    <a:prstGeom prst="rect">
                      <a:avLst/>
                    </a:prstGeom>
                  </pic:spPr>
                </pic:pic>
              </a:graphicData>
            </a:graphic>
          </wp:inline>
        </w:drawing>
      </w:r>
    </w:p>
    <w:p w14:paraId="193A32AB">
      <w:pPr>
        <w:spacing w:line="360" w:lineRule="auto"/>
        <w:rPr>
          <w:rFonts w:ascii="黑体" w:hAnsi="黑体" w:eastAsia="黑体"/>
          <w:b/>
          <w:sz w:val="32"/>
          <w:szCs w:val="32"/>
        </w:rPr>
      </w:pPr>
      <w:r>
        <w:rPr>
          <w:rFonts w:hint="eastAsia" w:ascii="宋体" w:hAnsi="宋体" w:eastAsia="宋体"/>
          <w:b/>
          <w:sz w:val="24"/>
          <w:szCs w:val="24"/>
        </w:rPr>
        <w:drawing>
          <wp:inline distT="0" distB="0" distL="114300" distR="114300">
            <wp:extent cx="6174740" cy="8729345"/>
            <wp:effectExtent l="0" t="0" r="10160" b="8255"/>
            <wp:docPr id="5" name="图片 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2"/>
                    <pic:cNvPicPr>
                      <a:picLocks noChangeAspect="1"/>
                    </pic:cNvPicPr>
                  </pic:nvPicPr>
                  <pic:blipFill>
                    <a:blip r:embed="rId13" cstate="print"/>
                    <a:stretch>
                      <a:fillRect/>
                    </a:stretch>
                  </pic:blipFill>
                  <pic:spPr>
                    <a:xfrm>
                      <a:off x="0" y="0"/>
                      <a:ext cx="6174740" cy="8729345"/>
                    </a:xfrm>
                    <a:prstGeom prst="rect">
                      <a:avLst/>
                    </a:prstGeom>
                  </pic:spPr>
                </pic:pic>
              </a:graphicData>
            </a:graphic>
          </wp:inline>
        </w:drawing>
      </w:r>
    </w:p>
    <w:sectPr>
      <w:pgSz w:w="11906" w:h="16838"/>
      <w:pgMar w:top="1440" w:right="1800" w:bottom="1440" w:left="11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ED696">
    <w:pPr>
      <w:pStyle w:val="5"/>
      <w:tabs>
        <w:tab w:val="left" w:pos="4040"/>
      </w:tabs>
    </w:pPr>
    <w: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weight="0.5pt"/>
          <v:imagedata o:title=""/>
          <o:lock v:ext="edit" aspectratio="f"/>
          <v:textbox inset="0mm,0mm,0mm,0mm" style="mso-fit-shape-to-text:t;">
            <w:txbxContent>
              <w:p w14:paraId="5EC54A6D">
                <w:pPr>
                  <w:pStyle w:val="5"/>
                </w:pPr>
                <w:r>
                  <w:fldChar w:fldCharType="begin"/>
                </w:r>
                <w:r>
                  <w:instrText xml:space="preserve"> PAGE  \* MERGEFORMAT </w:instrText>
                </w:r>
                <w:r>
                  <w:fldChar w:fldCharType="separate"/>
                </w:r>
                <w:r>
                  <w:t>7</w:t>
                </w:r>
                <w:r>
                  <w:fldChar w:fldCharType="end"/>
                </w:r>
              </w:p>
            </w:txbxContent>
          </v:textbox>
        </v:shape>
      </w:pict>
    </w:r>
    <w:r>
      <w:rPr>
        <w:rFonts w:hint="eastAsia"/>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57A6FE"/>
    <w:multiLevelType w:val="singleLevel"/>
    <w:tmpl w:val="B757A6FE"/>
    <w:lvl w:ilvl="0" w:tentative="0">
      <w:start w:val="1"/>
      <w:numFmt w:val="decimal"/>
      <w:suff w:val="nothing"/>
      <w:lvlText w:val="%1、"/>
      <w:lvlJc w:val="left"/>
    </w:lvl>
  </w:abstractNum>
  <w:abstractNum w:abstractNumId="1">
    <w:nsid w:val="E6392047"/>
    <w:multiLevelType w:val="singleLevel"/>
    <w:tmpl w:val="E6392047"/>
    <w:lvl w:ilvl="0" w:tentative="0">
      <w:start w:val="8"/>
      <w:numFmt w:val="decimal"/>
      <w:lvlText w:val="%1."/>
      <w:lvlJc w:val="left"/>
      <w:pPr>
        <w:tabs>
          <w:tab w:val="left" w:pos="312"/>
        </w:tabs>
      </w:pPr>
    </w:lvl>
  </w:abstractNum>
  <w:abstractNum w:abstractNumId="2">
    <w:nsid w:val="1AEAC0FA"/>
    <w:multiLevelType w:val="singleLevel"/>
    <w:tmpl w:val="1AEAC0FA"/>
    <w:lvl w:ilvl="0" w:tentative="0">
      <w:start w:val="5"/>
      <w:numFmt w:val="decimal"/>
      <w:suff w:val="nothing"/>
      <w:lvlText w:val="%1、"/>
      <w:lvlJc w:val="left"/>
    </w:lvl>
  </w:abstractNum>
  <w:abstractNum w:abstractNumId="3">
    <w:nsid w:val="472A55EF"/>
    <w:multiLevelType w:val="multilevel"/>
    <w:tmpl w:val="472A55EF"/>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4">
    <w:nsid w:val="6E28B1B0"/>
    <w:multiLevelType w:val="singleLevel"/>
    <w:tmpl w:val="6E28B1B0"/>
    <w:lvl w:ilvl="0" w:tentative="0">
      <w:start w:val="15"/>
      <w:numFmt w:val="decimal"/>
      <w:lvlText w:val="%1."/>
      <w:lvlJc w:val="left"/>
      <w:pPr>
        <w:tabs>
          <w:tab w:val="left" w:pos="312"/>
        </w:tabs>
      </w:p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FhZGY1YTAzZjRhM2Y3ZDhjNTI4NzQ3ZWNhYjE4MjQifQ=="/>
  </w:docVars>
  <w:rsids>
    <w:rsidRoot w:val="001B11A0"/>
    <w:rsid w:val="000166CC"/>
    <w:rsid w:val="000512A8"/>
    <w:rsid w:val="00056F1D"/>
    <w:rsid w:val="001B11A0"/>
    <w:rsid w:val="001C66E0"/>
    <w:rsid w:val="0032689A"/>
    <w:rsid w:val="0037455D"/>
    <w:rsid w:val="003D63F7"/>
    <w:rsid w:val="0040203F"/>
    <w:rsid w:val="004A3934"/>
    <w:rsid w:val="005539A0"/>
    <w:rsid w:val="005D0B13"/>
    <w:rsid w:val="0064083D"/>
    <w:rsid w:val="007657ED"/>
    <w:rsid w:val="00776A29"/>
    <w:rsid w:val="00781D37"/>
    <w:rsid w:val="00797BCC"/>
    <w:rsid w:val="007A3427"/>
    <w:rsid w:val="007B0ABC"/>
    <w:rsid w:val="007C16EA"/>
    <w:rsid w:val="008F70EC"/>
    <w:rsid w:val="009675E9"/>
    <w:rsid w:val="009D37A7"/>
    <w:rsid w:val="00A515D1"/>
    <w:rsid w:val="00A65EC0"/>
    <w:rsid w:val="00A94B90"/>
    <w:rsid w:val="00AA01E9"/>
    <w:rsid w:val="00AD18DF"/>
    <w:rsid w:val="00BB3924"/>
    <w:rsid w:val="00BC4564"/>
    <w:rsid w:val="00C60F7F"/>
    <w:rsid w:val="00C61520"/>
    <w:rsid w:val="00C74FFC"/>
    <w:rsid w:val="00C83CE4"/>
    <w:rsid w:val="00C97C88"/>
    <w:rsid w:val="00D335C0"/>
    <w:rsid w:val="00D50776"/>
    <w:rsid w:val="00DA62D3"/>
    <w:rsid w:val="00DC06A7"/>
    <w:rsid w:val="00DD76B0"/>
    <w:rsid w:val="00EA32CE"/>
    <w:rsid w:val="00F0381C"/>
    <w:rsid w:val="011D4A64"/>
    <w:rsid w:val="01C54B55"/>
    <w:rsid w:val="020A02F6"/>
    <w:rsid w:val="022B42B4"/>
    <w:rsid w:val="02B721A6"/>
    <w:rsid w:val="02CB4D2D"/>
    <w:rsid w:val="03136FD2"/>
    <w:rsid w:val="037E2BC6"/>
    <w:rsid w:val="043B2F16"/>
    <w:rsid w:val="04664BE2"/>
    <w:rsid w:val="05275EAA"/>
    <w:rsid w:val="05526700"/>
    <w:rsid w:val="05574853"/>
    <w:rsid w:val="05ED175E"/>
    <w:rsid w:val="06586DEA"/>
    <w:rsid w:val="067D4E74"/>
    <w:rsid w:val="06CA7539"/>
    <w:rsid w:val="07774A7F"/>
    <w:rsid w:val="092972F5"/>
    <w:rsid w:val="09885EF8"/>
    <w:rsid w:val="0B376B52"/>
    <w:rsid w:val="0C555A8C"/>
    <w:rsid w:val="104B39A6"/>
    <w:rsid w:val="10A02FAA"/>
    <w:rsid w:val="11357601"/>
    <w:rsid w:val="11F33019"/>
    <w:rsid w:val="14BC5944"/>
    <w:rsid w:val="164837AB"/>
    <w:rsid w:val="167C313C"/>
    <w:rsid w:val="17167ACC"/>
    <w:rsid w:val="173004EC"/>
    <w:rsid w:val="17562080"/>
    <w:rsid w:val="18DB0684"/>
    <w:rsid w:val="1937087B"/>
    <w:rsid w:val="19F82546"/>
    <w:rsid w:val="1A020B05"/>
    <w:rsid w:val="1B530684"/>
    <w:rsid w:val="1B796CE9"/>
    <w:rsid w:val="1BD33CD1"/>
    <w:rsid w:val="1C2413EE"/>
    <w:rsid w:val="1C47468D"/>
    <w:rsid w:val="1D796AC8"/>
    <w:rsid w:val="1E0845CE"/>
    <w:rsid w:val="1E1249ED"/>
    <w:rsid w:val="1E756685"/>
    <w:rsid w:val="1EAE192F"/>
    <w:rsid w:val="1EC82BD1"/>
    <w:rsid w:val="2067224B"/>
    <w:rsid w:val="210A3E95"/>
    <w:rsid w:val="217001E2"/>
    <w:rsid w:val="2204091E"/>
    <w:rsid w:val="220750D9"/>
    <w:rsid w:val="225B49EE"/>
    <w:rsid w:val="23047A11"/>
    <w:rsid w:val="24912551"/>
    <w:rsid w:val="24977834"/>
    <w:rsid w:val="24CE594B"/>
    <w:rsid w:val="24FE27B6"/>
    <w:rsid w:val="275955E2"/>
    <w:rsid w:val="27BF157B"/>
    <w:rsid w:val="28017DE6"/>
    <w:rsid w:val="2859140F"/>
    <w:rsid w:val="2A64662A"/>
    <w:rsid w:val="2A695E78"/>
    <w:rsid w:val="2A954EDF"/>
    <w:rsid w:val="2A9C3DF6"/>
    <w:rsid w:val="2AAF1D85"/>
    <w:rsid w:val="2C0311AE"/>
    <w:rsid w:val="2DA336ED"/>
    <w:rsid w:val="2E24038A"/>
    <w:rsid w:val="2E38121F"/>
    <w:rsid w:val="2F2D14C0"/>
    <w:rsid w:val="2F2D30EF"/>
    <w:rsid w:val="2F340AA1"/>
    <w:rsid w:val="2FF91470"/>
    <w:rsid w:val="30881A65"/>
    <w:rsid w:val="30FC2180"/>
    <w:rsid w:val="31AA13D3"/>
    <w:rsid w:val="32540BD3"/>
    <w:rsid w:val="32584AA6"/>
    <w:rsid w:val="32D46304"/>
    <w:rsid w:val="33D3660A"/>
    <w:rsid w:val="34473024"/>
    <w:rsid w:val="34991CDD"/>
    <w:rsid w:val="35214FB8"/>
    <w:rsid w:val="364C6E61"/>
    <w:rsid w:val="36A714A2"/>
    <w:rsid w:val="36D072F5"/>
    <w:rsid w:val="36EA3F31"/>
    <w:rsid w:val="37E56DDC"/>
    <w:rsid w:val="387808BC"/>
    <w:rsid w:val="3A9643BE"/>
    <w:rsid w:val="3B7A5A8D"/>
    <w:rsid w:val="3DDA6DD2"/>
    <w:rsid w:val="3E78202C"/>
    <w:rsid w:val="3ED434F3"/>
    <w:rsid w:val="3FFD6C8D"/>
    <w:rsid w:val="40357E9D"/>
    <w:rsid w:val="40A05362"/>
    <w:rsid w:val="425B16B6"/>
    <w:rsid w:val="42E911B6"/>
    <w:rsid w:val="42FD4A5E"/>
    <w:rsid w:val="44EE4DF6"/>
    <w:rsid w:val="46D75F31"/>
    <w:rsid w:val="47984F8D"/>
    <w:rsid w:val="481D7ECC"/>
    <w:rsid w:val="48AE321A"/>
    <w:rsid w:val="493C25D4"/>
    <w:rsid w:val="499939EF"/>
    <w:rsid w:val="49B44860"/>
    <w:rsid w:val="49BA799D"/>
    <w:rsid w:val="4AEA6060"/>
    <w:rsid w:val="4BBF1EF3"/>
    <w:rsid w:val="4C432B3A"/>
    <w:rsid w:val="4D563533"/>
    <w:rsid w:val="4F7A0F11"/>
    <w:rsid w:val="4FDB48F5"/>
    <w:rsid w:val="4FF84DBE"/>
    <w:rsid w:val="502A36BD"/>
    <w:rsid w:val="50EE4AFC"/>
    <w:rsid w:val="53B26E5F"/>
    <w:rsid w:val="54297545"/>
    <w:rsid w:val="552A49AF"/>
    <w:rsid w:val="55481D44"/>
    <w:rsid w:val="55B86B59"/>
    <w:rsid w:val="57F6183E"/>
    <w:rsid w:val="582A5909"/>
    <w:rsid w:val="582B03E3"/>
    <w:rsid w:val="587B769F"/>
    <w:rsid w:val="59B461B6"/>
    <w:rsid w:val="59C5071C"/>
    <w:rsid w:val="5A64198B"/>
    <w:rsid w:val="5AED26B4"/>
    <w:rsid w:val="5CD252D1"/>
    <w:rsid w:val="5E854E37"/>
    <w:rsid w:val="5F24793A"/>
    <w:rsid w:val="5F4C0232"/>
    <w:rsid w:val="5F50072F"/>
    <w:rsid w:val="5F7728E8"/>
    <w:rsid w:val="5FF137A0"/>
    <w:rsid w:val="60327029"/>
    <w:rsid w:val="603960AC"/>
    <w:rsid w:val="607D5554"/>
    <w:rsid w:val="60A952CA"/>
    <w:rsid w:val="60A97406"/>
    <w:rsid w:val="60AF76D8"/>
    <w:rsid w:val="614A3A00"/>
    <w:rsid w:val="64337E9E"/>
    <w:rsid w:val="644D1F8D"/>
    <w:rsid w:val="65790C77"/>
    <w:rsid w:val="65F803D4"/>
    <w:rsid w:val="660F6247"/>
    <w:rsid w:val="66E245DB"/>
    <w:rsid w:val="67DE7570"/>
    <w:rsid w:val="67EC508D"/>
    <w:rsid w:val="6828049B"/>
    <w:rsid w:val="687157C8"/>
    <w:rsid w:val="6AE54E28"/>
    <w:rsid w:val="6BF137BB"/>
    <w:rsid w:val="6BF533C4"/>
    <w:rsid w:val="6C6C50E1"/>
    <w:rsid w:val="6D4D7B49"/>
    <w:rsid w:val="6DE315C3"/>
    <w:rsid w:val="6E001573"/>
    <w:rsid w:val="6E2D397D"/>
    <w:rsid w:val="705A4A0F"/>
    <w:rsid w:val="71445C1A"/>
    <w:rsid w:val="74B31FC8"/>
    <w:rsid w:val="76BA3D8E"/>
    <w:rsid w:val="7708655D"/>
    <w:rsid w:val="77115821"/>
    <w:rsid w:val="77921A71"/>
    <w:rsid w:val="77CC3983"/>
    <w:rsid w:val="77D26E69"/>
    <w:rsid w:val="78682280"/>
    <w:rsid w:val="7ADC629A"/>
    <w:rsid w:val="7D8E2059"/>
    <w:rsid w:val="7EB23C6F"/>
    <w:rsid w:val="7FC763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等线" w:cs="Times New Roman"/>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3">
    <w:name w:val="Plain Text"/>
    <w:basedOn w:val="1"/>
    <w:link w:val="10"/>
    <w:unhideWhenUsed/>
    <w:qFormat/>
    <w:uiPriority w:val="99"/>
    <w:rPr>
      <w:rFonts w:ascii="宋体" w:hAnsi="Courier New" w:eastAsia="宋体" w:cs="宋体"/>
      <w:szCs w:val="21"/>
    </w:rPr>
  </w:style>
  <w:style w:type="paragraph" w:styleId="4">
    <w:name w:val="Balloon Text"/>
    <w:basedOn w:val="1"/>
    <w:link w:val="20"/>
    <w:semiHidden/>
    <w:unhideWhenUsed/>
    <w:qFormat/>
    <w:uiPriority w:val="99"/>
    <w:rPr>
      <w:sz w:val="18"/>
      <w:szCs w:val="18"/>
    </w:rPr>
  </w:style>
  <w:style w:type="paragraph" w:styleId="5">
    <w:name w:val="footer"/>
    <w:basedOn w:val="1"/>
    <w:link w:val="11"/>
    <w:unhideWhenUsed/>
    <w:qFormat/>
    <w:uiPriority w:val="99"/>
    <w:pPr>
      <w:snapToGrid w:val="0"/>
      <w:jc w:val="left"/>
    </w:pPr>
    <w:rPr>
      <w:rFonts w:ascii="Times New Roman" w:hAnsi="Times New Roman" w:eastAsia="宋体"/>
      <w:sz w:val="18"/>
      <w:szCs w:val="18"/>
    </w:rPr>
  </w:style>
  <w:style w:type="paragraph" w:styleId="6">
    <w:name w:val="header"/>
    <w:basedOn w:val="1"/>
    <w:link w:val="12"/>
    <w:unhideWhenUsed/>
    <w:qFormat/>
    <w:uiPriority w:val="99"/>
    <w:pPr>
      <w:widowControl/>
      <w:pBdr>
        <w:bottom w:val="single" w:color="auto" w:sz="6" w:space="1"/>
      </w:pBdr>
      <w:snapToGrid w:val="0"/>
      <w:jc w:val="center"/>
    </w:pPr>
    <w:rPr>
      <w:rFonts w:ascii="Times New Roman" w:hAnsi="Times New Roman" w:eastAsia="宋体"/>
      <w:kern w:val="0"/>
      <w:sz w:val="18"/>
      <w:szCs w:val="18"/>
    </w:rPr>
  </w:style>
  <w:style w:type="table" w:styleId="8">
    <w:name w:val="Table Grid"/>
    <w:basedOn w:val="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
    <w:name w:val="纯文本 Char"/>
    <w:basedOn w:val="9"/>
    <w:link w:val="3"/>
    <w:qFormat/>
    <w:uiPriority w:val="99"/>
    <w:rPr>
      <w:rFonts w:ascii="宋体" w:hAnsi="Courier New" w:eastAsia="宋体" w:cs="宋体"/>
      <w:szCs w:val="21"/>
    </w:rPr>
  </w:style>
  <w:style w:type="character" w:customStyle="1" w:styleId="11">
    <w:name w:val="页脚 Char"/>
    <w:basedOn w:val="9"/>
    <w:link w:val="5"/>
    <w:qFormat/>
    <w:uiPriority w:val="99"/>
    <w:rPr>
      <w:rFonts w:ascii="Times New Roman" w:hAnsi="Times New Roman" w:eastAsia="宋体" w:cs="Times New Roman"/>
      <w:sz w:val="18"/>
      <w:szCs w:val="18"/>
    </w:rPr>
  </w:style>
  <w:style w:type="character" w:customStyle="1" w:styleId="12">
    <w:name w:val="页眉 Char"/>
    <w:basedOn w:val="9"/>
    <w:link w:val="6"/>
    <w:qFormat/>
    <w:uiPriority w:val="99"/>
    <w:rPr>
      <w:rFonts w:ascii="Times New Roman" w:hAnsi="Times New Roman" w:eastAsia="宋体" w:cs="Times New Roman"/>
      <w:kern w:val="0"/>
      <w:sz w:val="18"/>
      <w:szCs w:val="18"/>
    </w:rPr>
  </w:style>
  <w:style w:type="paragraph" w:customStyle="1" w:styleId="13">
    <w:name w:val="表格文字"/>
    <w:basedOn w:val="1"/>
    <w:qFormat/>
    <w:uiPriority w:val="0"/>
    <w:pPr>
      <w:spacing w:before="25" w:after="25"/>
      <w:jc w:val="left"/>
    </w:pPr>
    <w:rPr>
      <w:bCs/>
      <w:spacing w:val="10"/>
      <w:kern w:val="0"/>
      <w:sz w:val="24"/>
    </w:rPr>
  </w:style>
  <w:style w:type="paragraph" w:customStyle="1" w:styleId="14">
    <w:name w:val="No Spacing1"/>
    <w:basedOn w:val="1"/>
    <w:qFormat/>
    <w:uiPriority w:val="0"/>
    <w:pPr>
      <w:spacing w:line="400" w:lineRule="exact"/>
    </w:pPr>
    <w:rPr>
      <w:sz w:val="24"/>
    </w:rPr>
  </w:style>
  <w:style w:type="paragraph" w:customStyle="1" w:styleId="15">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6">
    <w:name w:val="10"/>
    <w:basedOn w:val="9"/>
    <w:qFormat/>
    <w:uiPriority w:val="0"/>
    <w:rPr>
      <w:rFonts w:hint="default" w:ascii="Times New Roman" w:hAnsi="Times New Roman" w:cs="Times New Roman"/>
    </w:rPr>
  </w:style>
  <w:style w:type="character" w:customStyle="1" w:styleId="17">
    <w:name w:val="15"/>
    <w:basedOn w:val="9"/>
    <w:qFormat/>
    <w:uiPriority w:val="0"/>
    <w:rPr>
      <w:rFonts w:hint="default" w:ascii="Times New Roman" w:hAnsi="Times New Roman" w:cs="Times New Roman"/>
    </w:rPr>
  </w:style>
  <w:style w:type="character" w:customStyle="1" w:styleId="18">
    <w:name w:val="font21"/>
    <w:basedOn w:val="9"/>
    <w:qFormat/>
    <w:uiPriority w:val="0"/>
    <w:rPr>
      <w:rFonts w:hint="eastAsia" w:ascii="仿宋" w:hAnsi="仿宋" w:eastAsia="仿宋" w:cs="仿宋"/>
      <w:color w:val="000000"/>
      <w:sz w:val="21"/>
      <w:szCs w:val="21"/>
      <w:u w:val="none"/>
    </w:rPr>
  </w:style>
  <w:style w:type="character" w:customStyle="1" w:styleId="19">
    <w:name w:val="font31"/>
    <w:basedOn w:val="9"/>
    <w:qFormat/>
    <w:uiPriority w:val="0"/>
    <w:rPr>
      <w:rFonts w:ascii="Calibri" w:hAnsi="Calibri" w:cs="Calibri"/>
      <w:color w:val="000000"/>
      <w:sz w:val="21"/>
      <w:szCs w:val="21"/>
      <w:u w:val="none"/>
    </w:rPr>
  </w:style>
  <w:style w:type="character" w:customStyle="1" w:styleId="20">
    <w:name w:val="批注框文本 Char"/>
    <w:basedOn w:val="9"/>
    <w:link w:val="4"/>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21</Pages>
  <Words>9696</Words>
  <Characters>10757</Characters>
  <Lines>87</Lines>
  <Paragraphs>24</Paragraphs>
  <TotalTime>24</TotalTime>
  <ScaleCrop>false</ScaleCrop>
  <LinksUpToDate>false</LinksUpToDate>
  <CharactersWithSpaces>11524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2021-10-27T01:19:00Z</dcterms:created>
  <dc:creator>1</dc:creator>
  <cp:lastModifiedBy>huihui</cp:lastModifiedBy>
  <dcterms:modified xsi:type="dcterms:W3CDTF">2025-04-01T04:25:54Z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3E19300B76154D269B079B21126B6AD8_13</vt:lpwstr>
  </property>
  <property fmtid="{D5CDD505-2E9C-101B-9397-08002B2CF9AE}" pid="4" name="KSOTemplateDocerSaveRecord">
    <vt:lpwstr>eyJoZGlkIjoiN2M1NDdmNDM1ZThmOGYwYzkzMzIxYzRhNGQyN2NlMTIiLCJ1c2VySWQiOiI1NTA1NTcwMDYifQ==</vt:lpwstr>
  </property>
</Properties>
</file>