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6"/>
        <w:gridCol w:w="1902"/>
        <w:gridCol w:w="2427"/>
        <w:gridCol w:w="2429"/>
      </w:tblGrid>
      <w:tr w:rsidR="003B36C4" w:rsidTr="003B36C4">
        <w:trPr>
          <w:trHeight w:val="547"/>
          <w:jc w:val="center"/>
        </w:trPr>
        <w:tc>
          <w:tcPr>
            <w:tcW w:w="1522" w:type="pct"/>
            <w:shd w:val="clear" w:color="auto" w:fill="auto"/>
            <w:vAlign w:val="center"/>
          </w:tcPr>
          <w:p w:rsidR="003B36C4" w:rsidRDefault="003B36C4" w:rsidP="00F72573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项 目</w:t>
            </w:r>
          </w:p>
        </w:tc>
        <w:tc>
          <w:tcPr>
            <w:tcW w:w="979" w:type="pct"/>
            <w:shd w:val="clear" w:color="auto" w:fill="auto"/>
            <w:vAlign w:val="center"/>
          </w:tcPr>
          <w:p w:rsidR="003B36C4" w:rsidRDefault="003B36C4" w:rsidP="00F72573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3B36C4" w:rsidRDefault="003B36C4" w:rsidP="00F72573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产地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3B36C4" w:rsidRDefault="003B36C4" w:rsidP="00F72573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数 量</w:t>
            </w:r>
          </w:p>
        </w:tc>
      </w:tr>
      <w:tr w:rsidR="003B36C4" w:rsidTr="003B36C4">
        <w:trPr>
          <w:trHeight w:val="835"/>
          <w:jc w:val="center"/>
        </w:trPr>
        <w:tc>
          <w:tcPr>
            <w:tcW w:w="1522" w:type="pct"/>
            <w:shd w:val="clear" w:color="auto" w:fill="auto"/>
            <w:vAlign w:val="center"/>
          </w:tcPr>
          <w:p w:rsidR="003B36C4" w:rsidRDefault="003B36C4" w:rsidP="00F72573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10米资格赛馆</w:t>
            </w:r>
            <w:r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激光报靶系统</w:t>
            </w:r>
          </w:p>
        </w:tc>
        <w:tc>
          <w:tcPr>
            <w:tcW w:w="979" w:type="pct"/>
            <w:shd w:val="clear" w:color="auto" w:fill="auto"/>
            <w:vAlign w:val="center"/>
          </w:tcPr>
          <w:p w:rsidR="003B36C4" w:rsidRDefault="003B36C4" w:rsidP="00F72573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SIUS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3B36C4" w:rsidRDefault="003B36C4" w:rsidP="00F72573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瑞士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3B36C4" w:rsidRDefault="003B36C4" w:rsidP="00F72573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60套</w:t>
            </w:r>
          </w:p>
        </w:tc>
      </w:tr>
      <w:tr w:rsidR="003B36C4" w:rsidTr="003B36C4">
        <w:trPr>
          <w:trHeight w:val="563"/>
          <w:jc w:val="center"/>
        </w:trPr>
        <w:tc>
          <w:tcPr>
            <w:tcW w:w="1522" w:type="pct"/>
            <w:shd w:val="clear" w:color="auto" w:fill="auto"/>
            <w:vAlign w:val="center"/>
          </w:tcPr>
          <w:p w:rsidR="003B36C4" w:rsidRDefault="003B36C4" w:rsidP="00F72573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25米资格赛馆</w:t>
            </w:r>
            <w:r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激光报靶系统</w:t>
            </w:r>
          </w:p>
        </w:tc>
        <w:tc>
          <w:tcPr>
            <w:tcW w:w="979" w:type="pct"/>
            <w:shd w:val="clear" w:color="auto" w:fill="auto"/>
            <w:vAlign w:val="center"/>
          </w:tcPr>
          <w:p w:rsidR="003B36C4" w:rsidRDefault="003B36C4" w:rsidP="00F72573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SIUS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3B36C4" w:rsidRDefault="003B36C4" w:rsidP="00F72573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瑞士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3B36C4" w:rsidRDefault="003B36C4" w:rsidP="00F72573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40套 </w:t>
            </w:r>
            <w:r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（8组）</w:t>
            </w:r>
          </w:p>
        </w:tc>
      </w:tr>
      <w:tr w:rsidR="003B36C4" w:rsidTr="003B36C4">
        <w:trPr>
          <w:trHeight w:val="359"/>
          <w:jc w:val="center"/>
        </w:trPr>
        <w:tc>
          <w:tcPr>
            <w:tcW w:w="1522" w:type="pct"/>
            <w:shd w:val="clear" w:color="auto" w:fill="auto"/>
            <w:vAlign w:val="center"/>
          </w:tcPr>
          <w:p w:rsidR="003B36C4" w:rsidRDefault="003B36C4" w:rsidP="00F72573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50米资格赛馆</w:t>
            </w:r>
            <w:r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激光报靶系统</w:t>
            </w:r>
          </w:p>
        </w:tc>
        <w:tc>
          <w:tcPr>
            <w:tcW w:w="979" w:type="pct"/>
            <w:shd w:val="clear" w:color="auto" w:fill="auto"/>
            <w:vAlign w:val="center"/>
          </w:tcPr>
          <w:p w:rsidR="003B36C4" w:rsidRDefault="003B36C4" w:rsidP="00F72573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SIUS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3B36C4" w:rsidRDefault="003B36C4" w:rsidP="00F72573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瑞士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3B36C4" w:rsidRDefault="003B36C4" w:rsidP="00F72573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40套</w:t>
            </w:r>
          </w:p>
        </w:tc>
      </w:tr>
      <w:tr w:rsidR="003B36C4" w:rsidTr="003B36C4">
        <w:trPr>
          <w:trHeight w:val="359"/>
          <w:jc w:val="center"/>
        </w:trPr>
        <w:tc>
          <w:tcPr>
            <w:tcW w:w="1522" w:type="pct"/>
            <w:shd w:val="clear" w:color="auto" w:fill="auto"/>
            <w:vAlign w:val="center"/>
          </w:tcPr>
          <w:p w:rsidR="003B36C4" w:rsidRDefault="003B36C4" w:rsidP="00257684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配套辅助设施</w:t>
            </w:r>
          </w:p>
        </w:tc>
        <w:tc>
          <w:tcPr>
            <w:tcW w:w="979" w:type="pct"/>
            <w:shd w:val="clear" w:color="auto" w:fill="auto"/>
            <w:vAlign w:val="center"/>
          </w:tcPr>
          <w:p w:rsidR="003B36C4" w:rsidRDefault="003B36C4" w:rsidP="00F72573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SIUS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3B36C4" w:rsidRDefault="003B36C4" w:rsidP="00F72573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瑞士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3B36C4" w:rsidRDefault="003B36C4" w:rsidP="00F72573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与上述三种产品配套使用，达到正常使用标准的所有辅助设施</w:t>
            </w:r>
          </w:p>
        </w:tc>
      </w:tr>
    </w:tbl>
    <w:p w:rsidR="006A4151" w:rsidRDefault="006A4151" w:rsidP="005C0006"/>
    <w:tbl>
      <w:tblPr>
        <w:tblW w:w="5000" w:type="pct"/>
        <w:tblLook w:val="04A0" w:firstRow="1" w:lastRow="0" w:firstColumn="1" w:lastColumn="0" w:noHBand="0" w:noVBand="1"/>
      </w:tblPr>
      <w:tblGrid>
        <w:gridCol w:w="784"/>
        <w:gridCol w:w="1675"/>
        <w:gridCol w:w="344"/>
        <w:gridCol w:w="437"/>
        <w:gridCol w:w="4500"/>
        <w:gridCol w:w="789"/>
        <w:gridCol w:w="1185"/>
      </w:tblGrid>
      <w:tr w:rsidR="00AE3632" w:rsidTr="008435F6">
        <w:trPr>
          <w:trHeight w:val="44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米激光报靶系统</w:t>
            </w:r>
          </w:p>
        </w:tc>
      </w:tr>
      <w:tr w:rsidR="00AE3632" w:rsidTr="007633C8">
        <w:trPr>
          <w:trHeight w:val="721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技术参数指标要求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AE3632" w:rsidTr="008435F6">
        <w:trPr>
          <w:trHeight w:val="32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10米靶端套装</w:t>
            </w:r>
            <w:proofErr w:type="gramEnd"/>
          </w:p>
        </w:tc>
      </w:tr>
      <w:tr w:rsidR="00AE3632" w:rsidTr="007633C8">
        <w:trPr>
          <w:trHeight w:val="3178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10米激光靶靶标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Style w:val="font01"/>
                <w:rFonts w:ascii="仿宋" w:eastAsia="仿宋" w:hAnsi="仿宋" w:hint="default"/>
              </w:rPr>
              <w:t>1.</w:t>
            </w:r>
            <w:r>
              <w:rPr>
                <w:rStyle w:val="font31"/>
                <w:rFonts w:ascii="仿宋" w:eastAsia="仿宋" w:hAnsi="仿宋" w:hint="default"/>
              </w:rPr>
              <w:t>通过国际射联三级认证</w:t>
            </w:r>
            <w:r>
              <w:rPr>
                <w:rStyle w:val="font01"/>
                <w:rFonts w:ascii="仿宋" w:eastAsia="仿宋" w:hAnsi="仿宋" w:hint="default"/>
              </w:rPr>
              <w:t>和中国射击协会认证，满足10米气枪项目的所有训练及比赛要求。</w:t>
            </w:r>
            <w:r>
              <w:rPr>
                <w:rStyle w:val="font01"/>
                <w:rFonts w:ascii="仿宋" w:eastAsia="仿宋" w:hAnsi="仿宋" w:hint="default"/>
              </w:rPr>
              <w:br/>
              <w:t>2.采用光学报靶技术，内置三个无害红外发射探头，对应三条红外接收带，覆盖整个靶框区域，精准定位子弹弹着点，</w:t>
            </w:r>
            <w:proofErr w:type="gramStart"/>
            <w:r>
              <w:rPr>
                <w:rStyle w:val="font01"/>
                <w:rFonts w:ascii="仿宋" w:eastAsia="仿宋" w:hAnsi="仿宋" w:hint="default"/>
              </w:rPr>
              <w:t>环值误差</w:t>
            </w:r>
            <w:proofErr w:type="gramEnd"/>
            <w:r>
              <w:rPr>
                <w:rStyle w:val="font01"/>
                <w:rFonts w:ascii="仿宋" w:eastAsia="仿宋" w:hAnsi="仿宋" w:hint="default"/>
              </w:rPr>
              <w:t>0.01环。3.</w:t>
            </w:r>
            <w:proofErr w:type="gramStart"/>
            <w:r>
              <w:rPr>
                <w:rStyle w:val="font01"/>
                <w:rFonts w:ascii="仿宋" w:eastAsia="仿宋" w:hAnsi="仿宋" w:hint="default"/>
              </w:rPr>
              <w:t>内嵌可调节</w:t>
            </w:r>
            <w:proofErr w:type="gramEnd"/>
            <w:r>
              <w:rPr>
                <w:rStyle w:val="font01"/>
                <w:rFonts w:ascii="仿宋" w:eastAsia="仿宋" w:hAnsi="仿宋" w:hint="default"/>
              </w:rPr>
              <w:t>亮度的LED照明系统，出厂灯光设置满足国际射联规则对靶面的亮度要求，也可在可在射手端控制单元上，根据实际情况来调整LED灯的亮度，或关闭照明。</w:t>
            </w:r>
            <w:r>
              <w:rPr>
                <w:rStyle w:val="font01"/>
                <w:rFonts w:ascii="仿宋" w:eastAsia="仿宋" w:hAnsi="仿宋" w:hint="default"/>
              </w:rPr>
              <w:br/>
              <w:t>4.平时训练无需耗材。</w:t>
            </w:r>
            <w:r>
              <w:rPr>
                <w:rStyle w:val="font01"/>
                <w:rFonts w:ascii="仿宋" w:eastAsia="仿宋" w:hAnsi="仿宋" w:hint="default"/>
              </w:rPr>
              <w:br/>
              <w:t>5.可提供中文操作系统。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AE3632" w:rsidTr="007633C8">
        <w:trPr>
          <w:trHeight w:val="628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10米气步枪靶面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国际射联标准，靶心直径 30.5 mm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</w:tr>
      <w:tr w:rsidR="00AE3632" w:rsidTr="007633C8">
        <w:trPr>
          <w:trHeight w:val="628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10米气手枪靶面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国际射联标准，靶心直径 59.5 mm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</w:tr>
      <w:tr w:rsidR="00AE3632" w:rsidTr="007633C8">
        <w:trPr>
          <w:trHeight w:val="628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10米靶标支架，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含收弹器</w:t>
            </w:r>
            <w:proofErr w:type="gramEnd"/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金属材质，连接靶标与收弹器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AE3632" w:rsidTr="007633C8">
        <w:trPr>
          <w:trHeight w:val="628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10米激光靶取证套装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比赛需要时安装进行取证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AE3632" w:rsidTr="007633C8">
        <w:trPr>
          <w:trHeight w:val="536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靶端设备配套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电源套装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满足10米激光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靶设备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正常运行需要的所有辅助配件(KL001-2线组120条KLT型号接口60)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AE3632" w:rsidTr="007633C8">
        <w:trPr>
          <w:trHeight w:val="720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靶端设备配套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线缆套装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线缆等满足10米激光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靶设备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正常运行需要的所有辅助线材（KL001-20-10，12条根据现场情况而定）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AE3632" w:rsidTr="008435F6">
        <w:trPr>
          <w:trHeight w:val="39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二、射手端套装</w:t>
            </w:r>
          </w:p>
        </w:tc>
      </w:tr>
      <w:tr w:rsidR="00AE3632" w:rsidTr="007633C8">
        <w:trPr>
          <w:trHeight w:val="1125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射手端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体式显示器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10.1英寸液晶彩色触屏多功能（含中文）显示器，可一键操作，用于显示不同项目所得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的环值及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运动员信息；包含步手枪全项目。根据不同的比赛项目，计算环值。多语言操作系统，含中文操作系统，包含所有最新射击项目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AE3632" w:rsidTr="007633C8">
        <w:trPr>
          <w:trHeight w:val="384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射手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端配套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电源线缆套装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满足设备正常运行需要的所有辅助配件（KSN01-3-5,各48条，KSN01-2,各12条， SPS01电源12个,KSN01-10,12条）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AE3632" w:rsidTr="008435F6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三、中控台套装</w:t>
            </w:r>
          </w:p>
        </w:tc>
      </w:tr>
      <w:tr w:rsidR="00AE3632" w:rsidTr="007633C8">
        <w:trPr>
          <w:trHeight w:val="70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中央控制台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中控台设备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箱用于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路由器以及与成绩处理系统相连接的外设数据采集，用于软件与外设之间的通信。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AE3632" w:rsidTr="007633C8">
        <w:trPr>
          <w:trHeight w:val="740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台成绩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处理系统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采集数据信息，接收和传输成绩，用于观众显屏的数据传输；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AE3632" w:rsidTr="007633C8">
        <w:trPr>
          <w:trHeight w:val="628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数据转换操作台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外部设备放置装置，实现数据操作台面。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AE3632" w:rsidTr="007633C8">
        <w:trPr>
          <w:trHeight w:val="901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终端成绩输出处理装置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彩色激光配合实现成绩打印输出，分辨率＞1200*1200dpi，实时呈现训练和比赛数据。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AE3632" w:rsidTr="007633C8">
        <w:trPr>
          <w:trHeight w:val="575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成绩显示系统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Style w:val="font01"/>
                <w:rFonts w:ascii="仿宋" w:eastAsia="仿宋" w:hAnsi="仿宋" w:hint="default"/>
              </w:rPr>
              <w:t>65寸高清显示屏供教练员、裁判员实时查看成绩，可移动支架便于移动。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AE3632" w:rsidTr="007633C8">
        <w:trPr>
          <w:trHeight w:val="1125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台配套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线缆套装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用于连接中控台的相关数据线及连接器等，满足设备正常运行。（KSN01-0.7-2，各6条，KSN01-40,3条，KSN01-20,6条根据现场情况而定）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AE3632" w:rsidTr="007633C8">
        <w:trPr>
          <w:trHeight w:val="800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台配套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电源套装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用于连接中控台的相关设备，满足正常运行（STL01，,6个，SNC01，6个，STE01，6个，SPS01，6个，KLT型号接口6个）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AE3632" w:rsidTr="008435F6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四、中控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室软件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套装</w:t>
            </w:r>
          </w:p>
        </w:tc>
      </w:tr>
      <w:tr w:rsidR="00AE3632" w:rsidTr="007633C8">
        <w:trPr>
          <w:trHeight w:val="1785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自动排名系统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软件系统包含比赛需要的名单录入、抽签分组、比赛信息发送、成绩接收统计排名等功能；包含需要的数据处理及备份，可与媒体通讯的数据端口，赛事期间方便与电视转播团队对接，也可对接公众号，比赛期间用于成绩实时发布。软件带有FTP功能可与国际射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联官网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联通。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AE3632" w:rsidTr="007633C8">
        <w:trPr>
          <w:trHeight w:val="1228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室网络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服务器设备套装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通过软件连接外部设备，实现不同控制器、靶机和观众显屏的连接，实时显示运动员射击成绩。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AE3632" w:rsidTr="007633C8">
        <w:trPr>
          <w:trHeight w:val="416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终端成绩输出处理装置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彩色激光配合实现成绩打印输出，分辨率＞1200*1200dpi，实时呈现训练和比赛数据。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</w:tr>
      <w:tr w:rsidR="00AE3632" w:rsidTr="007633C8">
        <w:trPr>
          <w:trHeight w:val="841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室配套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线缆套装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可满足设备正常运行及比赛需求所有辅助线材、软件等（KSN01-65，4条，KSN01-40，3条，KSN01-20，2条，KSN01-0.7,10条根据现场情况而定）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AE3632" w:rsidTr="008435F6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五、观众显示套装</w:t>
            </w:r>
          </w:p>
        </w:tc>
      </w:tr>
      <w:tr w:rsidR="00AE3632" w:rsidTr="007633C8">
        <w:trPr>
          <w:trHeight w:val="2665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成绩数据转换显示系统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Style w:val="font01"/>
                <w:rFonts w:ascii="仿宋" w:eastAsia="仿宋" w:hAnsi="仿宋" w:hint="default"/>
              </w:rPr>
              <w:t>176英寸LED电子显示屏，内嵌式SRS01视频信号转换装置，驱动方式：恒流驱动，支持单点亮度校正，数据转换成绩输出，安装于场地内两端或观众区相对位置，显示排名成绩，供教练员、观众观看；刷新率最低3840，色温2000-9300K像素间距2.0-2.5，白平衡亮度≥cd/m2，对比度5000:1，支持4K高清画面，工作温度-20℃-55℃，像素点数根据场地实际情况而定(STYX专用数据线)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AE3632" w:rsidTr="00262474">
        <w:trPr>
          <w:trHeight w:val="40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米激光报靶系统</w:t>
            </w:r>
          </w:p>
        </w:tc>
      </w:tr>
      <w:tr w:rsidR="00AE3632" w:rsidTr="007633C8">
        <w:trPr>
          <w:trHeight w:val="721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技术参数指标要求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AE3632" w:rsidTr="008435F6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25米靶端套装</w:t>
            </w:r>
            <w:proofErr w:type="gramEnd"/>
          </w:p>
        </w:tc>
      </w:tr>
      <w:tr w:rsidR="00AE3632" w:rsidTr="007633C8">
        <w:trPr>
          <w:trHeight w:val="3324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25/50米激光靶靶标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Style w:val="font01"/>
                <w:rFonts w:ascii="仿宋" w:eastAsia="仿宋" w:hAnsi="仿宋" w:hint="default"/>
              </w:rPr>
              <w:t>1.</w:t>
            </w:r>
            <w:r>
              <w:rPr>
                <w:rStyle w:val="font31"/>
                <w:rFonts w:ascii="仿宋" w:eastAsia="仿宋" w:hAnsi="仿宋" w:hint="default"/>
              </w:rPr>
              <w:t>通过国际射联3级认证</w:t>
            </w:r>
            <w:r>
              <w:rPr>
                <w:rStyle w:val="font01"/>
                <w:rFonts w:ascii="仿宋" w:eastAsia="仿宋" w:hAnsi="仿宋" w:hint="default"/>
              </w:rPr>
              <w:t>和中国射击协会认证，满足25米手枪项目的所有训练及比赛要求。  2.光学探测原理，通过5个无害红外发射器和对应的5条红外接收器，对弹着位置进行判定，覆盖整个靶机区域。                        3.适合枪弹口径为22,32,38（钢制的抛射弹除外）。                                 4.25米包含信号灯。                         5.平时训练无需耗材。6.可提供中文操作系统。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AE3632" w:rsidTr="007633C8">
        <w:trPr>
          <w:trHeight w:val="628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标准手枪靶面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国际射联标准，靶心直径 200 mm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</w:tr>
      <w:tr w:rsidR="00AE3632" w:rsidTr="007633C8">
        <w:trPr>
          <w:trHeight w:val="628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速射手枪靶面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国际射联标准，靶心直径 500 mm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</w:tr>
      <w:tr w:rsidR="00AE3632" w:rsidTr="007633C8">
        <w:trPr>
          <w:trHeight w:val="628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橡胶靶面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橡胶材质，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</w:tr>
      <w:tr w:rsidR="00AE3632" w:rsidTr="007633C8">
        <w:trPr>
          <w:trHeight w:val="628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信号灯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红绿信号灯，提示运动员射击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</w:tr>
      <w:tr w:rsidR="00AE3632" w:rsidTr="007633C8">
        <w:trPr>
          <w:trHeight w:val="628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25米靶标支架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每5个靶标用1个单体支架，材质钢材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AE3632" w:rsidTr="007633C8">
        <w:trPr>
          <w:trHeight w:val="766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靶端设备配套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电源套装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满足25米激光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靶设备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正常运行需要的所有辅助配件(SPS01电源8个，SNC01,8个）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AE3632" w:rsidTr="007633C8">
        <w:trPr>
          <w:trHeight w:val="558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靶端设备配套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线缆套装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线缆等满足25米激光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靶设备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正常运行需要的所有辅助线材（KSN01-20，6条，KSN01-2,8条根据现场情况而定）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AE3632" w:rsidTr="008435F6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二、射手端套装</w:t>
            </w:r>
          </w:p>
        </w:tc>
      </w:tr>
      <w:tr w:rsidR="00AE3632" w:rsidTr="007633C8">
        <w:trPr>
          <w:trHeight w:val="1697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射手端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体式显示器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10.1英寸液晶彩色触屏多功能（含中文）显示器，可一键操作，用于显示不同项目所得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的环值及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运动员信息；包含步手枪全项目。根据不同的比赛项目，计算环值。多语言操作系统，含中文操作系统，包含所有最新射击项目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AE3632" w:rsidTr="007633C8">
        <w:trPr>
          <w:trHeight w:val="98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射手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端配套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电源线缆套装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满足设备正常运行需要的所有辅助配件（KSN01-3-5,各32条，KSN01-2,8条 SPS01电源8个,KSN01-20,6条，SNC01,8个根据现场情况而定）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AE3632" w:rsidTr="008435F6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三、中控台套装</w:t>
            </w:r>
          </w:p>
        </w:tc>
      </w:tr>
      <w:tr w:rsidR="00AE3632" w:rsidTr="007633C8">
        <w:trPr>
          <w:trHeight w:val="952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中央控制台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中控台设备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箱用于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路由器以及与成绩处理系统相连接的外设数据采集，用于软件与外设之间的通信。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AE3632" w:rsidTr="007633C8">
        <w:trPr>
          <w:trHeight w:val="931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台成绩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处理系统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采集数据信息，接收和传输成绩，用于观众显屏的数据传输；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AE3632" w:rsidTr="007633C8">
        <w:trPr>
          <w:trHeight w:val="628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数据转换操作台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外部设备放置装置，实现数据操作台面。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AE3632" w:rsidTr="007633C8">
        <w:trPr>
          <w:trHeight w:val="676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终端成绩输出处理装置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彩色激光配合实现成绩打印输出，分辨率＞1200*1200dpi，实时呈现训练和比赛数据。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AE3632" w:rsidTr="007633C8">
        <w:trPr>
          <w:trHeight w:val="714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成绩显示系统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Style w:val="font01"/>
                <w:rFonts w:ascii="仿宋" w:eastAsia="仿宋" w:hAnsi="仿宋" w:hint="default"/>
              </w:rPr>
              <w:t>65寸高清显示屏供教练员、裁判员实时查看成绩，可移动支架便于移动。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AE3632" w:rsidTr="007633C8">
        <w:trPr>
          <w:trHeight w:val="1390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台配套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线缆套装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用于连接中控台的相关数据线及连接器等，满足设备正常运行。（KSN01-0.7-2，各4条，KSN01-40,2条，KSN01-20,6条根据现场情况而定）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AE3632" w:rsidTr="007633C8">
        <w:trPr>
          <w:trHeight w:val="986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台配套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电源套装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用于连接中控台的相关设备，满足正常运行（SNC01，4个，STE01，4个，SPS01电源，4个，25米TCU，4台根据现场情况而定）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AE3632" w:rsidTr="008435F6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四、中控室设备套装</w:t>
            </w:r>
          </w:p>
        </w:tc>
      </w:tr>
      <w:tr w:rsidR="00AE3632" w:rsidTr="007633C8">
        <w:trPr>
          <w:trHeight w:val="1092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室网络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服务器设备套装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通过软件连接外部设备，实现不同控制器、靶机和观众显屏的连接，实时显示运动员射击成绩。（SNC02,3个，SNM01,1个，SNS01,3个，UPS001,1台）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AE3632" w:rsidTr="007633C8">
        <w:trPr>
          <w:trHeight w:val="699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终端成绩输出处理装置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彩色激光配合实现成绩打印输出，分辨率＞1200*1200dpi，实时呈现训练和比赛数据。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</w:tr>
      <w:tr w:rsidR="00AE3632" w:rsidTr="007633C8">
        <w:trPr>
          <w:trHeight w:val="1124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室配套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线缆套装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可满足设备正常运行及比赛需求所有辅助线材、软件等（KSN01-65，3条，KSN01-40，2条，KSN01-20，1条，KSN01-0.7,10条根据现场情况而定）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AE3632" w:rsidTr="008435F6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五、观众显示套装</w:t>
            </w:r>
          </w:p>
        </w:tc>
      </w:tr>
      <w:tr w:rsidR="00AE3632" w:rsidTr="007633C8">
        <w:trPr>
          <w:trHeight w:val="2665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成绩数据转换显示系统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176英寸LED电子显示屏，内嵌式SRS01视频信号转换装置，驱动方式：恒流驱动，支持单点亮度校正，数据转换成绩输出，安装于场地内两端或观众区相对位置，显示排名成绩，供教练员、观众观看；刷新率最低3840，色温2000-9300K像素间距2.0-2.5，白平衡亮度≥cd/m2，对比度5000:1，支持4K高清画面，工作温度-20℃-55℃，像素点数根据场地实际情况而定(STYX专用数据线)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AE3632" w:rsidTr="008435F6">
        <w:trPr>
          <w:trHeight w:val="83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米激光报靶系统</w:t>
            </w:r>
          </w:p>
        </w:tc>
      </w:tr>
      <w:tr w:rsidR="00AE3632" w:rsidTr="007633C8">
        <w:trPr>
          <w:trHeight w:val="721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技术参数指标要求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AE3632" w:rsidTr="008435F6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50米靶端设备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套装</w:t>
            </w:r>
          </w:p>
        </w:tc>
      </w:tr>
      <w:tr w:rsidR="00AE3632" w:rsidTr="007633C8">
        <w:trPr>
          <w:trHeight w:val="2054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25/50米激光靶靶标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Style w:val="font01"/>
                <w:rFonts w:ascii="仿宋" w:eastAsia="仿宋" w:hAnsi="仿宋" w:hint="default"/>
              </w:rPr>
              <w:t>1.</w:t>
            </w:r>
            <w:r>
              <w:rPr>
                <w:rStyle w:val="font31"/>
                <w:rFonts w:ascii="仿宋" w:eastAsia="仿宋" w:hAnsi="仿宋" w:hint="default"/>
              </w:rPr>
              <w:t>通过国际射联3级认证</w:t>
            </w:r>
            <w:r>
              <w:rPr>
                <w:rStyle w:val="font01"/>
                <w:rFonts w:ascii="仿宋" w:eastAsia="仿宋" w:hAnsi="仿宋" w:hint="default"/>
              </w:rPr>
              <w:t>和中国射击协会认证，满足50米手枪步枪项目的所有训练及比赛要求。2.光学探测原理，通过5个无害红外发射器和对应的5条红外接收器，对弹着位置进行判定，覆盖整个靶机区域。                         3.适合枪弹口径为22,32,38（钢制的抛射弹除外）。                                   4.平时训练无需耗材。                     5.可提供中文操作系统。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AE3632" w:rsidTr="007633C8">
        <w:trPr>
          <w:trHeight w:val="628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慢射手枪靶面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国际射联标准，靶心直径 200 mm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</w:tr>
      <w:tr w:rsidR="00AE3632" w:rsidTr="007633C8">
        <w:trPr>
          <w:trHeight w:val="628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小口径步枪靶面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国际射联标准，靶心直径 112.4 mm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</w:tr>
      <w:tr w:rsidR="00AE3632" w:rsidTr="007633C8">
        <w:trPr>
          <w:trHeight w:val="628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橡胶靶面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橡胶材质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</w:tr>
      <w:tr w:rsidR="00AE3632" w:rsidTr="007633C8">
        <w:trPr>
          <w:trHeight w:val="628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50米标靶复合支架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连接50米靶单体支架，材质铝型材，支撑稳定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</w:tr>
      <w:tr w:rsidR="00AE3632" w:rsidTr="007633C8">
        <w:trPr>
          <w:trHeight w:val="656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靶端设备配套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电源套装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满足50米激光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靶设备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正常运行需要的所有辅助配件(SPS01电源8个，SNC01,8个）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AE3632" w:rsidTr="007633C8">
        <w:trPr>
          <w:trHeight w:val="699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靶端设备配套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线缆套装</w:t>
            </w:r>
          </w:p>
        </w:tc>
        <w:tc>
          <w:tcPr>
            <w:tcW w:w="2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线缆等满足50米激光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靶设备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正常运行需要的所有辅助线材（KSN01-20，6条，KSN01-2,8条根据现场情况而定）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AE3632" w:rsidTr="008435F6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二、射手端套装</w:t>
            </w:r>
          </w:p>
        </w:tc>
      </w:tr>
      <w:tr w:rsidR="00AE3632" w:rsidTr="007633C8">
        <w:trPr>
          <w:trHeight w:val="1798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射手端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体式显示器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10.1英寸液晶彩色触屏多功能（含中文）显示器，可一键操作，用于显示不同项目所得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的环值及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运动员信息；包含步手枪全项目。根据不同的比赛项目，计算环值。多语言操作系统，含中文操作系统，包含所有最新射击项目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AE3632" w:rsidTr="007633C8">
        <w:trPr>
          <w:trHeight w:val="760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运动员操作手柄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便于射手自行转换试射及计分射，并调节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靶型图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状态。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</w:tr>
      <w:tr w:rsidR="00AE3632" w:rsidTr="007633C8">
        <w:trPr>
          <w:trHeight w:val="1408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射手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端配套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电源线缆套装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满足设备正常运行需要的所有辅助配件（KSN01-3-5,各32条，KSN01-2,8条 SPS01电源8个,KSN01-20,6条，SNC01,8个根据现场情况而定）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AE3632" w:rsidTr="008435F6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三、中控台套装</w:t>
            </w:r>
          </w:p>
        </w:tc>
      </w:tr>
      <w:tr w:rsidR="00AE3632" w:rsidTr="007633C8">
        <w:trPr>
          <w:trHeight w:val="940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中央控制台</w:t>
            </w:r>
          </w:p>
        </w:tc>
        <w:tc>
          <w:tcPr>
            <w:tcW w:w="27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中控台设备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箱用于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路由器以及与成绩处理系统相连接的外设数据采集，用于软件与外设之间的通信。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AE3632" w:rsidTr="003B1A2A">
        <w:trPr>
          <w:trHeight w:val="698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台成绩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处理系统</w:t>
            </w:r>
          </w:p>
        </w:tc>
        <w:tc>
          <w:tcPr>
            <w:tcW w:w="27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采集数据信息，接收和传输成绩，用于观众显屏的数据传输；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AE3632" w:rsidTr="007633C8">
        <w:trPr>
          <w:trHeight w:val="628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数据转换操作台</w:t>
            </w:r>
          </w:p>
        </w:tc>
        <w:tc>
          <w:tcPr>
            <w:tcW w:w="27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外部设备放置装置，实现数据操作台面。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AE3632" w:rsidTr="003B1A2A">
        <w:trPr>
          <w:trHeight w:val="760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终端成绩输出处理装置</w:t>
            </w:r>
          </w:p>
        </w:tc>
        <w:tc>
          <w:tcPr>
            <w:tcW w:w="27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彩色激光配合实现成绩打印输出，分辨率＞1200*1200dpi，实时呈现训练和比赛数据。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AE3632" w:rsidTr="003B1A2A">
        <w:trPr>
          <w:trHeight w:val="714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成绩显示系统</w:t>
            </w:r>
          </w:p>
        </w:tc>
        <w:tc>
          <w:tcPr>
            <w:tcW w:w="27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Style w:val="font01"/>
                <w:rFonts w:ascii="仿宋" w:eastAsia="仿宋" w:hAnsi="仿宋" w:hint="default"/>
              </w:rPr>
              <w:t>65寸高清显示屏供教练员、裁判员实时查看成绩，可移动支架便于移动。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AE3632" w:rsidTr="003B1A2A">
        <w:trPr>
          <w:trHeight w:val="1405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台配套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线缆套装</w:t>
            </w:r>
          </w:p>
        </w:tc>
        <w:tc>
          <w:tcPr>
            <w:tcW w:w="27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用于连接中控台的相关数据线及连接器等，满足设备正常运行。（KSN01-0.7-2，各4条，KSN01-40,2条，KSN01-20,4条根据现场情况而定）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AE3632" w:rsidTr="003B1A2A">
        <w:trPr>
          <w:trHeight w:val="830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台配套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电源套装</w:t>
            </w:r>
          </w:p>
        </w:tc>
        <w:tc>
          <w:tcPr>
            <w:tcW w:w="27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用于连接中控台的相关设备，满足正常运行（SNC01，4个，STE01，4个，SPS01电源，4个）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AE3632" w:rsidTr="008435F6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四、中控室设备套装</w:t>
            </w:r>
          </w:p>
        </w:tc>
      </w:tr>
      <w:tr w:rsidR="00AE3632" w:rsidTr="003B1A2A">
        <w:trPr>
          <w:trHeight w:val="1515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室网络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服务器设备套装</w:t>
            </w:r>
          </w:p>
        </w:tc>
        <w:tc>
          <w:tcPr>
            <w:tcW w:w="27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通过软件连接外部设备，实现不同控制器、靶机和观众显屏的连接，实时显示运动员射击成绩。（SNC02,3个，SNM01,1个，SNS01,3个，UPS001,1台）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AE3632" w:rsidTr="003B1A2A">
        <w:trPr>
          <w:trHeight w:val="699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终端成绩输出处理装置</w:t>
            </w:r>
          </w:p>
        </w:tc>
        <w:tc>
          <w:tcPr>
            <w:tcW w:w="27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彩色激光配合实现成绩打印输出，分辨率＞1200*1200dpi，实时呈现训练和比赛数据。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</w:tr>
      <w:tr w:rsidR="00AE3632" w:rsidTr="003B1A2A">
        <w:trPr>
          <w:trHeight w:val="1408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室配套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线缆套装</w:t>
            </w:r>
          </w:p>
        </w:tc>
        <w:tc>
          <w:tcPr>
            <w:tcW w:w="27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可满足设备正常运行及比赛需求所有辅助线材、软件等（KSN01-65，3条，KSN01-40，2条，KSN01-20，1条，KSN01-0.7,10条根据现场情况而定）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AE3632" w:rsidTr="008435F6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五、观众显示套装</w:t>
            </w:r>
          </w:p>
        </w:tc>
      </w:tr>
      <w:tr w:rsidR="00AE3632" w:rsidTr="003B1A2A">
        <w:trPr>
          <w:trHeight w:val="2780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成绩数据转换显示系统</w:t>
            </w:r>
          </w:p>
        </w:tc>
        <w:tc>
          <w:tcPr>
            <w:tcW w:w="27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176英寸LED电子显示屏，内嵌式SRS01视频信号转换装置，驱动方式：恒流驱动，支持单点亮度校正，数据转换成绩输出，安装于场地内两端或观众区相对位置，显示排名成绩，供教练员、观众观看；刷新率最低3840，色温2000-9300K像素间距2.0-2.5，白平衡亮度≥cd/m2，对比度5000:1，支持4K高清画面，工作温度-20℃-55℃，像素点数根据场地实际情况而定(STYX专用数据线)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32" w:rsidRDefault="00AE3632" w:rsidP="00F72573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</w:tbl>
    <w:p w:rsidR="006A4151" w:rsidRDefault="005D2ECA" w:rsidP="005C0006">
      <w:r>
        <w:rPr>
          <w:rFonts w:hint="eastAsia"/>
        </w:rPr>
        <w:t>配套辅助设施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3"/>
        <w:gridCol w:w="1576"/>
        <w:gridCol w:w="2403"/>
        <w:gridCol w:w="2938"/>
      </w:tblGrid>
      <w:tr w:rsidR="003F52B4" w:rsidRPr="00D64A19" w:rsidTr="00626FC7">
        <w:trPr>
          <w:trHeight w:val="285"/>
        </w:trPr>
        <w:tc>
          <w:tcPr>
            <w:tcW w:w="275" w:type="pct"/>
          </w:tcPr>
          <w:p w:rsidR="003F52B4" w:rsidRPr="00D64A19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4A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5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用料</w:t>
            </w:r>
          </w:p>
        </w:tc>
      </w:tr>
      <w:tr w:rsidR="00B31B26" w:rsidRPr="00D64A19" w:rsidTr="00626FC7">
        <w:trPr>
          <w:trHeight w:val="285"/>
        </w:trPr>
        <w:tc>
          <w:tcPr>
            <w:tcW w:w="5000" w:type="pct"/>
            <w:gridSpan w:val="5"/>
          </w:tcPr>
          <w:p w:rsidR="00B31B26" w:rsidRPr="005D2ECA" w:rsidRDefault="00B31B26" w:rsidP="00B31B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10米馆</w:t>
            </w:r>
          </w:p>
        </w:tc>
      </w:tr>
      <w:tr w:rsidR="003F52B4" w:rsidRPr="00D64A19" w:rsidTr="00626FC7">
        <w:trPr>
          <w:trHeight w:val="402"/>
        </w:trPr>
        <w:tc>
          <w:tcPr>
            <w:tcW w:w="275" w:type="pct"/>
          </w:tcPr>
          <w:p w:rsidR="003F52B4" w:rsidRPr="00D64A19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4A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10米馆控制室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1个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3.5米*3.5米*2.2米</w:t>
            </w:r>
          </w:p>
        </w:tc>
        <w:tc>
          <w:tcPr>
            <w:tcW w:w="15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钢制+玻璃+砖</w:t>
            </w:r>
          </w:p>
        </w:tc>
      </w:tr>
      <w:tr w:rsidR="003F52B4" w:rsidRPr="00D64A19" w:rsidTr="00626FC7">
        <w:trPr>
          <w:trHeight w:val="402"/>
        </w:trPr>
        <w:tc>
          <w:tcPr>
            <w:tcW w:w="275" w:type="pct"/>
          </w:tcPr>
          <w:p w:rsidR="003F52B4" w:rsidRPr="00D64A19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4A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地面开槽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3条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100*100mm</w:t>
            </w:r>
          </w:p>
        </w:tc>
        <w:tc>
          <w:tcPr>
            <w:tcW w:w="15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开槽+预埋线管</w:t>
            </w:r>
          </w:p>
        </w:tc>
      </w:tr>
      <w:tr w:rsidR="003F52B4" w:rsidRPr="00D64A19" w:rsidTr="00626FC7">
        <w:trPr>
          <w:trHeight w:val="402"/>
        </w:trPr>
        <w:tc>
          <w:tcPr>
            <w:tcW w:w="275" w:type="pct"/>
          </w:tcPr>
          <w:p w:rsidR="003F52B4" w:rsidRPr="00D64A19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4A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地面恢复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3条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100*100mm</w:t>
            </w:r>
          </w:p>
        </w:tc>
        <w:tc>
          <w:tcPr>
            <w:tcW w:w="15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52B4" w:rsidRPr="00D64A19" w:rsidTr="00626FC7">
        <w:trPr>
          <w:trHeight w:val="402"/>
        </w:trPr>
        <w:tc>
          <w:tcPr>
            <w:tcW w:w="275" w:type="pct"/>
          </w:tcPr>
          <w:p w:rsidR="003F52B4" w:rsidRPr="00D64A19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4A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靶标端木质墙面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140平方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15+12mm</w:t>
            </w:r>
          </w:p>
        </w:tc>
        <w:tc>
          <w:tcPr>
            <w:tcW w:w="15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木芯板和者桑拿板</w:t>
            </w:r>
          </w:p>
        </w:tc>
      </w:tr>
      <w:tr w:rsidR="003F52B4" w:rsidRPr="00D64A19" w:rsidTr="00626FC7">
        <w:trPr>
          <w:trHeight w:val="402"/>
        </w:trPr>
        <w:tc>
          <w:tcPr>
            <w:tcW w:w="275" w:type="pct"/>
          </w:tcPr>
          <w:p w:rsidR="003F52B4" w:rsidRPr="00D64A19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4A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靶标端线槽或线管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75米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B31B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铁质+PVC</w:t>
            </w:r>
          </w:p>
        </w:tc>
      </w:tr>
      <w:tr w:rsidR="003F52B4" w:rsidRPr="00D64A19" w:rsidTr="00626FC7">
        <w:trPr>
          <w:trHeight w:val="402"/>
        </w:trPr>
        <w:tc>
          <w:tcPr>
            <w:tcW w:w="275" w:type="pct"/>
          </w:tcPr>
          <w:p w:rsidR="003F52B4" w:rsidRPr="00D64A19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4A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靶标端电源线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255米4路*3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4平方</w:t>
            </w:r>
          </w:p>
        </w:tc>
        <w:tc>
          <w:tcPr>
            <w:tcW w:w="15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国标</w:t>
            </w:r>
          </w:p>
        </w:tc>
      </w:tr>
      <w:tr w:rsidR="003F52B4" w:rsidRPr="00D64A19" w:rsidTr="00626FC7">
        <w:trPr>
          <w:trHeight w:val="402"/>
        </w:trPr>
        <w:tc>
          <w:tcPr>
            <w:tcW w:w="275" w:type="pct"/>
          </w:tcPr>
          <w:p w:rsidR="003F52B4" w:rsidRPr="00D64A19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4A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射手端电源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245米4路*3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4平方</w:t>
            </w:r>
          </w:p>
        </w:tc>
        <w:tc>
          <w:tcPr>
            <w:tcW w:w="15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国标</w:t>
            </w:r>
          </w:p>
        </w:tc>
      </w:tr>
      <w:tr w:rsidR="003F52B4" w:rsidRPr="00D64A19" w:rsidTr="00626FC7">
        <w:trPr>
          <w:trHeight w:val="402"/>
        </w:trPr>
        <w:tc>
          <w:tcPr>
            <w:tcW w:w="275" w:type="pct"/>
          </w:tcPr>
          <w:p w:rsidR="003F52B4" w:rsidRPr="00D64A19" w:rsidRDefault="00666F32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4A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裁判端电源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245米4路*3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4平方</w:t>
            </w:r>
          </w:p>
        </w:tc>
        <w:tc>
          <w:tcPr>
            <w:tcW w:w="15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国标</w:t>
            </w:r>
          </w:p>
        </w:tc>
      </w:tr>
      <w:tr w:rsidR="003F52B4" w:rsidRPr="00D64A19" w:rsidTr="00626FC7">
        <w:trPr>
          <w:trHeight w:val="402"/>
        </w:trPr>
        <w:tc>
          <w:tcPr>
            <w:tcW w:w="275" w:type="pct"/>
          </w:tcPr>
          <w:p w:rsidR="003F52B4" w:rsidRPr="00D64A19" w:rsidRDefault="00666F32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4A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插座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48个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10A5孔插座</w:t>
            </w:r>
          </w:p>
        </w:tc>
        <w:tc>
          <w:tcPr>
            <w:tcW w:w="15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F52B4" w:rsidRPr="00D64A19" w:rsidTr="00626FC7">
        <w:trPr>
          <w:trHeight w:val="402"/>
        </w:trPr>
        <w:tc>
          <w:tcPr>
            <w:tcW w:w="275" w:type="pct"/>
          </w:tcPr>
          <w:p w:rsidR="003F52B4" w:rsidRPr="00D64A19" w:rsidRDefault="00666F32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4A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总控室配电箱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1个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600*400mm</w:t>
            </w:r>
          </w:p>
        </w:tc>
        <w:tc>
          <w:tcPr>
            <w:tcW w:w="15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带所有空</w:t>
            </w:r>
            <w:proofErr w:type="gramStart"/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开设备</w:t>
            </w:r>
            <w:proofErr w:type="gramEnd"/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+电子大屏</w:t>
            </w:r>
          </w:p>
        </w:tc>
      </w:tr>
      <w:tr w:rsidR="003F52B4" w:rsidRPr="00D64A19" w:rsidTr="00626FC7">
        <w:trPr>
          <w:trHeight w:val="402"/>
        </w:trPr>
        <w:tc>
          <w:tcPr>
            <w:tcW w:w="275" w:type="pct"/>
          </w:tcPr>
          <w:p w:rsidR="003F52B4" w:rsidRPr="00D64A19" w:rsidRDefault="00666F32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4A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射手端到靶标端预埋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70米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50mm</w:t>
            </w:r>
          </w:p>
        </w:tc>
        <w:tc>
          <w:tcPr>
            <w:tcW w:w="15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线管或过路线槽</w:t>
            </w:r>
          </w:p>
        </w:tc>
      </w:tr>
      <w:tr w:rsidR="003F52B4" w:rsidRPr="00D64A19" w:rsidTr="00626FC7">
        <w:trPr>
          <w:trHeight w:val="402"/>
        </w:trPr>
        <w:tc>
          <w:tcPr>
            <w:tcW w:w="275" w:type="pct"/>
          </w:tcPr>
          <w:p w:rsidR="003F52B4" w:rsidRPr="00D64A19" w:rsidRDefault="00666F32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4A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控制室内线槽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5米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100*100mm</w:t>
            </w:r>
          </w:p>
        </w:tc>
        <w:tc>
          <w:tcPr>
            <w:tcW w:w="15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铁质</w:t>
            </w:r>
          </w:p>
        </w:tc>
      </w:tr>
      <w:tr w:rsidR="003F52B4" w:rsidRPr="00D64A19" w:rsidTr="00626FC7">
        <w:trPr>
          <w:trHeight w:val="402"/>
        </w:trPr>
        <w:tc>
          <w:tcPr>
            <w:tcW w:w="275" w:type="pct"/>
          </w:tcPr>
          <w:p w:rsidR="003F52B4" w:rsidRPr="00D64A19" w:rsidRDefault="00666F32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4A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4平方5芯电缆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95米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5芯电缆</w:t>
            </w:r>
          </w:p>
        </w:tc>
        <w:tc>
          <w:tcPr>
            <w:tcW w:w="15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国标</w:t>
            </w:r>
          </w:p>
        </w:tc>
      </w:tr>
      <w:tr w:rsidR="003B36C4" w:rsidRPr="00D64A19" w:rsidTr="00626FC7">
        <w:trPr>
          <w:trHeight w:val="402"/>
        </w:trPr>
        <w:tc>
          <w:tcPr>
            <w:tcW w:w="5000" w:type="pct"/>
            <w:gridSpan w:val="5"/>
          </w:tcPr>
          <w:p w:rsidR="003B36C4" w:rsidRPr="005D2ECA" w:rsidRDefault="003B36C4" w:rsidP="003B36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25米馆</w:t>
            </w:r>
          </w:p>
        </w:tc>
      </w:tr>
      <w:tr w:rsidR="003F52B4" w:rsidRPr="00D64A19" w:rsidTr="00626FC7">
        <w:trPr>
          <w:trHeight w:val="402"/>
        </w:trPr>
        <w:tc>
          <w:tcPr>
            <w:tcW w:w="275" w:type="pct"/>
          </w:tcPr>
          <w:p w:rsidR="003F52B4" w:rsidRPr="00D64A19" w:rsidRDefault="00666F32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4A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25米馆控制室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1个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3.5米*3.5米*2.2米</w:t>
            </w:r>
          </w:p>
        </w:tc>
        <w:tc>
          <w:tcPr>
            <w:tcW w:w="15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钢制+玻璃+砖</w:t>
            </w:r>
          </w:p>
        </w:tc>
      </w:tr>
      <w:tr w:rsidR="003F52B4" w:rsidRPr="00D64A19" w:rsidTr="00626FC7">
        <w:trPr>
          <w:trHeight w:val="402"/>
        </w:trPr>
        <w:tc>
          <w:tcPr>
            <w:tcW w:w="275" w:type="pct"/>
          </w:tcPr>
          <w:p w:rsidR="003F52B4" w:rsidRPr="00D64A19" w:rsidRDefault="00666F32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4A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地面开槽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3条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100*100mm</w:t>
            </w:r>
          </w:p>
        </w:tc>
        <w:tc>
          <w:tcPr>
            <w:tcW w:w="15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开槽+预埋线管</w:t>
            </w:r>
          </w:p>
        </w:tc>
      </w:tr>
      <w:tr w:rsidR="003F52B4" w:rsidRPr="00D64A19" w:rsidTr="00626FC7">
        <w:trPr>
          <w:trHeight w:val="402"/>
        </w:trPr>
        <w:tc>
          <w:tcPr>
            <w:tcW w:w="275" w:type="pct"/>
          </w:tcPr>
          <w:p w:rsidR="003F52B4" w:rsidRPr="00D64A19" w:rsidRDefault="00666F32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4A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射手端到靶标端预埋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60米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100mm</w:t>
            </w:r>
          </w:p>
        </w:tc>
        <w:tc>
          <w:tcPr>
            <w:tcW w:w="15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线管或过路线槽</w:t>
            </w:r>
          </w:p>
        </w:tc>
      </w:tr>
      <w:tr w:rsidR="003F52B4" w:rsidRPr="00D64A19" w:rsidTr="00626FC7">
        <w:trPr>
          <w:trHeight w:val="402"/>
        </w:trPr>
        <w:tc>
          <w:tcPr>
            <w:tcW w:w="275" w:type="pct"/>
          </w:tcPr>
          <w:p w:rsidR="003F52B4" w:rsidRPr="00D64A19" w:rsidRDefault="00666F32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4A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插座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48个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10A5孔插座</w:t>
            </w:r>
          </w:p>
        </w:tc>
        <w:tc>
          <w:tcPr>
            <w:tcW w:w="15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F52B4" w:rsidRPr="00D64A19" w:rsidTr="00626FC7">
        <w:trPr>
          <w:trHeight w:val="402"/>
        </w:trPr>
        <w:tc>
          <w:tcPr>
            <w:tcW w:w="275" w:type="pct"/>
          </w:tcPr>
          <w:p w:rsidR="003F52B4" w:rsidRPr="00D64A19" w:rsidRDefault="00666F32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4A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总控室配电箱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1个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600*400mm</w:t>
            </w:r>
          </w:p>
        </w:tc>
        <w:tc>
          <w:tcPr>
            <w:tcW w:w="15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带所有空</w:t>
            </w:r>
            <w:proofErr w:type="gramStart"/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开设备</w:t>
            </w:r>
            <w:proofErr w:type="gramEnd"/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+电子大屏</w:t>
            </w:r>
          </w:p>
        </w:tc>
      </w:tr>
      <w:tr w:rsidR="003F52B4" w:rsidRPr="00D64A19" w:rsidTr="00626FC7">
        <w:trPr>
          <w:trHeight w:val="402"/>
        </w:trPr>
        <w:tc>
          <w:tcPr>
            <w:tcW w:w="275" w:type="pct"/>
          </w:tcPr>
          <w:p w:rsidR="003F52B4" w:rsidRPr="00D64A19" w:rsidRDefault="00666F32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4A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控制室内线槽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5米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100*100mm</w:t>
            </w:r>
          </w:p>
        </w:tc>
        <w:tc>
          <w:tcPr>
            <w:tcW w:w="15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铁质</w:t>
            </w:r>
          </w:p>
        </w:tc>
      </w:tr>
      <w:tr w:rsidR="003F52B4" w:rsidRPr="00D64A19" w:rsidTr="00626FC7">
        <w:trPr>
          <w:trHeight w:val="402"/>
        </w:trPr>
        <w:tc>
          <w:tcPr>
            <w:tcW w:w="275" w:type="pct"/>
          </w:tcPr>
          <w:p w:rsidR="003F52B4" w:rsidRPr="00D64A19" w:rsidRDefault="00666F32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4A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4平方5芯电缆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95米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5芯电缆</w:t>
            </w:r>
          </w:p>
        </w:tc>
        <w:tc>
          <w:tcPr>
            <w:tcW w:w="15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国标</w:t>
            </w:r>
          </w:p>
        </w:tc>
      </w:tr>
      <w:tr w:rsidR="003F52B4" w:rsidRPr="00D64A19" w:rsidTr="00626FC7">
        <w:trPr>
          <w:trHeight w:val="402"/>
        </w:trPr>
        <w:tc>
          <w:tcPr>
            <w:tcW w:w="275" w:type="pct"/>
          </w:tcPr>
          <w:p w:rsidR="003F52B4" w:rsidRPr="00D64A19" w:rsidRDefault="00666F32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4A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靶标端电源线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255米4路*3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4平方</w:t>
            </w:r>
          </w:p>
        </w:tc>
        <w:tc>
          <w:tcPr>
            <w:tcW w:w="15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国标</w:t>
            </w:r>
          </w:p>
        </w:tc>
      </w:tr>
      <w:tr w:rsidR="003F52B4" w:rsidRPr="00D64A19" w:rsidTr="00626FC7">
        <w:trPr>
          <w:trHeight w:val="402"/>
        </w:trPr>
        <w:tc>
          <w:tcPr>
            <w:tcW w:w="275" w:type="pct"/>
          </w:tcPr>
          <w:p w:rsidR="003F52B4" w:rsidRPr="00D64A19" w:rsidRDefault="00666F32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4A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射手端电源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245米4路*3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4平方</w:t>
            </w:r>
          </w:p>
        </w:tc>
        <w:tc>
          <w:tcPr>
            <w:tcW w:w="15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国标</w:t>
            </w:r>
          </w:p>
        </w:tc>
      </w:tr>
      <w:tr w:rsidR="003F52B4" w:rsidRPr="00D64A19" w:rsidTr="00626FC7">
        <w:trPr>
          <w:trHeight w:val="402"/>
        </w:trPr>
        <w:tc>
          <w:tcPr>
            <w:tcW w:w="275" w:type="pct"/>
          </w:tcPr>
          <w:p w:rsidR="003F52B4" w:rsidRPr="00D64A19" w:rsidRDefault="00666F32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4A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裁判端电源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245米4路*3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4平方</w:t>
            </w:r>
          </w:p>
        </w:tc>
        <w:tc>
          <w:tcPr>
            <w:tcW w:w="15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国标</w:t>
            </w:r>
          </w:p>
        </w:tc>
      </w:tr>
      <w:tr w:rsidR="003B36C4" w:rsidRPr="00D64A19" w:rsidTr="00626FC7">
        <w:trPr>
          <w:trHeight w:val="402"/>
        </w:trPr>
        <w:tc>
          <w:tcPr>
            <w:tcW w:w="5000" w:type="pct"/>
            <w:gridSpan w:val="5"/>
          </w:tcPr>
          <w:p w:rsidR="003B36C4" w:rsidRPr="005D2ECA" w:rsidRDefault="003B36C4" w:rsidP="003B36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50米馆</w:t>
            </w:r>
            <w:bookmarkStart w:id="0" w:name="_GoBack"/>
            <w:bookmarkEnd w:id="0"/>
          </w:p>
        </w:tc>
      </w:tr>
      <w:tr w:rsidR="003F52B4" w:rsidRPr="00D64A19" w:rsidTr="00626FC7">
        <w:trPr>
          <w:trHeight w:val="402"/>
        </w:trPr>
        <w:tc>
          <w:tcPr>
            <w:tcW w:w="275" w:type="pct"/>
          </w:tcPr>
          <w:p w:rsidR="003F52B4" w:rsidRPr="00D64A19" w:rsidRDefault="00666F32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4A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50米馆控制室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1个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3.5米*3.5米*2.2米</w:t>
            </w:r>
          </w:p>
        </w:tc>
        <w:tc>
          <w:tcPr>
            <w:tcW w:w="15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钢制+玻璃+砖</w:t>
            </w:r>
          </w:p>
        </w:tc>
      </w:tr>
      <w:tr w:rsidR="003F52B4" w:rsidRPr="00D64A19" w:rsidTr="00626FC7">
        <w:trPr>
          <w:trHeight w:val="402"/>
        </w:trPr>
        <w:tc>
          <w:tcPr>
            <w:tcW w:w="275" w:type="pct"/>
          </w:tcPr>
          <w:p w:rsidR="003F52B4" w:rsidRPr="00D64A19" w:rsidRDefault="00666F32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4A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射手端到靶标端预埋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150米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100mm</w:t>
            </w:r>
          </w:p>
        </w:tc>
        <w:tc>
          <w:tcPr>
            <w:tcW w:w="15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挖沟线管或过路线槽</w:t>
            </w:r>
          </w:p>
        </w:tc>
      </w:tr>
      <w:tr w:rsidR="003F52B4" w:rsidRPr="00D64A19" w:rsidTr="00626FC7">
        <w:trPr>
          <w:trHeight w:val="402"/>
        </w:trPr>
        <w:tc>
          <w:tcPr>
            <w:tcW w:w="275" w:type="pct"/>
          </w:tcPr>
          <w:p w:rsidR="003F52B4" w:rsidRPr="00D64A19" w:rsidRDefault="00666F32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4A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插座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48个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10A5孔插座</w:t>
            </w:r>
          </w:p>
        </w:tc>
        <w:tc>
          <w:tcPr>
            <w:tcW w:w="15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F52B4" w:rsidRPr="00D64A19" w:rsidTr="00626FC7">
        <w:trPr>
          <w:trHeight w:val="285"/>
        </w:trPr>
        <w:tc>
          <w:tcPr>
            <w:tcW w:w="275" w:type="pct"/>
          </w:tcPr>
          <w:p w:rsidR="003F52B4" w:rsidRPr="00D64A19" w:rsidRDefault="00666F32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4A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总控室配电箱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1个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600*400mm</w:t>
            </w:r>
          </w:p>
        </w:tc>
        <w:tc>
          <w:tcPr>
            <w:tcW w:w="15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带所有空</w:t>
            </w:r>
            <w:proofErr w:type="gramStart"/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开设备</w:t>
            </w:r>
            <w:proofErr w:type="gramEnd"/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+电子大屏</w:t>
            </w:r>
          </w:p>
        </w:tc>
      </w:tr>
      <w:tr w:rsidR="003F52B4" w:rsidRPr="00D64A19" w:rsidTr="00626FC7">
        <w:trPr>
          <w:trHeight w:val="285"/>
        </w:trPr>
        <w:tc>
          <w:tcPr>
            <w:tcW w:w="275" w:type="pct"/>
          </w:tcPr>
          <w:p w:rsidR="003F52B4" w:rsidRPr="00D64A19" w:rsidRDefault="00666F32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4A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控制室内线槽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5米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100*100mm</w:t>
            </w:r>
          </w:p>
        </w:tc>
        <w:tc>
          <w:tcPr>
            <w:tcW w:w="15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铁质</w:t>
            </w:r>
          </w:p>
        </w:tc>
      </w:tr>
      <w:tr w:rsidR="003F52B4" w:rsidRPr="00D64A19" w:rsidTr="00626FC7">
        <w:trPr>
          <w:trHeight w:val="285"/>
        </w:trPr>
        <w:tc>
          <w:tcPr>
            <w:tcW w:w="275" w:type="pct"/>
          </w:tcPr>
          <w:p w:rsidR="003F52B4" w:rsidRPr="00D64A19" w:rsidRDefault="00666F32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4A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4平方5芯电缆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95米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5芯电缆</w:t>
            </w:r>
          </w:p>
        </w:tc>
        <w:tc>
          <w:tcPr>
            <w:tcW w:w="15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国标</w:t>
            </w:r>
          </w:p>
        </w:tc>
      </w:tr>
      <w:tr w:rsidR="003F52B4" w:rsidRPr="00D64A19" w:rsidTr="00626FC7">
        <w:trPr>
          <w:trHeight w:val="285"/>
        </w:trPr>
        <w:tc>
          <w:tcPr>
            <w:tcW w:w="275" w:type="pct"/>
          </w:tcPr>
          <w:p w:rsidR="003F52B4" w:rsidRPr="00D64A19" w:rsidRDefault="00666F32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4A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靶标端电源线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305米4路*3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4平方</w:t>
            </w:r>
          </w:p>
        </w:tc>
        <w:tc>
          <w:tcPr>
            <w:tcW w:w="15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国标</w:t>
            </w:r>
          </w:p>
        </w:tc>
      </w:tr>
      <w:tr w:rsidR="003F52B4" w:rsidRPr="00D64A19" w:rsidTr="00626FC7">
        <w:trPr>
          <w:trHeight w:val="285"/>
        </w:trPr>
        <w:tc>
          <w:tcPr>
            <w:tcW w:w="275" w:type="pct"/>
          </w:tcPr>
          <w:p w:rsidR="003F52B4" w:rsidRPr="00D64A19" w:rsidRDefault="00666F32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4A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射手端电源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245米4路*3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4平方</w:t>
            </w:r>
          </w:p>
        </w:tc>
        <w:tc>
          <w:tcPr>
            <w:tcW w:w="15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国标</w:t>
            </w:r>
          </w:p>
        </w:tc>
      </w:tr>
      <w:tr w:rsidR="003F52B4" w:rsidRPr="00D64A19" w:rsidTr="00626FC7">
        <w:trPr>
          <w:trHeight w:val="285"/>
        </w:trPr>
        <w:tc>
          <w:tcPr>
            <w:tcW w:w="275" w:type="pct"/>
          </w:tcPr>
          <w:p w:rsidR="003F52B4" w:rsidRPr="00D64A19" w:rsidRDefault="00666F32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4A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裁判端电源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245米4路*3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4平方</w:t>
            </w:r>
          </w:p>
        </w:tc>
        <w:tc>
          <w:tcPr>
            <w:tcW w:w="15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国标</w:t>
            </w:r>
          </w:p>
        </w:tc>
      </w:tr>
      <w:tr w:rsidR="003F52B4" w:rsidRPr="00D64A19" w:rsidTr="00626FC7">
        <w:trPr>
          <w:trHeight w:val="285"/>
        </w:trPr>
        <w:tc>
          <w:tcPr>
            <w:tcW w:w="275" w:type="pct"/>
          </w:tcPr>
          <w:p w:rsidR="003F52B4" w:rsidRPr="00D64A19" w:rsidRDefault="00666F32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4A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靶标端地面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180平方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钢架+钢板+防腐</w:t>
            </w:r>
          </w:p>
        </w:tc>
      </w:tr>
      <w:tr w:rsidR="003F52B4" w:rsidRPr="00D64A19" w:rsidTr="00626FC7">
        <w:trPr>
          <w:trHeight w:val="285"/>
        </w:trPr>
        <w:tc>
          <w:tcPr>
            <w:tcW w:w="275" w:type="pct"/>
          </w:tcPr>
          <w:p w:rsidR="003F52B4" w:rsidRPr="00D64A19" w:rsidRDefault="00666F32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4A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挡弹板</w:t>
            </w:r>
            <w:proofErr w:type="gramEnd"/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60平方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钢架+木板</w:t>
            </w:r>
          </w:p>
        </w:tc>
      </w:tr>
      <w:tr w:rsidR="003F52B4" w:rsidRPr="00D64A19" w:rsidTr="00626FC7">
        <w:trPr>
          <w:trHeight w:val="285"/>
        </w:trPr>
        <w:tc>
          <w:tcPr>
            <w:tcW w:w="275" w:type="pct"/>
          </w:tcPr>
          <w:p w:rsidR="003F52B4" w:rsidRPr="00D64A19" w:rsidRDefault="00666F32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4A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原拆除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52B4" w:rsidRPr="00D64A19" w:rsidTr="00626FC7">
        <w:trPr>
          <w:trHeight w:val="285"/>
        </w:trPr>
        <w:tc>
          <w:tcPr>
            <w:tcW w:w="275" w:type="pct"/>
          </w:tcPr>
          <w:p w:rsidR="003F52B4" w:rsidRPr="00D64A19" w:rsidRDefault="00666F32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4A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射手端运动地胶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150平方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环保，防静电哑光</w:t>
            </w:r>
          </w:p>
        </w:tc>
      </w:tr>
      <w:tr w:rsidR="003F52B4" w:rsidRPr="00D64A19" w:rsidTr="00626FC7">
        <w:trPr>
          <w:trHeight w:val="285"/>
        </w:trPr>
        <w:tc>
          <w:tcPr>
            <w:tcW w:w="275" w:type="pct"/>
          </w:tcPr>
          <w:p w:rsidR="003F52B4" w:rsidRPr="00D64A19" w:rsidRDefault="00666F32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4A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倒计时钟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B31B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3个双面+9个单面</w:t>
            </w:r>
          </w:p>
        </w:tc>
      </w:tr>
      <w:tr w:rsidR="003F52B4" w:rsidRPr="00D64A19" w:rsidTr="00626FC7">
        <w:trPr>
          <w:trHeight w:val="285"/>
        </w:trPr>
        <w:tc>
          <w:tcPr>
            <w:tcW w:w="275" w:type="pct"/>
          </w:tcPr>
          <w:p w:rsidR="003F52B4" w:rsidRPr="00D64A19" w:rsidRDefault="00666F32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4A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倒计时钟电源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200米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1" w:type="pct"/>
            <w:shd w:val="clear" w:color="auto" w:fill="auto"/>
            <w:noWrap/>
            <w:vAlign w:val="center"/>
            <w:hideMark/>
          </w:tcPr>
          <w:p w:rsidR="003F52B4" w:rsidRPr="005D2ECA" w:rsidRDefault="003F52B4" w:rsidP="005D2E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含插座12个国标</w:t>
            </w:r>
          </w:p>
        </w:tc>
      </w:tr>
    </w:tbl>
    <w:p w:rsidR="005D2ECA" w:rsidRDefault="005D2ECA" w:rsidP="005C0006"/>
    <w:p w:rsidR="0046310A" w:rsidRDefault="0046310A" w:rsidP="0046310A">
      <w:r>
        <w:rPr>
          <w:rFonts w:hint="eastAsia"/>
        </w:rPr>
        <w:t>注：以上列明的配套辅助设施为主要辅助设施，未列明而属于完成本项目所必需的其他辅助设施</w:t>
      </w:r>
      <w:r w:rsidRPr="0046310A">
        <w:rPr>
          <w:rFonts w:hint="eastAsia"/>
        </w:rPr>
        <w:t>（包括未列明而完成交验所必须的所有产品、材料、工具、费用</w:t>
      </w:r>
      <w:r w:rsidR="000643C8">
        <w:rPr>
          <w:rFonts w:hint="eastAsia"/>
        </w:rPr>
        <w:t>等</w:t>
      </w:r>
      <w:r w:rsidRPr="0046310A">
        <w:rPr>
          <w:rFonts w:hint="eastAsia"/>
        </w:rPr>
        <w:t>）</w:t>
      </w:r>
      <w:r w:rsidR="000643C8">
        <w:rPr>
          <w:rFonts w:hint="eastAsia"/>
        </w:rPr>
        <w:t>均由供应商承担。</w:t>
      </w:r>
    </w:p>
    <w:p w:rsidR="005D2ECA" w:rsidRDefault="005D2ECA" w:rsidP="005C0006"/>
    <w:sectPr w:rsidR="005D2ECA" w:rsidSect="00651F09">
      <w:pgSz w:w="11906" w:h="16838"/>
      <w:pgMar w:top="1440" w:right="127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6C4" w:rsidRDefault="003B36C4" w:rsidP="003B36C4">
      <w:r>
        <w:separator/>
      </w:r>
    </w:p>
  </w:endnote>
  <w:endnote w:type="continuationSeparator" w:id="0">
    <w:p w:rsidR="003B36C4" w:rsidRDefault="003B36C4" w:rsidP="003B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6C4" w:rsidRDefault="003B36C4" w:rsidP="003B36C4">
      <w:r>
        <w:separator/>
      </w:r>
    </w:p>
  </w:footnote>
  <w:footnote w:type="continuationSeparator" w:id="0">
    <w:p w:rsidR="003B36C4" w:rsidRDefault="003B36C4" w:rsidP="003B3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0006"/>
    <w:rsid w:val="000643C8"/>
    <w:rsid w:val="000F78D4"/>
    <w:rsid w:val="00203BF1"/>
    <w:rsid w:val="00257684"/>
    <w:rsid w:val="00262474"/>
    <w:rsid w:val="003B1A2A"/>
    <w:rsid w:val="003B36C4"/>
    <w:rsid w:val="003F52B4"/>
    <w:rsid w:val="0046310A"/>
    <w:rsid w:val="004926DC"/>
    <w:rsid w:val="00597667"/>
    <w:rsid w:val="005C0006"/>
    <w:rsid w:val="005D2ECA"/>
    <w:rsid w:val="00626FC7"/>
    <w:rsid w:val="00651F09"/>
    <w:rsid w:val="00666F32"/>
    <w:rsid w:val="006A4151"/>
    <w:rsid w:val="007344FA"/>
    <w:rsid w:val="007633C8"/>
    <w:rsid w:val="008435F6"/>
    <w:rsid w:val="00920103"/>
    <w:rsid w:val="00AE3632"/>
    <w:rsid w:val="00B31B26"/>
    <w:rsid w:val="00BB0E5F"/>
    <w:rsid w:val="00BD6AF2"/>
    <w:rsid w:val="00C13C93"/>
    <w:rsid w:val="00D05FB7"/>
    <w:rsid w:val="00D64A19"/>
    <w:rsid w:val="00E55367"/>
    <w:rsid w:val="00F7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AE3632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AE3632"/>
    <w:rPr>
      <w:rFonts w:ascii="宋体" w:eastAsia="宋体" w:hAnsi="宋体" w:cs="宋体" w:hint="eastAsia"/>
      <w:color w:val="000000"/>
      <w:sz w:val="24"/>
      <w:szCs w:val="24"/>
      <w:u w:val="single"/>
    </w:rPr>
  </w:style>
  <w:style w:type="paragraph" w:styleId="a3">
    <w:name w:val="header"/>
    <w:basedOn w:val="a"/>
    <w:link w:val="Char"/>
    <w:uiPriority w:val="99"/>
    <w:unhideWhenUsed/>
    <w:rsid w:val="003B3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36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3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36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AE3632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AE3632"/>
    <w:rPr>
      <w:rFonts w:ascii="宋体" w:eastAsia="宋体" w:hAnsi="宋体" w:cs="宋体" w:hint="eastAsia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995</Words>
  <Characters>5674</Characters>
  <Application>Microsoft Office Word</Application>
  <DocSecurity>0</DocSecurity>
  <Lines>47</Lines>
  <Paragraphs>13</Paragraphs>
  <ScaleCrop>false</ScaleCrop>
  <Company>微软中国</Company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cp:lastPrinted>2024-08-07T00:38:00Z</cp:lastPrinted>
  <dcterms:created xsi:type="dcterms:W3CDTF">2024-08-01T07:19:00Z</dcterms:created>
  <dcterms:modified xsi:type="dcterms:W3CDTF">2024-08-07T00:38:00Z</dcterms:modified>
</cp:coreProperties>
</file>