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E70A8">
      <w:pPr>
        <w:widowControl/>
        <w:spacing w:line="500" w:lineRule="exact"/>
        <w:jc w:val="center"/>
        <w:rPr>
          <w:rFonts w:hint="eastAsia" w:ascii="宋体" w:hAnsi="宋体" w:eastAsia="宋体" w:cs="宋体"/>
          <w:b/>
          <w:bCs/>
          <w:color w:val="auto"/>
          <w:spacing w:val="6"/>
          <w:sz w:val="52"/>
          <w:szCs w:val="52"/>
          <w:highlight w:val="none"/>
        </w:rPr>
      </w:pPr>
      <w:bookmarkStart w:id="0" w:name="_Toc3904649"/>
    </w:p>
    <w:p w14:paraId="715D5FDB">
      <w:pPr>
        <w:widowControl/>
        <w:spacing w:line="500" w:lineRule="exact"/>
        <w:jc w:val="center"/>
        <w:rPr>
          <w:rFonts w:hint="eastAsia" w:ascii="宋体" w:hAnsi="宋体" w:eastAsia="宋体" w:cs="宋体"/>
          <w:b/>
          <w:bCs/>
          <w:color w:val="auto"/>
          <w:spacing w:val="6"/>
          <w:sz w:val="52"/>
          <w:szCs w:val="52"/>
          <w:highlight w:val="none"/>
        </w:rPr>
      </w:pPr>
    </w:p>
    <w:p w14:paraId="5572D058">
      <w:pPr>
        <w:jc w:val="center"/>
        <w:rPr>
          <w:rFonts w:hint="eastAsia" w:ascii="宋体" w:hAnsi="宋体" w:eastAsia="宋体" w:cs="宋体"/>
          <w:color w:val="auto"/>
          <w:spacing w:val="6"/>
          <w:sz w:val="32"/>
          <w:szCs w:val="32"/>
          <w:highlight w:val="none"/>
          <w:u w:val="single"/>
        </w:rPr>
      </w:pPr>
    </w:p>
    <w:p w14:paraId="3FBC30C2">
      <w:pPr>
        <w:pStyle w:val="52"/>
        <w:jc w:val="center"/>
        <w:rPr>
          <w:rFonts w:hint="eastAsia" w:ascii="宋体" w:hAnsi="宋体" w:eastAsia="宋体" w:cs="宋体"/>
          <w:b/>
          <w:bCs/>
          <w:i w:val="0"/>
          <w:iCs w:val="0"/>
          <w:color w:val="auto"/>
          <w:sz w:val="52"/>
          <w:szCs w:val="52"/>
          <w:highlight w:val="none"/>
          <w:lang w:val="en-US" w:eastAsia="zh-CN"/>
        </w:rPr>
      </w:pPr>
      <w:bookmarkStart w:id="1" w:name="_Toc17636"/>
      <w:bookmarkStart w:id="2" w:name="_Toc12472"/>
      <w:r>
        <w:rPr>
          <w:rFonts w:hint="eastAsia" w:ascii="宋体" w:hAnsi="宋体" w:eastAsia="宋体" w:cs="宋体"/>
          <w:b/>
          <w:bCs/>
          <w:i w:val="0"/>
          <w:iCs w:val="0"/>
          <w:color w:val="auto"/>
          <w:sz w:val="52"/>
          <w:szCs w:val="52"/>
          <w:highlight w:val="none"/>
          <w:lang w:val="en-US" w:eastAsia="zh-CN"/>
        </w:rPr>
        <w:t>河南科技大学第一附属医院</w:t>
      </w:r>
      <w:bookmarkEnd w:id="1"/>
      <w:bookmarkEnd w:id="2"/>
    </w:p>
    <w:p w14:paraId="126735B9">
      <w:pPr>
        <w:pStyle w:val="52"/>
        <w:jc w:val="center"/>
        <w:rPr>
          <w:rFonts w:hint="eastAsia" w:ascii="宋体" w:hAnsi="宋体" w:eastAsia="宋体" w:cs="宋体"/>
          <w:b/>
          <w:bCs/>
          <w:i w:val="0"/>
          <w:iCs w:val="0"/>
          <w:color w:val="auto"/>
          <w:sz w:val="52"/>
          <w:szCs w:val="52"/>
          <w:highlight w:val="none"/>
          <w:lang w:val="en-US" w:eastAsia="zh-CN"/>
        </w:rPr>
      </w:pPr>
      <w:bookmarkStart w:id="3" w:name="_Toc2095"/>
      <w:bookmarkStart w:id="4" w:name="_Toc16709"/>
      <w:r>
        <w:rPr>
          <w:rFonts w:hint="eastAsia" w:ascii="宋体" w:hAnsi="宋体" w:eastAsia="宋体" w:cs="宋体"/>
          <w:b/>
          <w:bCs/>
          <w:i w:val="0"/>
          <w:iCs w:val="0"/>
          <w:color w:val="auto"/>
          <w:sz w:val="52"/>
          <w:szCs w:val="52"/>
          <w:highlight w:val="none"/>
          <w:lang w:val="en-US" w:eastAsia="zh-CN"/>
        </w:rPr>
        <w:t>综合运营管理系统（一期）项目</w:t>
      </w:r>
      <w:bookmarkEnd w:id="3"/>
      <w:bookmarkEnd w:id="4"/>
    </w:p>
    <w:p w14:paraId="3934B19A">
      <w:pPr>
        <w:rPr>
          <w:rFonts w:hint="eastAsia" w:ascii="宋体" w:hAnsi="宋体" w:eastAsia="宋体" w:cs="宋体"/>
          <w:b/>
          <w:bCs/>
          <w:color w:val="auto"/>
          <w:spacing w:val="6"/>
          <w:sz w:val="52"/>
          <w:szCs w:val="52"/>
          <w:highlight w:val="none"/>
        </w:rPr>
      </w:pPr>
    </w:p>
    <w:p w14:paraId="152DD1F8">
      <w:pPr>
        <w:rPr>
          <w:rFonts w:hint="eastAsia" w:ascii="宋体" w:hAnsi="宋体" w:eastAsia="宋体" w:cs="宋体"/>
          <w:color w:val="auto"/>
          <w:spacing w:val="6"/>
          <w:sz w:val="28"/>
          <w:szCs w:val="28"/>
          <w:highlight w:val="none"/>
        </w:rPr>
      </w:pPr>
    </w:p>
    <w:p w14:paraId="542A82D1">
      <w:pPr>
        <w:jc w:val="center"/>
        <w:rPr>
          <w:rFonts w:hint="eastAsia" w:ascii="宋体" w:hAnsi="宋体" w:eastAsia="宋体" w:cs="宋体"/>
          <w:b/>
          <w:bCs/>
          <w:color w:val="auto"/>
          <w:spacing w:val="6"/>
          <w:sz w:val="96"/>
          <w:szCs w:val="96"/>
          <w:highlight w:val="none"/>
          <w:lang w:val="en-US" w:eastAsia="zh-CN"/>
        </w:rPr>
      </w:pPr>
      <w:r>
        <w:rPr>
          <w:rFonts w:hint="eastAsia" w:ascii="宋体" w:hAnsi="宋体" w:eastAsia="宋体" w:cs="宋体"/>
          <w:b/>
          <w:bCs/>
          <w:color w:val="auto"/>
          <w:spacing w:val="6"/>
          <w:sz w:val="96"/>
          <w:szCs w:val="96"/>
          <w:highlight w:val="none"/>
        </w:rPr>
        <w:t>招 标 文 件</w:t>
      </w:r>
    </w:p>
    <w:p w14:paraId="725AD3D5">
      <w:pPr>
        <w:pStyle w:val="52"/>
        <w:jc w:val="center"/>
        <w:rPr>
          <w:rFonts w:hint="eastAsia" w:ascii="宋体" w:hAnsi="宋体" w:eastAsia="宋体" w:cs="宋体"/>
          <w:b w:val="0"/>
          <w:bCs w:val="0"/>
          <w:i w:val="0"/>
          <w:iCs w:val="0"/>
          <w:color w:val="auto"/>
          <w:sz w:val="28"/>
          <w:szCs w:val="28"/>
          <w:highlight w:val="none"/>
          <w:lang w:val="en-US" w:eastAsia="zh-CN"/>
        </w:rPr>
      </w:pPr>
    </w:p>
    <w:p w14:paraId="3C463F4F">
      <w:pPr>
        <w:pStyle w:val="52"/>
        <w:jc w:val="center"/>
        <w:rPr>
          <w:rFonts w:hint="eastAsia" w:ascii="宋体" w:hAnsi="宋体" w:eastAsia="宋体" w:cs="宋体"/>
          <w:b w:val="0"/>
          <w:bCs w:val="0"/>
          <w:i w:val="0"/>
          <w:iCs w:val="0"/>
          <w:color w:val="auto"/>
          <w:sz w:val="28"/>
          <w:szCs w:val="28"/>
          <w:highlight w:val="none"/>
          <w:lang w:val="en-US" w:eastAsia="zh-CN"/>
        </w:rPr>
      </w:pPr>
    </w:p>
    <w:p w14:paraId="5E09DE88">
      <w:pPr>
        <w:pStyle w:val="52"/>
        <w:jc w:val="center"/>
        <w:rPr>
          <w:rFonts w:hint="default" w:ascii="宋体" w:hAnsi="宋体" w:cs="宋体"/>
          <w:b/>
          <w:bCs/>
          <w:i w:val="0"/>
          <w:iCs w:val="0"/>
          <w:color w:val="auto"/>
          <w:sz w:val="28"/>
          <w:szCs w:val="28"/>
          <w:highlight w:val="yellow"/>
          <w:lang w:val="en-US" w:eastAsia="zh-CN"/>
        </w:rPr>
      </w:pPr>
      <w:r>
        <w:rPr>
          <w:rFonts w:hint="eastAsia" w:ascii="宋体" w:hAnsi="宋体" w:eastAsia="宋体" w:cs="宋体"/>
          <w:b/>
          <w:bCs/>
          <w:i w:val="0"/>
          <w:iCs w:val="0"/>
          <w:color w:val="auto"/>
          <w:sz w:val="28"/>
          <w:szCs w:val="28"/>
          <w:highlight w:val="none"/>
          <w:lang w:val="en-US" w:eastAsia="zh-CN"/>
        </w:rPr>
        <w:t>项目编号：豫财招标采购-202</w:t>
      </w:r>
      <w:r>
        <w:rPr>
          <w:rFonts w:hint="eastAsia" w:ascii="宋体" w:hAnsi="宋体" w:cs="宋体"/>
          <w:b/>
          <w:bCs/>
          <w:i w:val="0"/>
          <w:iCs w:val="0"/>
          <w:color w:val="auto"/>
          <w:sz w:val="28"/>
          <w:szCs w:val="28"/>
          <w:highlight w:val="none"/>
          <w:lang w:val="en-US" w:eastAsia="zh-CN"/>
        </w:rPr>
        <w:t>5</w:t>
      </w:r>
      <w:r>
        <w:rPr>
          <w:rFonts w:hint="eastAsia" w:ascii="宋体" w:hAnsi="宋体" w:eastAsia="宋体" w:cs="宋体"/>
          <w:b/>
          <w:bCs/>
          <w:i w:val="0"/>
          <w:iCs w:val="0"/>
          <w:color w:val="auto"/>
          <w:sz w:val="28"/>
          <w:szCs w:val="28"/>
          <w:highlight w:val="none"/>
          <w:lang w:val="en-US" w:eastAsia="zh-CN"/>
        </w:rPr>
        <w:t>-</w:t>
      </w:r>
      <w:r>
        <w:rPr>
          <w:rFonts w:hint="eastAsia" w:ascii="宋体" w:hAnsi="宋体" w:cs="宋体"/>
          <w:b/>
          <w:bCs/>
          <w:i w:val="0"/>
          <w:iCs w:val="0"/>
          <w:color w:val="auto"/>
          <w:sz w:val="28"/>
          <w:szCs w:val="28"/>
          <w:highlight w:val="none"/>
          <w:lang w:val="en-US" w:eastAsia="zh-CN"/>
        </w:rPr>
        <w:t>1103</w:t>
      </w:r>
    </w:p>
    <w:p w14:paraId="347F3BD4">
      <w:pPr>
        <w:pStyle w:val="52"/>
        <w:jc w:val="center"/>
        <w:rPr>
          <w:rFonts w:hint="default" w:ascii="宋体" w:hAnsi="宋体" w:eastAsia="宋体" w:cs="宋体"/>
          <w:b w:val="0"/>
          <w:bCs w:val="0"/>
          <w:i w:val="0"/>
          <w:iCs w:val="0"/>
          <w:color w:val="auto"/>
          <w:sz w:val="28"/>
          <w:szCs w:val="28"/>
          <w:highlight w:val="none"/>
          <w:lang w:val="en-US" w:eastAsia="zh-CN"/>
        </w:rPr>
      </w:pPr>
    </w:p>
    <w:p w14:paraId="2C8AD779">
      <w:pPr>
        <w:pStyle w:val="52"/>
        <w:ind w:firstLine="2800" w:firstLineChars="1000"/>
        <w:jc w:val="both"/>
        <w:rPr>
          <w:rFonts w:hint="eastAsia" w:ascii="宋体" w:hAnsi="宋体" w:eastAsia="宋体" w:cs="宋体"/>
          <w:b w:val="0"/>
          <w:bCs w:val="0"/>
          <w:i w:val="0"/>
          <w:iCs w:val="0"/>
          <w:color w:val="auto"/>
          <w:sz w:val="28"/>
          <w:szCs w:val="28"/>
          <w:highlight w:val="none"/>
          <w:lang w:val="en-US" w:eastAsia="zh-CN"/>
        </w:rPr>
      </w:pPr>
      <w:r>
        <w:rPr>
          <w:rFonts w:hint="eastAsia" w:ascii="宋体" w:hAnsi="宋体" w:eastAsia="宋体" w:cs="宋体"/>
          <w:b w:val="0"/>
          <w:bCs w:val="0"/>
          <w:i w:val="0"/>
          <w:iCs w:val="0"/>
          <w:color w:val="auto"/>
          <w:sz w:val="28"/>
          <w:szCs w:val="28"/>
          <w:highlight w:val="none"/>
          <w:lang w:val="en-US" w:eastAsia="zh-CN"/>
        </w:rPr>
        <w:t xml:space="preserve"> </w:t>
      </w:r>
    </w:p>
    <w:p w14:paraId="2D7CDA7D">
      <w:pPr>
        <w:pStyle w:val="52"/>
        <w:jc w:val="center"/>
        <w:rPr>
          <w:rFonts w:hint="eastAsia" w:ascii="宋体" w:hAnsi="宋体" w:eastAsia="宋体" w:cs="宋体"/>
          <w:b w:val="0"/>
          <w:bCs w:val="0"/>
          <w:i w:val="0"/>
          <w:iCs w:val="0"/>
          <w:color w:val="auto"/>
          <w:sz w:val="28"/>
          <w:szCs w:val="28"/>
          <w:highlight w:val="none"/>
          <w:lang w:val="en-US" w:eastAsia="zh-CN"/>
        </w:rPr>
      </w:pPr>
    </w:p>
    <w:p w14:paraId="1C0DD377">
      <w:pPr>
        <w:pStyle w:val="52"/>
        <w:jc w:val="center"/>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drawing>
          <wp:inline distT="0" distB="0" distL="0" distR="0">
            <wp:extent cx="2350135" cy="1639570"/>
            <wp:effectExtent l="0" t="0" r="12065" b="177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353847" cy="1642485"/>
                    </a:xfrm>
                    <a:prstGeom prst="rect">
                      <a:avLst/>
                    </a:prstGeom>
                    <a:noFill/>
                    <a:ln>
                      <a:noFill/>
                    </a:ln>
                  </pic:spPr>
                </pic:pic>
              </a:graphicData>
            </a:graphic>
          </wp:inline>
        </w:drawing>
      </w:r>
    </w:p>
    <w:p w14:paraId="48188A79">
      <w:pPr>
        <w:pStyle w:val="52"/>
        <w:jc w:val="center"/>
        <w:rPr>
          <w:rFonts w:hint="eastAsia" w:ascii="宋体" w:hAnsi="宋体" w:eastAsia="宋体" w:cs="宋体"/>
          <w:spacing w:val="6"/>
          <w:sz w:val="28"/>
          <w:szCs w:val="28"/>
          <w:highlight w:val="none"/>
        </w:rPr>
      </w:pPr>
    </w:p>
    <w:p w14:paraId="2C1F1BA8">
      <w:pPr>
        <w:pStyle w:val="52"/>
        <w:jc w:val="both"/>
        <w:rPr>
          <w:rFonts w:hint="default" w:ascii="宋体" w:hAnsi="宋体" w:cs="宋体"/>
          <w:spacing w:val="6"/>
          <w:sz w:val="28"/>
          <w:szCs w:val="28"/>
          <w:highlight w:val="none"/>
          <w:lang w:val="en-US" w:eastAsia="zh-CN"/>
        </w:rPr>
      </w:pPr>
    </w:p>
    <w:p w14:paraId="1E1A3CCA">
      <w:pPr>
        <w:pStyle w:val="52"/>
        <w:jc w:val="center"/>
        <w:rPr>
          <w:rFonts w:hint="default" w:ascii="宋体" w:hAnsi="宋体" w:cs="宋体"/>
          <w:spacing w:val="6"/>
          <w:sz w:val="28"/>
          <w:szCs w:val="28"/>
          <w:highlight w:val="none"/>
          <w:lang w:val="en-US" w:eastAsia="zh-CN"/>
        </w:rPr>
      </w:pPr>
    </w:p>
    <w:p w14:paraId="2F5410B1">
      <w:pPr>
        <w:spacing w:line="360" w:lineRule="auto"/>
        <w:ind w:firstLine="2052" w:firstLineChars="700"/>
        <w:rPr>
          <w:rFonts w:hint="eastAsia" w:ascii="宋体" w:hAnsi="宋体" w:eastAsia="宋体" w:cs="宋体"/>
          <w:b/>
          <w:bCs/>
          <w:color w:val="auto"/>
          <w:spacing w:val="6"/>
          <w:kern w:val="21"/>
          <w:sz w:val="28"/>
          <w:szCs w:val="28"/>
          <w:highlight w:val="none"/>
        </w:rPr>
      </w:pPr>
      <w:r>
        <w:rPr>
          <w:rFonts w:hint="eastAsia" w:ascii="宋体" w:hAnsi="宋体" w:eastAsia="宋体" w:cs="宋体"/>
          <w:b/>
          <w:bCs/>
          <w:color w:val="auto"/>
          <w:spacing w:val="6"/>
          <w:kern w:val="21"/>
          <w:sz w:val="28"/>
          <w:szCs w:val="28"/>
          <w:highlight w:val="none"/>
        </w:rPr>
        <w:t xml:space="preserve">采 购 人：河南科技大学第一附属医院     </w:t>
      </w:r>
    </w:p>
    <w:p w14:paraId="02DD433D">
      <w:pPr>
        <w:spacing w:line="360" w:lineRule="auto"/>
        <w:ind w:firstLine="2052" w:firstLineChars="700"/>
        <w:rPr>
          <w:rFonts w:hint="eastAsia" w:ascii="宋体" w:hAnsi="宋体" w:eastAsia="宋体" w:cs="宋体"/>
          <w:b/>
          <w:bCs/>
          <w:color w:val="auto"/>
          <w:spacing w:val="6"/>
          <w:kern w:val="21"/>
          <w:sz w:val="28"/>
          <w:szCs w:val="28"/>
          <w:highlight w:val="none"/>
        </w:rPr>
      </w:pPr>
      <w:r>
        <w:rPr>
          <w:rFonts w:hint="eastAsia" w:ascii="宋体" w:hAnsi="宋体" w:eastAsia="宋体" w:cs="宋体"/>
          <w:b/>
          <w:bCs/>
          <w:color w:val="auto"/>
          <w:spacing w:val="6"/>
          <w:kern w:val="21"/>
          <w:sz w:val="28"/>
          <w:szCs w:val="28"/>
          <w:highlight w:val="none"/>
        </w:rPr>
        <w:t>代理机构：河南省伟信招标管理咨询有限公司</w:t>
      </w:r>
    </w:p>
    <w:p w14:paraId="49215E33">
      <w:pPr>
        <w:spacing w:line="360" w:lineRule="auto"/>
        <w:ind w:firstLine="2052" w:firstLineChars="700"/>
        <w:rPr>
          <w:rFonts w:hint="eastAsia" w:ascii="宋体" w:hAnsi="宋体" w:eastAsia="宋体" w:cs="宋体"/>
          <w:b/>
          <w:bCs/>
          <w:color w:val="auto"/>
          <w:spacing w:val="6"/>
          <w:kern w:val="21"/>
          <w:sz w:val="28"/>
          <w:szCs w:val="28"/>
          <w:highlight w:val="none"/>
        </w:rPr>
      </w:pPr>
      <w:r>
        <w:rPr>
          <w:rFonts w:hint="eastAsia" w:ascii="宋体" w:hAnsi="宋体" w:eastAsia="宋体" w:cs="宋体"/>
          <w:b/>
          <w:bCs/>
          <w:color w:val="auto"/>
          <w:spacing w:val="6"/>
          <w:kern w:val="21"/>
          <w:sz w:val="28"/>
          <w:szCs w:val="28"/>
          <w:highlight w:val="none"/>
        </w:rPr>
        <w:t>日    期：二〇二</w:t>
      </w:r>
      <w:r>
        <w:rPr>
          <w:rFonts w:hint="eastAsia" w:ascii="宋体" w:hAnsi="宋体" w:cs="宋体"/>
          <w:b/>
          <w:bCs/>
          <w:color w:val="auto"/>
          <w:spacing w:val="6"/>
          <w:kern w:val="21"/>
          <w:sz w:val="28"/>
          <w:szCs w:val="28"/>
          <w:highlight w:val="none"/>
          <w:lang w:val="en-US" w:eastAsia="zh-CN"/>
        </w:rPr>
        <w:t>五</w:t>
      </w:r>
      <w:r>
        <w:rPr>
          <w:rFonts w:hint="eastAsia" w:ascii="宋体" w:hAnsi="宋体" w:eastAsia="宋体" w:cs="宋体"/>
          <w:b/>
          <w:bCs/>
          <w:color w:val="auto"/>
          <w:spacing w:val="6"/>
          <w:kern w:val="21"/>
          <w:sz w:val="28"/>
          <w:szCs w:val="28"/>
          <w:highlight w:val="none"/>
        </w:rPr>
        <w:t>年</w:t>
      </w:r>
      <w:r>
        <w:rPr>
          <w:rFonts w:hint="eastAsia" w:ascii="宋体" w:hAnsi="宋体" w:cs="宋体"/>
          <w:b/>
          <w:bCs/>
          <w:color w:val="auto"/>
          <w:spacing w:val="6"/>
          <w:kern w:val="21"/>
          <w:sz w:val="28"/>
          <w:szCs w:val="28"/>
          <w:highlight w:val="none"/>
          <w:lang w:val="en-US" w:eastAsia="zh-CN"/>
        </w:rPr>
        <w:t>九</w:t>
      </w:r>
      <w:r>
        <w:rPr>
          <w:rFonts w:hint="eastAsia" w:ascii="宋体" w:hAnsi="宋体" w:eastAsia="宋体" w:cs="宋体"/>
          <w:b/>
          <w:bCs/>
          <w:color w:val="auto"/>
          <w:spacing w:val="6"/>
          <w:kern w:val="21"/>
          <w:sz w:val="28"/>
          <w:szCs w:val="28"/>
          <w:highlight w:val="none"/>
        </w:rPr>
        <w:t>月</w:t>
      </w:r>
    </w:p>
    <w:p w14:paraId="3FBE4B86">
      <w:pPr>
        <w:rPr>
          <w:rFonts w:hint="eastAsia" w:ascii="宋体" w:hAnsi="宋体" w:eastAsia="宋体" w:cs="宋体"/>
          <w:b/>
          <w:bCs/>
          <w:color w:val="auto"/>
          <w:spacing w:val="6"/>
          <w:sz w:val="28"/>
          <w:szCs w:val="28"/>
          <w:highlight w:val="none"/>
        </w:rPr>
      </w:pPr>
      <w:bookmarkStart w:id="5" w:name="_Toc65764577"/>
      <w:bookmarkStart w:id="6" w:name="_Toc89958222"/>
      <w:r>
        <w:rPr>
          <w:rFonts w:hint="eastAsia" w:ascii="宋体" w:hAnsi="宋体" w:eastAsia="宋体" w:cs="宋体"/>
          <w:b/>
          <w:bCs/>
          <w:color w:val="auto"/>
          <w:spacing w:val="6"/>
          <w:sz w:val="28"/>
          <w:szCs w:val="28"/>
          <w:highlight w:val="none"/>
        </w:rPr>
        <w:br w:type="page"/>
      </w:r>
    </w:p>
    <w:p w14:paraId="23EE0215">
      <w:pPr>
        <w:pStyle w:val="110"/>
        <w:spacing w:line="360" w:lineRule="auto"/>
        <w:jc w:val="center"/>
        <w:outlineLvl w:val="0"/>
        <w:rPr>
          <w:rFonts w:hint="eastAsia" w:ascii="宋体" w:hAnsi="宋体" w:eastAsia="宋体" w:cs="宋体"/>
          <w:b/>
          <w:bCs/>
          <w:color w:val="auto"/>
          <w:spacing w:val="6"/>
          <w:sz w:val="28"/>
          <w:szCs w:val="28"/>
          <w:highlight w:val="none"/>
        </w:rPr>
      </w:pPr>
      <w:bookmarkStart w:id="7" w:name="_Toc11997"/>
      <w:bookmarkStart w:id="8" w:name="_Toc26626"/>
      <w:bookmarkStart w:id="9" w:name="_Toc22963"/>
      <w:bookmarkStart w:id="10" w:name="_Toc18752"/>
      <w:bookmarkStart w:id="11" w:name="_Toc3417"/>
      <w:bookmarkStart w:id="12" w:name="_Toc22744"/>
      <w:r>
        <w:rPr>
          <w:rFonts w:hint="eastAsia" w:ascii="宋体" w:hAnsi="宋体" w:eastAsia="宋体" w:cs="宋体"/>
          <w:b/>
          <w:bCs/>
          <w:color w:val="auto"/>
          <w:spacing w:val="6"/>
          <w:sz w:val="28"/>
          <w:szCs w:val="28"/>
          <w:highlight w:val="none"/>
        </w:rPr>
        <w:t>目    录</w:t>
      </w:r>
      <w:bookmarkEnd w:id="0"/>
      <w:bookmarkEnd w:id="5"/>
      <w:bookmarkEnd w:id="6"/>
      <w:bookmarkEnd w:id="7"/>
      <w:bookmarkEnd w:id="8"/>
      <w:bookmarkEnd w:id="9"/>
      <w:bookmarkEnd w:id="10"/>
      <w:bookmarkEnd w:id="11"/>
      <w:bookmarkEnd w:id="12"/>
    </w:p>
    <w:sdt>
      <w:sdtPr>
        <w:rPr>
          <w:rFonts w:ascii="宋体" w:hAnsi="宋体" w:eastAsia="宋体" w:cs="Times New Roman"/>
          <w:sz w:val="21"/>
          <w:lang w:val="en-US" w:eastAsia="zh-CN" w:bidi="ar-SA"/>
        </w:rPr>
        <w:id w:val="147475699"/>
        <w15:color w:val="DBDBDB"/>
        <w:docPartObj>
          <w:docPartGallery w:val="Table of Contents"/>
          <w:docPartUnique/>
        </w:docPartObj>
      </w:sdtPr>
      <w:sdtEndPr>
        <w:rPr>
          <w:rFonts w:ascii="宋体" w:hAnsi="宋体" w:eastAsia="宋体" w:cs="Times New Roman"/>
          <w:b/>
          <w:sz w:val="24"/>
          <w:szCs w:val="24"/>
          <w:lang w:val="en-US" w:eastAsia="zh-CN" w:bidi="ar-SA"/>
        </w:rPr>
      </w:sdtEndPr>
      <w:sdtContent>
        <w:p w14:paraId="4918284C">
          <w:pPr>
            <w:pStyle w:val="18"/>
            <w:keepNext w:val="0"/>
            <w:keepLines w:val="0"/>
            <w:pageBreakBefore w:val="0"/>
            <w:widowControl w:val="0"/>
            <w:tabs>
              <w:tab w:val="right" w:leader="dot" w:pos="9072"/>
            </w:tabs>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rPr>
              <w:rFonts w:ascii="Times New Roman" w:hAnsi="Times New Roman" w:eastAsia="宋体" w:cs="Times New Roman"/>
              <w:b/>
              <w:sz w:val="24"/>
              <w:szCs w:val="24"/>
              <w:lang w:val="en-US" w:eastAsia="zh-CN" w:bidi="ar-SA"/>
            </w:rPr>
          </w:pPr>
          <w:r>
            <w:rPr>
              <w:b/>
              <w:sz w:val="24"/>
              <w:szCs w:val="24"/>
            </w:rPr>
            <w:fldChar w:fldCharType="begin"/>
          </w:r>
          <w:r>
            <w:rPr>
              <w:b/>
              <w:sz w:val="24"/>
              <w:szCs w:val="24"/>
            </w:rPr>
            <w:instrText xml:space="preserve">TOC \o "1-2" \h \u </w:instrText>
          </w:r>
          <w:r>
            <w:rPr>
              <w:b/>
              <w:sz w:val="24"/>
              <w:szCs w:val="24"/>
            </w:rPr>
            <w:fldChar w:fldCharType="separate"/>
          </w:r>
        </w:p>
        <w:p w14:paraId="0D073756">
          <w:pPr>
            <w:pStyle w:val="18"/>
            <w:tabs>
              <w:tab w:val="right" w:leader="dot" w:pos="9072"/>
            </w:tabs>
            <w:rPr>
              <w:sz w:val="21"/>
              <w:szCs w:val="21"/>
            </w:rPr>
          </w:pPr>
          <w:r>
            <w:rPr>
              <w:sz w:val="21"/>
              <w:szCs w:val="28"/>
            </w:rPr>
            <w:fldChar w:fldCharType="begin"/>
          </w:r>
          <w:r>
            <w:rPr>
              <w:sz w:val="21"/>
              <w:szCs w:val="28"/>
            </w:rPr>
            <w:instrText xml:space="preserve"> HYPERLINK \l _Toc22744 </w:instrText>
          </w:r>
          <w:r>
            <w:rPr>
              <w:sz w:val="21"/>
              <w:szCs w:val="28"/>
            </w:rPr>
            <w:fldChar w:fldCharType="separate"/>
          </w:r>
          <w:r>
            <w:rPr>
              <w:rFonts w:hint="eastAsia" w:ascii="宋体" w:hAnsi="宋体" w:eastAsia="宋体" w:cs="宋体"/>
              <w:bCs/>
              <w:spacing w:val="6"/>
              <w:sz w:val="21"/>
              <w:szCs w:val="32"/>
              <w:highlight w:val="none"/>
            </w:rPr>
            <w:t>目    录</w:t>
          </w:r>
          <w:r>
            <w:rPr>
              <w:sz w:val="21"/>
              <w:szCs w:val="21"/>
            </w:rPr>
            <w:tab/>
          </w:r>
          <w:r>
            <w:rPr>
              <w:sz w:val="21"/>
              <w:szCs w:val="21"/>
            </w:rPr>
            <w:fldChar w:fldCharType="begin"/>
          </w:r>
          <w:r>
            <w:rPr>
              <w:sz w:val="21"/>
              <w:szCs w:val="21"/>
            </w:rPr>
            <w:instrText xml:space="preserve"> PAGEREF _Toc22744 \h </w:instrText>
          </w:r>
          <w:r>
            <w:rPr>
              <w:sz w:val="21"/>
              <w:szCs w:val="21"/>
            </w:rPr>
            <w:fldChar w:fldCharType="separate"/>
          </w:r>
          <w:r>
            <w:rPr>
              <w:sz w:val="21"/>
              <w:szCs w:val="21"/>
            </w:rPr>
            <w:t>2</w:t>
          </w:r>
          <w:r>
            <w:rPr>
              <w:sz w:val="21"/>
              <w:szCs w:val="21"/>
            </w:rPr>
            <w:fldChar w:fldCharType="end"/>
          </w:r>
          <w:r>
            <w:rPr>
              <w:sz w:val="21"/>
              <w:szCs w:val="28"/>
            </w:rPr>
            <w:fldChar w:fldCharType="end"/>
          </w:r>
        </w:p>
        <w:p w14:paraId="43E53E1B">
          <w:pPr>
            <w:pStyle w:val="18"/>
            <w:tabs>
              <w:tab w:val="right" w:leader="dot" w:pos="9072"/>
            </w:tabs>
            <w:rPr>
              <w:sz w:val="21"/>
              <w:szCs w:val="21"/>
            </w:rPr>
          </w:pPr>
          <w:r>
            <w:rPr>
              <w:sz w:val="21"/>
              <w:szCs w:val="28"/>
            </w:rPr>
            <w:fldChar w:fldCharType="begin"/>
          </w:r>
          <w:r>
            <w:rPr>
              <w:sz w:val="21"/>
              <w:szCs w:val="28"/>
            </w:rPr>
            <w:instrText xml:space="preserve"> HYPERLINK \l _Toc22542 </w:instrText>
          </w:r>
          <w:r>
            <w:rPr>
              <w:sz w:val="21"/>
              <w:szCs w:val="28"/>
            </w:rPr>
            <w:fldChar w:fldCharType="separate"/>
          </w:r>
          <w:r>
            <w:rPr>
              <w:rFonts w:hint="eastAsia" w:ascii="宋体" w:hAnsi="宋体" w:eastAsia="宋体" w:cs="宋体"/>
              <w:spacing w:val="6"/>
              <w:sz w:val="21"/>
              <w:szCs w:val="21"/>
              <w:highlight w:val="none"/>
            </w:rPr>
            <w:t>第一章 招标公告</w:t>
          </w:r>
          <w:r>
            <w:rPr>
              <w:sz w:val="21"/>
              <w:szCs w:val="21"/>
            </w:rPr>
            <w:tab/>
          </w:r>
          <w:r>
            <w:rPr>
              <w:sz w:val="21"/>
              <w:szCs w:val="21"/>
            </w:rPr>
            <w:fldChar w:fldCharType="begin"/>
          </w:r>
          <w:r>
            <w:rPr>
              <w:sz w:val="21"/>
              <w:szCs w:val="21"/>
            </w:rPr>
            <w:instrText xml:space="preserve"> PAGEREF _Toc22542 \h </w:instrText>
          </w:r>
          <w:r>
            <w:rPr>
              <w:sz w:val="21"/>
              <w:szCs w:val="21"/>
            </w:rPr>
            <w:fldChar w:fldCharType="separate"/>
          </w:r>
          <w:r>
            <w:rPr>
              <w:sz w:val="21"/>
              <w:szCs w:val="21"/>
            </w:rPr>
            <w:t>3</w:t>
          </w:r>
          <w:r>
            <w:rPr>
              <w:sz w:val="21"/>
              <w:szCs w:val="21"/>
            </w:rPr>
            <w:fldChar w:fldCharType="end"/>
          </w:r>
          <w:r>
            <w:rPr>
              <w:sz w:val="21"/>
              <w:szCs w:val="28"/>
            </w:rPr>
            <w:fldChar w:fldCharType="end"/>
          </w:r>
        </w:p>
        <w:p w14:paraId="7AA6CD1E">
          <w:pPr>
            <w:pStyle w:val="18"/>
            <w:tabs>
              <w:tab w:val="right" w:leader="dot" w:pos="9072"/>
            </w:tabs>
            <w:rPr>
              <w:sz w:val="21"/>
              <w:szCs w:val="21"/>
            </w:rPr>
          </w:pPr>
          <w:r>
            <w:rPr>
              <w:sz w:val="21"/>
              <w:szCs w:val="28"/>
            </w:rPr>
            <w:fldChar w:fldCharType="begin"/>
          </w:r>
          <w:r>
            <w:rPr>
              <w:sz w:val="21"/>
              <w:szCs w:val="28"/>
            </w:rPr>
            <w:instrText xml:space="preserve"> HYPERLINK \l _Toc17901 </w:instrText>
          </w:r>
          <w:r>
            <w:rPr>
              <w:sz w:val="21"/>
              <w:szCs w:val="28"/>
            </w:rPr>
            <w:fldChar w:fldCharType="separate"/>
          </w:r>
          <w:r>
            <w:rPr>
              <w:rFonts w:hint="eastAsia" w:ascii="宋体" w:hAnsi="宋体" w:eastAsia="宋体" w:cs="宋体"/>
              <w:sz w:val="21"/>
              <w:szCs w:val="21"/>
            </w:rPr>
            <w:t>第二章投标人须知</w:t>
          </w:r>
          <w:r>
            <w:rPr>
              <w:sz w:val="21"/>
              <w:szCs w:val="21"/>
            </w:rPr>
            <w:tab/>
          </w:r>
          <w:r>
            <w:rPr>
              <w:sz w:val="21"/>
              <w:szCs w:val="21"/>
            </w:rPr>
            <w:fldChar w:fldCharType="begin"/>
          </w:r>
          <w:r>
            <w:rPr>
              <w:sz w:val="21"/>
              <w:szCs w:val="21"/>
            </w:rPr>
            <w:instrText xml:space="preserve"> PAGEREF _Toc17901 \h </w:instrText>
          </w:r>
          <w:r>
            <w:rPr>
              <w:sz w:val="21"/>
              <w:szCs w:val="21"/>
            </w:rPr>
            <w:fldChar w:fldCharType="separate"/>
          </w:r>
          <w:r>
            <w:rPr>
              <w:sz w:val="21"/>
              <w:szCs w:val="21"/>
            </w:rPr>
            <w:t>6</w:t>
          </w:r>
          <w:r>
            <w:rPr>
              <w:sz w:val="21"/>
              <w:szCs w:val="21"/>
            </w:rPr>
            <w:fldChar w:fldCharType="end"/>
          </w:r>
          <w:r>
            <w:rPr>
              <w:sz w:val="21"/>
              <w:szCs w:val="28"/>
            </w:rPr>
            <w:fldChar w:fldCharType="end"/>
          </w:r>
        </w:p>
        <w:p w14:paraId="1E64035F">
          <w:pPr>
            <w:pStyle w:val="20"/>
            <w:tabs>
              <w:tab w:val="right" w:leader="dot" w:pos="9072"/>
            </w:tabs>
            <w:rPr>
              <w:sz w:val="21"/>
              <w:szCs w:val="21"/>
            </w:rPr>
          </w:pPr>
          <w:r>
            <w:rPr>
              <w:sz w:val="21"/>
              <w:szCs w:val="28"/>
            </w:rPr>
            <w:fldChar w:fldCharType="begin"/>
          </w:r>
          <w:r>
            <w:rPr>
              <w:sz w:val="21"/>
              <w:szCs w:val="28"/>
            </w:rPr>
            <w:instrText xml:space="preserve"> HYPERLINK \l _Toc26990 </w:instrText>
          </w:r>
          <w:r>
            <w:rPr>
              <w:sz w:val="21"/>
              <w:szCs w:val="28"/>
            </w:rPr>
            <w:fldChar w:fldCharType="separate"/>
          </w:r>
          <w:r>
            <w:rPr>
              <w:rFonts w:hint="eastAsia" w:ascii="宋体" w:hAnsi="宋体" w:eastAsia="宋体" w:cs="宋体"/>
              <w:sz w:val="21"/>
              <w:szCs w:val="32"/>
              <w:highlight w:val="none"/>
            </w:rPr>
            <w:t>投标人须知前附表</w:t>
          </w:r>
          <w:r>
            <w:rPr>
              <w:sz w:val="21"/>
              <w:szCs w:val="21"/>
            </w:rPr>
            <w:tab/>
          </w:r>
          <w:r>
            <w:rPr>
              <w:sz w:val="21"/>
              <w:szCs w:val="21"/>
            </w:rPr>
            <w:fldChar w:fldCharType="begin"/>
          </w:r>
          <w:r>
            <w:rPr>
              <w:sz w:val="21"/>
              <w:szCs w:val="21"/>
            </w:rPr>
            <w:instrText xml:space="preserve"> PAGEREF _Toc26990 \h </w:instrText>
          </w:r>
          <w:r>
            <w:rPr>
              <w:sz w:val="21"/>
              <w:szCs w:val="21"/>
            </w:rPr>
            <w:fldChar w:fldCharType="separate"/>
          </w:r>
          <w:r>
            <w:rPr>
              <w:sz w:val="21"/>
              <w:szCs w:val="21"/>
            </w:rPr>
            <w:t>8</w:t>
          </w:r>
          <w:r>
            <w:rPr>
              <w:sz w:val="21"/>
              <w:szCs w:val="21"/>
            </w:rPr>
            <w:fldChar w:fldCharType="end"/>
          </w:r>
          <w:r>
            <w:rPr>
              <w:sz w:val="21"/>
              <w:szCs w:val="28"/>
            </w:rPr>
            <w:fldChar w:fldCharType="end"/>
          </w:r>
        </w:p>
        <w:p w14:paraId="0B949BD8">
          <w:pPr>
            <w:pStyle w:val="20"/>
            <w:tabs>
              <w:tab w:val="right" w:leader="dot" w:pos="9072"/>
            </w:tabs>
            <w:rPr>
              <w:sz w:val="21"/>
              <w:szCs w:val="21"/>
            </w:rPr>
          </w:pPr>
          <w:r>
            <w:rPr>
              <w:sz w:val="21"/>
              <w:szCs w:val="28"/>
            </w:rPr>
            <w:fldChar w:fldCharType="begin"/>
          </w:r>
          <w:r>
            <w:rPr>
              <w:sz w:val="21"/>
              <w:szCs w:val="28"/>
            </w:rPr>
            <w:instrText xml:space="preserve"> HYPERLINK \l _Toc12910 </w:instrText>
          </w:r>
          <w:r>
            <w:rPr>
              <w:sz w:val="21"/>
              <w:szCs w:val="28"/>
            </w:rPr>
            <w:fldChar w:fldCharType="separate"/>
          </w:r>
          <w:r>
            <w:rPr>
              <w:rFonts w:hint="eastAsia" w:ascii="宋体" w:hAnsi="宋体" w:eastAsia="宋体" w:cs="宋体"/>
              <w:bCs/>
              <w:spacing w:val="6"/>
              <w:sz w:val="21"/>
              <w:szCs w:val="32"/>
              <w:highlight w:val="none"/>
            </w:rPr>
            <w:t>1. 总则</w:t>
          </w:r>
          <w:r>
            <w:rPr>
              <w:sz w:val="21"/>
              <w:szCs w:val="21"/>
            </w:rPr>
            <w:tab/>
          </w:r>
          <w:r>
            <w:rPr>
              <w:sz w:val="21"/>
              <w:szCs w:val="21"/>
            </w:rPr>
            <w:fldChar w:fldCharType="begin"/>
          </w:r>
          <w:r>
            <w:rPr>
              <w:sz w:val="21"/>
              <w:szCs w:val="21"/>
            </w:rPr>
            <w:instrText xml:space="preserve"> PAGEREF _Toc12910 \h </w:instrText>
          </w:r>
          <w:r>
            <w:rPr>
              <w:sz w:val="21"/>
              <w:szCs w:val="21"/>
            </w:rPr>
            <w:fldChar w:fldCharType="separate"/>
          </w:r>
          <w:r>
            <w:rPr>
              <w:sz w:val="21"/>
              <w:szCs w:val="21"/>
            </w:rPr>
            <w:t>13</w:t>
          </w:r>
          <w:r>
            <w:rPr>
              <w:sz w:val="21"/>
              <w:szCs w:val="21"/>
            </w:rPr>
            <w:fldChar w:fldCharType="end"/>
          </w:r>
          <w:r>
            <w:rPr>
              <w:sz w:val="21"/>
              <w:szCs w:val="28"/>
            </w:rPr>
            <w:fldChar w:fldCharType="end"/>
          </w:r>
        </w:p>
        <w:p w14:paraId="3FD41334">
          <w:pPr>
            <w:pStyle w:val="20"/>
            <w:tabs>
              <w:tab w:val="right" w:leader="dot" w:pos="9072"/>
            </w:tabs>
            <w:rPr>
              <w:sz w:val="21"/>
              <w:szCs w:val="21"/>
            </w:rPr>
          </w:pPr>
          <w:r>
            <w:rPr>
              <w:sz w:val="21"/>
              <w:szCs w:val="28"/>
            </w:rPr>
            <w:fldChar w:fldCharType="begin"/>
          </w:r>
          <w:r>
            <w:rPr>
              <w:sz w:val="21"/>
              <w:szCs w:val="28"/>
            </w:rPr>
            <w:instrText xml:space="preserve"> HYPERLINK \l _Toc25043 </w:instrText>
          </w:r>
          <w:r>
            <w:rPr>
              <w:sz w:val="21"/>
              <w:szCs w:val="28"/>
            </w:rPr>
            <w:fldChar w:fldCharType="separate"/>
          </w:r>
          <w:r>
            <w:rPr>
              <w:rFonts w:hint="eastAsia" w:ascii="宋体" w:hAnsi="宋体" w:eastAsia="宋体" w:cs="宋体"/>
              <w:bCs/>
              <w:spacing w:val="6"/>
              <w:sz w:val="21"/>
              <w:szCs w:val="32"/>
              <w:highlight w:val="none"/>
            </w:rPr>
            <w:t>2.</w:t>
          </w:r>
          <w:r>
            <w:rPr>
              <w:rFonts w:hint="eastAsia" w:ascii="宋体" w:hAnsi="宋体" w:eastAsia="宋体" w:cs="宋体"/>
              <w:bCs/>
              <w:spacing w:val="6"/>
              <w:sz w:val="21"/>
              <w:szCs w:val="32"/>
              <w:highlight w:val="none"/>
              <w:lang w:val="en-US"/>
            </w:rPr>
            <w:t xml:space="preserve"> </w:t>
          </w:r>
          <w:r>
            <w:rPr>
              <w:rFonts w:hint="eastAsia" w:ascii="宋体" w:hAnsi="宋体" w:eastAsia="宋体" w:cs="宋体"/>
              <w:bCs/>
              <w:spacing w:val="6"/>
              <w:sz w:val="21"/>
              <w:szCs w:val="32"/>
              <w:highlight w:val="none"/>
            </w:rPr>
            <w:t>招标文件</w:t>
          </w:r>
          <w:r>
            <w:rPr>
              <w:sz w:val="21"/>
              <w:szCs w:val="21"/>
            </w:rPr>
            <w:tab/>
          </w:r>
          <w:r>
            <w:rPr>
              <w:sz w:val="21"/>
              <w:szCs w:val="21"/>
            </w:rPr>
            <w:fldChar w:fldCharType="begin"/>
          </w:r>
          <w:r>
            <w:rPr>
              <w:sz w:val="21"/>
              <w:szCs w:val="21"/>
            </w:rPr>
            <w:instrText xml:space="preserve"> PAGEREF _Toc25043 \h </w:instrText>
          </w:r>
          <w:r>
            <w:rPr>
              <w:sz w:val="21"/>
              <w:szCs w:val="21"/>
            </w:rPr>
            <w:fldChar w:fldCharType="separate"/>
          </w:r>
          <w:r>
            <w:rPr>
              <w:sz w:val="21"/>
              <w:szCs w:val="21"/>
            </w:rPr>
            <w:t>16</w:t>
          </w:r>
          <w:r>
            <w:rPr>
              <w:sz w:val="21"/>
              <w:szCs w:val="21"/>
            </w:rPr>
            <w:fldChar w:fldCharType="end"/>
          </w:r>
          <w:r>
            <w:rPr>
              <w:sz w:val="21"/>
              <w:szCs w:val="28"/>
            </w:rPr>
            <w:fldChar w:fldCharType="end"/>
          </w:r>
        </w:p>
        <w:p w14:paraId="59E981A8">
          <w:pPr>
            <w:pStyle w:val="20"/>
            <w:tabs>
              <w:tab w:val="right" w:leader="dot" w:pos="9072"/>
            </w:tabs>
            <w:rPr>
              <w:sz w:val="21"/>
              <w:szCs w:val="21"/>
            </w:rPr>
          </w:pPr>
          <w:r>
            <w:rPr>
              <w:sz w:val="21"/>
              <w:szCs w:val="28"/>
            </w:rPr>
            <w:fldChar w:fldCharType="begin"/>
          </w:r>
          <w:r>
            <w:rPr>
              <w:sz w:val="21"/>
              <w:szCs w:val="28"/>
            </w:rPr>
            <w:instrText xml:space="preserve"> HYPERLINK \l _Toc1452 </w:instrText>
          </w:r>
          <w:r>
            <w:rPr>
              <w:sz w:val="21"/>
              <w:szCs w:val="28"/>
            </w:rPr>
            <w:fldChar w:fldCharType="separate"/>
          </w:r>
          <w:r>
            <w:rPr>
              <w:rFonts w:hint="eastAsia" w:ascii="宋体" w:hAnsi="宋体" w:eastAsia="宋体" w:cs="宋体"/>
              <w:bCs/>
              <w:spacing w:val="6"/>
              <w:sz w:val="21"/>
              <w:szCs w:val="32"/>
              <w:highlight w:val="none"/>
            </w:rPr>
            <w:t>3.</w:t>
          </w:r>
          <w:r>
            <w:rPr>
              <w:rFonts w:hint="eastAsia" w:ascii="宋体" w:hAnsi="宋体" w:eastAsia="宋体" w:cs="宋体"/>
              <w:bCs/>
              <w:spacing w:val="6"/>
              <w:sz w:val="21"/>
              <w:szCs w:val="32"/>
              <w:highlight w:val="none"/>
              <w:lang w:val="en-US"/>
            </w:rPr>
            <w:t xml:space="preserve"> </w:t>
          </w:r>
          <w:r>
            <w:rPr>
              <w:rFonts w:hint="eastAsia" w:ascii="宋体" w:hAnsi="宋体" w:eastAsia="宋体" w:cs="宋体"/>
              <w:bCs/>
              <w:spacing w:val="6"/>
              <w:sz w:val="21"/>
              <w:szCs w:val="32"/>
              <w:highlight w:val="none"/>
            </w:rPr>
            <w:t>投标文件</w:t>
          </w:r>
          <w:r>
            <w:rPr>
              <w:sz w:val="21"/>
              <w:szCs w:val="21"/>
            </w:rPr>
            <w:tab/>
          </w:r>
          <w:r>
            <w:rPr>
              <w:sz w:val="21"/>
              <w:szCs w:val="21"/>
            </w:rPr>
            <w:fldChar w:fldCharType="begin"/>
          </w:r>
          <w:r>
            <w:rPr>
              <w:sz w:val="21"/>
              <w:szCs w:val="21"/>
            </w:rPr>
            <w:instrText xml:space="preserve"> PAGEREF _Toc1452 \h </w:instrText>
          </w:r>
          <w:r>
            <w:rPr>
              <w:sz w:val="21"/>
              <w:szCs w:val="21"/>
            </w:rPr>
            <w:fldChar w:fldCharType="separate"/>
          </w:r>
          <w:r>
            <w:rPr>
              <w:sz w:val="21"/>
              <w:szCs w:val="21"/>
            </w:rPr>
            <w:t>16</w:t>
          </w:r>
          <w:r>
            <w:rPr>
              <w:sz w:val="21"/>
              <w:szCs w:val="21"/>
            </w:rPr>
            <w:fldChar w:fldCharType="end"/>
          </w:r>
          <w:r>
            <w:rPr>
              <w:sz w:val="21"/>
              <w:szCs w:val="28"/>
            </w:rPr>
            <w:fldChar w:fldCharType="end"/>
          </w:r>
        </w:p>
        <w:p w14:paraId="13FE2E98">
          <w:pPr>
            <w:pStyle w:val="20"/>
            <w:tabs>
              <w:tab w:val="right" w:leader="dot" w:pos="9072"/>
            </w:tabs>
            <w:rPr>
              <w:sz w:val="21"/>
              <w:szCs w:val="21"/>
            </w:rPr>
          </w:pPr>
          <w:r>
            <w:rPr>
              <w:sz w:val="21"/>
              <w:szCs w:val="28"/>
            </w:rPr>
            <w:fldChar w:fldCharType="begin"/>
          </w:r>
          <w:r>
            <w:rPr>
              <w:sz w:val="21"/>
              <w:szCs w:val="28"/>
            </w:rPr>
            <w:instrText xml:space="preserve"> HYPERLINK \l _Toc20598 </w:instrText>
          </w:r>
          <w:r>
            <w:rPr>
              <w:sz w:val="21"/>
              <w:szCs w:val="28"/>
            </w:rPr>
            <w:fldChar w:fldCharType="separate"/>
          </w:r>
          <w:r>
            <w:rPr>
              <w:rFonts w:hint="eastAsia" w:ascii="宋体" w:hAnsi="宋体" w:eastAsia="宋体" w:cs="宋体"/>
              <w:bCs/>
              <w:spacing w:val="6"/>
              <w:sz w:val="21"/>
              <w:szCs w:val="32"/>
              <w:highlight w:val="none"/>
            </w:rPr>
            <w:t>4.</w:t>
          </w:r>
          <w:r>
            <w:rPr>
              <w:rFonts w:hint="eastAsia" w:ascii="宋体" w:hAnsi="宋体" w:eastAsia="宋体" w:cs="宋体"/>
              <w:bCs/>
              <w:spacing w:val="6"/>
              <w:sz w:val="21"/>
              <w:szCs w:val="32"/>
              <w:highlight w:val="none"/>
              <w:lang w:val="en-US"/>
            </w:rPr>
            <w:t xml:space="preserve"> </w:t>
          </w:r>
          <w:r>
            <w:rPr>
              <w:rFonts w:hint="eastAsia" w:ascii="宋体" w:hAnsi="宋体" w:eastAsia="宋体" w:cs="宋体"/>
              <w:bCs/>
              <w:spacing w:val="6"/>
              <w:sz w:val="21"/>
              <w:szCs w:val="32"/>
              <w:highlight w:val="none"/>
            </w:rPr>
            <w:t>投标</w:t>
          </w:r>
          <w:r>
            <w:rPr>
              <w:sz w:val="21"/>
              <w:szCs w:val="21"/>
            </w:rPr>
            <w:tab/>
          </w:r>
          <w:r>
            <w:rPr>
              <w:sz w:val="21"/>
              <w:szCs w:val="21"/>
            </w:rPr>
            <w:fldChar w:fldCharType="begin"/>
          </w:r>
          <w:r>
            <w:rPr>
              <w:sz w:val="21"/>
              <w:szCs w:val="21"/>
            </w:rPr>
            <w:instrText xml:space="preserve"> PAGEREF _Toc20598 \h </w:instrText>
          </w:r>
          <w:r>
            <w:rPr>
              <w:sz w:val="21"/>
              <w:szCs w:val="21"/>
            </w:rPr>
            <w:fldChar w:fldCharType="separate"/>
          </w:r>
          <w:r>
            <w:rPr>
              <w:sz w:val="21"/>
              <w:szCs w:val="21"/>
            </w:rPr>
            <w:t>18</w:t>
          </w:r>
          <w:r>
            <w:rPr>
              <w:sz w:val="21"/>
              <w:szCs w:val="21"/>
            </w:rPr>
            <w:fldChar w:fldCharType="end"/>
          </w:r>
          <w:r>
            <w:rPr>
              <w:sz w:val="21"/>
              <w:szCs w:val="28"/>
            </w:rPr>
            <w:fldChar w:fldCharType="end"/>
          </w:r>
        </w:p>
        <w:p w14:paraId="7D02FA94">
          <w:pPr>
            <w:pStyle w:val="20"/>
            <w:tabs>
              <w:tab w:val="right" w:leader="dot" w:pos="9072"/>
            </w:tabs>
            <w:rPr>
              <w:sz w:val="21"/>
              <w:szCs w:val="21"/>
            </w:rPr>
          </w:pPr>
          <w:r>
            <w:rPr>
              <w:sz w:val="21"/>
              <w:szCs w:val="28"/>
            </w:rPr>
            <w:fldChar w:fldCharType="begin"/>
          </w:r>
          <w:r>
            <w:rPr>
              <w:sz w:val="21"/>
              <w:szCs w:val="28"/>
            </w:rPr>
            <w:instrText xml:space="preserve"> HYPERLINK \l _Toc10182 </w:instrText>
          </w:r>
          <w:r>
            <w:rPr>
              <w:sz w:val="21"/>
              <w:szCs w:val="28"/>
            </w:rPr>
            <w:fldChar w:fldCharType="separate"/>
          </w:r>
          <w:r>
            <w:rPr>
              <w:rFonts w:hint="eastAsia" w:ascii="宋体" w:hAnsi="宋体" w:eastAsia="宋体" w:cs="宋体"/>
              <w:bCs/>
              <w:spacing w:val="6"/>
              <w:sz w:val="21"/>
              <w:szCs w:val="32"/>
              <w:highlight w:val="none"/>
            </w:rPr>
            <w:t>5.</w:t>
          </w:r>
          <w:r>
            <w:rPr>
              <w:rFonts w:hint="eastAsia" w:ascii="宋体" w:hAnsi="宋体" w:eastAsia="宋体" w:cs="宋体"/>
              <w:bCs/>
              <w:spacing w:val="6"/>
              <w:sz w:val="21"/>
              <w:szCs w:val="32"/>
              <w:highlight w:val="none"/>
              <w:lang w:val="en-US"/>
            </w:rPr>
            <w:t xml:space="preserve"> </w:t>
          </w:r>
          <w:r>
            <w:rPr>
              <w:rFonts w:hint="eastAsia" w:ascii="宋体" w:hAnsi="宋体" w:eastAsia="宋体" w:cs="宋体"/>
              <w:bCs/>
              <w:spacing w:val="6"/>
              <w:sz w:val="21"/>
              <w:szCs w:val="32"/>
              <w:highlight w:val="none"/>
            </w:rPr>
            <w:t>开标</w:t>
          </w:r>
          <w:r>
            <w:rPr>
              <w:sz w:val="21"/>
              <w:szCs w:val="21"/>
            </w:rPr>
            <w:tab/>
          </w:r>
          <w:r>
            <w:rPr>
              <w:sz w:val="21"/>
              <w:szCs w:val="21"/>
            </w:rPr>
            <w:fldChar w:fldCharType="begin"/>
          </w:r>
          <w:r>
            <w:rPr>
              <w:sz w:val="21"/>
              <w:szCs w:val="21"/>
            </w:rPr>
            <w:instrText xml:space="preserve"> PAGEREF _Toc10182 \h </w:instrText>
          </w:r>
          <w:r>
            <w:rPr>
              <w:sz w:val="21"/>
              <w:szCs w:val="21"/>
            </w:rPr>
            <w:fldChar w:fldCharType="separate"/>
          </w:r>
          <w:r>
            <w:rPr>
              <w:sz w:val="21"/>
              <w:szCs w:val="21"/>
            </w:rPr>
            <w:t>19</w:t>
          </w:r>
          <w:r>
            <w:rPr>
              <w:sz w:val="21"/>
              <w:szCs w:val="21"/>
            </w:rPr>
            <w:fldChar w:fldCharType="end"/>
          </w:r>
          <w:r>
            <w:rPr>
              <w:sz w:val="21"/>
              <w:szCs w:val="28"/>
            </w:rPr>
            <w:fldChar w:fldCharType="end"/>
          </w:r>
        </w:p>
        <w:p w14:paraId="3A82EB88">
          <w:pPr>
            <w:pStyle w:val="20"/>
            <w:tabs>
              <w:tab w:val="right" w:leader="dot" w:pos="9072"/>
            </w:tabs>
            <w:rPr>
              <w:sz w:val="21"/>
              <w:szCs w:val="21"/>
            </w:rPr>
          </w:pPr>
          <w:r>
            <w:rPr>
              <w:sz w:val="21"/>
              <w:szCs w:val="28"/>
            </w:rPr>
            <w:fldChar w:fldCharType="begin"/>
          </w:r>
          <w:r>
            <w:rPr>
              <w:sz w:val="21"/>
              <w:szCs w:val="28"/>
            </w:rPr>
            <w:instrText xml:space="preserve"> HYPERLINK \l _Toc10948 </w:instrText>
          </w:r>
          <w:r>
            <w:rPr>
              <w:sz w:val="21"/>
              <w:szCs w:val="28"/>
            </w:rPr>
            <w:fldChar w:fldCharType="separate"/>
          </w:r>
          <w:r>
            <w:rPr>
              <w:rFonts w:hint="eastAsia" w:ascii="宋体" w:hAnsi="宋体" w:eastAsia="宋体" w:cs="宋体"/>
              <w:bCs/>
              <w:spacing w:val="6"/>
              <w:sz w:val="21"/>
              <w:szCs w:val="32"/>
              <w:highlight w:val="none"/>
              <w:lang w:val="en-US"/>
            </w:rPr>
            <w:t>6. 资格审查与评标</w:t>
          </w:r>
          <w:r>
            <w:rPr>
              <w:sz w:val="21"/>
              <w:szCs w:val="21"/>
            </w:rPr>
            <w:tab/>
          </w:r>
          <w:r>
            <w:rPr>
              <w:sz w:val="21"/>
              <w:szCs w:val="21"/>
            </w:rPr>
            <w:fldChar w:fldCharType="begin"/>
          </w:r>
          <w:r>
            <w:rPr>
              <w:sz w:val="21"/>
              <w:szCs w:val="21"/>
            </w:rPr>
            <w:instrText xml:space="preserve"> PAGEREF _Toc10948 \h </w:instrText>
          </w:r>
          <w:r>
            <w:rPr>
              <w:sz w:val="21"/>
              <w:szCs w:val="21"/>
            </w:rPr>
            <w:fldChar w:fldCharType="separate"/>
          </w:r>
          <w:r>
            <w:rPr>
              <w:sz w:val="21"/>
              <w:szCs w:val="21"/>
            </w:rPr>
            <w:t>19</w:t>
          </w:r>
          <w:r>
            <w:rPr>
              <w:sz w:val="21"/>
              <w:szCs w:val="21"/>
            </w:rPr>
            <w:fldChar w:fldCharType="end"/>
          </w:r>
          <w:r>
            <w:rPr>
              <w:sz w:val="21"/>
              <w:szCs w:val="28"/>
            </w:rPr>
            <w:fldChar w:fldCharType="end"/>
          </w:r>
        </w:p>
        <w:p w14:paraId="6AB66963">
          <w:pPr>
            <w:pStyle w:val="20"/>
            <w:tabs>
              <w:tab w:val="right" w:leader="dot" w:pos="9072"/>
            </w:tabs>
            <w:rPr>
              <w:sz w:val="21"/>
              <w:szCs w:val="21"/>
            </w:rPr>
          </w:pPr>
          <w:r>
            <w:rPr>
              <w:sz w:val="21"/>
              <w:szCs w:val="28"/>
            </w:rPr>
            <w:fldChar w:fldCharType="begin"/>
          </w:r>
          <w:r>
            <w:rPr>
              <w:sz w:val="21"/>
              <w:szCs w:val="28"/>
            </w:rPr>
            <w:instrText xml:space="preserve"> HYPERLINK \l _Toc14126 </w:instrText>
          </w:r>
          <w:r>
            <w:rPr>
              <w:sz w:val="21"/>
              <w:szCs w:val="28"/>
            </w:rPr>
            <w:fldChar w:fldCharType="separate"/>
          </w:r>
          <w:r>
            <w:rPr>
              <w:rFonts w:hint="eastAsia" w:ascii="宋体" w:hAnsi="宋体" w:eastAsia="宋体" w:cs="宋体"/>
              <w:bCs/>
              <w:spacing w:val="6"/>
              <w:sz w:val="21"/>
              <w:szCs w:val="32"/>
              <w:highlight w:val="none"/>
              <w:lang w:val="en-US"/>
            </w:rPr>
            <w:t>7. 定标及合同授予</w:t>
          </w:r>
          <w:r>
            <w:rPr>
              <w:sz w:val="21"/>
              <w:szCs w:val="21"/>
            </w:rPr>
            <w:tab/>
          </w:r>
          <w:r>
            <w:rPr>
              <w:sz w:val="21"/>
              <w:szCs w:val="21"/>
            </w:rPr>
            <w:fldChar w:fldCharType="begin"/>
          </w:r>
          <w:r>
            <w:rPr>
              <w:sz w:val="21"/>
              <w:szCs w:val="21"/>
            </w:rPr>
            <w:instrText xml:space="preserve"> PAGEREF _Toc14126 \h </w:instrText>
          </w:r>
          <w:r>
            <w:rPr>
              <w:sz w:val="21"/>
              <w:szCs w:val="21"/>
            </w:rPr>
            <w:fldChar w:fldCharType="separate"/>
          </w:r>
          <w:r>
            <w:rPr>
              <w:sz w:val="21"/>
              <w:szCs w:val="21"/>
            </w:rPr>
            <w:t>21</w:t>
          </w:r>
          <w:r>
            <w:rPr>
              <w:sz w:val="21"/>
              <w:szCs w:val="21"/>
            </w:rPr>
            <w:fldChar w:fldCharType="end"/>
          </w:r>
          <w:r>
            <w:rPr>
              <w:sz w:val="21"/>
              <w:szCs w:val="28"/>
            </w:rPr>
            <w:fldChar w:fldCharType="end"/>
          </w:r>
        </w:p>
        <w:p w14:paraId="08BEB581">
          <w:pPr>
            <w:pStyle w:val="20"/>
            <w:tabs>
              <w:tab w:val="right" w:leader="dot" w:pos="9072"/>
            </w:tabs>
            <w:rPr>
              <w:sz w:val="21"/>
              <w:szCs w:val="21"/>
            </w:rPr>
          </w:pPr>
          <w:r>
            <w:rPr>
              <w:sz w:val="21"/>
              <w:szCs w:val="28"/>
            </w:rPr>
            <w:fldChar w:fldCharType="begin"/>
          </w:r>
          <w:r>
            <w:rPr>
              <w:sz w:val="21"/>
              <w:szCs w:val="28"/>
            </w:rPr>
            <w:instrText xml:space="preserve"> HYPERLINK \l _Toc305 </w:instrText>
          </w:r>
          <w:r>
            <w:rPr>
              <w:sz w:val="21"/>
              <w:szCs w:val="28"/>
            </w:rPr>
            <w:fldChar w:fldCharType="separate"/>
          </w:r>
          <w:r>
            <w:rPr>
              <w:rFonts w:hint="eastAsia" w:ascii="宋体" w:hAnsi="宋体" w:eastAsia="宋体" w:cs="宋体"/>
              <w:bCs/>
              <w:spacing w:val="6"/>
              <w:sz w:val="21"/>
              <w:szCs w:val="32"/>
              <w:highlight w:val="none"/>
            </w:rPr>
            <w:t>8.</w:t>
          </w:r>
          <w:r>
            <w:rPr>
              <w:rFonts w:hint="eastAsia" w:ascii="宋体" w:hAnsi="宋体" w:eastAsia="宋体" w:cs="宋体"/>
              <w:bCs/>
              <w:spacing w:val="6"/>
              <w:sz w:val="21"/>
              <w:szCs w:val="32"/>
              <w:highlight w:val="none"/>
              <w:lang w:val="en-US"/>
            </w:rPr>
            <w:t xml:space="preserve"> </w:t>
          </w:r>
          <w:r>
            <w:rPr>
              <w:rFonts w:hint="eastAsia" w:ascii="宋体" w:hAnsi="宋体" w:eastAsia="宋体" w:cs="宋体"/>
              <w:bCs/>
              <w:spacing w:val="6"/>
              <w:sz w:val="21"/>
              <w:szCs w:val="32"/>
              <w:highlight w:val="none"/>
            </w:rPr>
            <w:t>纪律和监督</w:t>
          </w:r>
          <w:r>
            <w:rPr>
              <w:sz w:val="21"/>
              <w:szCs w:val="21"/>
            </w:rPr>
            <w:tab/>
          </w:r>
          <w:r>
            <w:rPr>
              <w:sz w:val="21"/>
              <w:szCs w:val="21"/>
            </w:rPr>
            <w:fldChar w:fldCharType="begin"/>
          </w:r>
          <w:r>
            <w:rPr>
              <w:sz w:val="21"/>
              <w:szCs w:val="21"/>
            </w:rPr>
            <w:instrText xml:space="preserve"> PAGEREF _Toc305 \h </w:instrText>
          </w:r>
          <w:r>
            <w:rPr>
              <w:sz w:val="21"/>
              <w:szCs w:val="21"/>
            </w:rPr>
            <w:fldChar w:fldCharType="separate"/>
          </w:r>
          <w:r>
            <w:rPr>
              <w:sz w:val="21"/>
              <w:szCs w:val="21"/>
            </w:rPr>
            <w:t>22</w:t>
          </w:r>
          <w:r>
            <w:rPr>
              <w:sz w:val="21"/>
              <w:szCs w:val="21"/>
            </w:rPr>
            <w:fldChar w:fldCharType="end"/>
          </w:r>
          <w:r>
            <w:rPr>
              <w:sz w:val="21"/>
              <w:szCs w:val="28"/>
            </w:rPr>
            <w:fldChar w:fldCharType="end"/>
          </w:r>
        </w:p>
        <w:p w14:paraId="2FEEF70D">
          <w:pPr>
            <w:pStyle w:val="20"/>
            <w:tabs>
              <w:tab w:val="right" w:leader="dot" w:pos="9072"/>
            </w:tabs>
            <w:rPr>
              <w:sz w:val="21"/>
              <w:szCs w:val="21"/>
            </w:rPr>
          </w:pPr>
          <w:r>
            <w:rPr>
              <w:sz w:val="21"/>
              <w:szCs w:val="28"/>
            </w:rPr>
            <w:fldChar w:fldCharType="begin"/>
          </w:r>
          <w:r>
            <w:rPr>
              <w:sz w:val="21"/>
              <w:szCs w:val="28"/>
            </w:rPr>
            <w:instrText xml:space="preserve"> HYPERLINK \l _Toc1812 </w:instrText>
          </w:r>
          <w:r>
            <w:rPr>
              <w:sz w:val="21"/>
              <w:szCs w:val="28"/>
            </w:rPr>
            <w:fldChar w:fldCharType="separate"/>
          </w:r>
          <w:r>
            <w:rPr>
              <w:rFonts w:hint="eastAsia" w:ascii="宋体" w:hAnsi="宋体" w:eastAsia="宋体" w:cs="宋体"/>
              <w:bCs/>
              <w:spacing w:val="6"/>
              <w:sz w:val="21"/>
              <w:szCs w:val="32"/>
              <w:highlight w:val="none"/>
              <w:lang w:val="en-US" w:eastAsia="zh-CN"/>
            </w:rPr>
            <w:t>9</w:t>
          </w:r>
          <w:r>
            <w:rPr>
              <w:rFonts w:hint="eastAsia" w:ascii="宋体" w:hAnsi="宋体" w:eastAsia="宋体" w:cs="宋体"/>
              <w:bCs/>
              <w:spacing w:val="6"/>
              <w:sz w:val="21"/>
              <w:szCs w:val="32"/>
              <w:highlight w:val="none"/>
            </w:rPr>
            <w:t>.</w:t>
          </w:r>
          <w:r>
            <w:rPr>
              <w:rFonts w:hint="eastAsia" w:ascii="宋体" w:hAnsi="宋体" w:eastAsia="宋体" w:cs="宋体"/>
              <w:bCs/>
              <w:spacing w:val="6"/>
              <w:sz w:val="21"/>
              <w:szCs w:val="32"/>
              <w:highlight w:val="none"/>
              <w:lang w:val="en-US"/>
            </w:rPr>
            <w:t xml:space="preserve"> </w:t>
          </w:r>
          <w:r>
            <w:rPr>
              <w:rFonts w:hint="eastAsia" w:ascii="宋体" w:hAnsi="宋体" w:eastAsia="宋体" w:cs="宋体"/>
              <w:bCs/>
              <w:spacing w:val="6"/>
              <w:sz w:val="21"/>
              <w:szCs w:val="32"/>
              <w:highlight w:val="none"/>
              <w:lang w:val="en-US" w:eastAsia="zh-CN"/>
            </w:rPr>
            <w:t>投标人信用查询</w:t>
          </w:r>
          <w:r>
            <w:rPr>
              <w:sz w:val="21"/>
              <w:szCs w:val="21"/>
            </w:rPr>
            <w:tab/>
          </w:r>
          <w:r>
            <w:rPr>
              <w:sz w:val="21"/>
              <w:szCs w:val="21"/>
            </w:rPr>
            <w:fldChar w:fldCharType="begin"/>
          </w:r>
          <w:r>
            <w:rPr>
              <w:sz w:val="21"/>
              <w:szCs w:val="21"/>
            </w:rPr>
            <w:instrText xml:space="preserve"> PAGEREF _Toc1812 \h </w:instrText>
          </w:r>
          <w:r>
            <w:rPr>
              <w:sz w:val="21"/>
              <w:szCs w:val="21"/>
            </w:rPr>
            <w:fldChar w:fldCharType="separate"/>
          </w:r>
          <w:r>
            <w:rPr>
              <w:sz w:val="21"/>
              <w:szCs w:val="21"/>
            </w:rPr>
            <w:t>24</w:t>
          </w:r>
          <w:r>
            <w:rPr>
              <w:sz w:val="21"/>
              <w:szCs w:val="21"/>
            </w:rPr>
            <w:fldChar w:fldCharType="end"/>
          </w:r>
          <w:r>
            <w:rPr>
              <w:sz w:val="21"/>
              <w:szCs w:val="28"/>
            </w:rPr>
            <w:fldChar w:fldCharType="end"/>
          </w:r>
        </w:p>
        <w:p w14:paraId="42C12E8A">
          <w:pPr>
            <w:pStyle w:val="20"/>
            <w:tabs>
              <w:tab w:val="right" w:leader="dot" w:pos="9072"/>
            </w:tabs>
            <w:rPr>
              <w:sz w:val="21"/>
              <w:szCs w:val="21"/>
            </w:rPr>
          </w:pPr>
          <w:r>
            <w:rPr>
              <w:sz w:val="21"/>
              <w:szCs w:val="28"/>
            </w:rPr>
            <w:fldChar w:fldCharType="begin"/>
          </w:r>
          <w:r>
            <w:rPr>
              <w:sz w:val="21"/>
              <w:szCs w:val="28"/>
            </w:rPr>
            <w:instrText xml:space="preserve"> HYPERLINK \l _Toc29842 </w:instrText>
          </w:r>
          <w:r>
            <w:rPr>
              <w:sz w:val="21"/>
              <w:szCs w:val="28"/>
            </w:rPr>
            <w:fldChar w:fldCharType="separate"/>
          </w:r>
          <w:r>
            <w:rPr>
              <w:rFonts w:hint="eastAsia" w:ascii="宋体" w:hAnsi="宋体" w:eastAsia="宋体" w:cs="宋体"/>
              <w:bCs/>
              <w:spacing w:val="6"/>
              <w:sz w:val="21"/>
              <w:szCs w:val="32"/>
              <w:highlight w:val="none"/>
            </w:rPr>
            <w:t>1</w:t>
          </w:r>
          <w:r>
            <w:rPr>
              <w:rFonts w:hint="eastAsia" w:ascii="宋体" w:hAnsi="宋体" w:eastAsia="宋体" w:cs="宋体"/>
              <w:bCs/>
              <w:spacing w:val="6"/>
              <w:sz w:val="21"/>
              <w:szCs w:val="32"/>
              <w:highlight w:val="none"/>
              <w:lang w:val="en-US" w:eastAsia="zh-CN"/>
            </w:rPr>
            <w:t>0</w:t>
          </w:r>
          <w:r>
            <w:rPr>
              <w:rFonts w:hint="eastAsia" w:ascii="宋体" w:hAnsi="宋体" w:eastAsia="宋体" w:cs="宋体"/>
              <w:bCs/>
              <w:spacing w:val="6"/>
              <w:sz w:val="21"/>
              <w:szCs w:val="32"/>
              <w:highlight w:val="none"/>
            </w:rPr>
            <w:t>.</w:t>
          </w:r>
          <w:r>
            <w:rPr>
              <w:rFonts w:hint="eastAsia" w:ascii="宋体" w:hAnsi="宋体" w:eastAsia="宋体" w:cs="宋体"/>
              <w:bCs/>
              <w:spacing w:val="6"/>
              <w:sz w:val="21"/>
              <w:szCs w:val="32"/>
              <w:highlight w:val="none"/>
              <w:lang w:val="en-US"/>
            </w:rPr>
            <w:t xml:space="preserve"> </w:t>
          </w:r>
          <w:r>
            <w:rPr>
              <w:rFonts w:hint="eastAsia" w:ascii="宋体" w:hAnsi="宋体" w:eastAsia="宋体" w:cs="宋体"/>
              <w:bCs/>
              <w:spacing w:val="6"/>
              <w:sz w:val="21"/>
              <w:szCs w:val="32"/>
              <w:highlight w:val="none"/>
              <w:lang w:val="en-US" w:eastAsia="zh-CN"/>
            </w:rPr>
            <w:t>解释权</w:t>
          </w:r>
          <w:r>
            <w:rPr>
              <w:sz w:val="21"/>
              <w:szCs w:val="21"/>
            </w:rPr>
            <w:tab/>
          </w:r>
          <w:r>
            <w:rPr>
              <w:sz w:val="21"/>
              <w:szCs w:val="21"/>
            </w:rPr>
            <w:fldChar w:fldCharType="begin"/>
          </w:r>
          <w:r>
            <w:rPr>
              <w:sz w:val="21"/>
              <w:szCs w:val="21"/>
            </w:rPr>
            <w:instrText xml:space="preserve"> PAGEREF _Toc29842 \h </w:instrText>
          </w:r>
          <w:r>
            <w:rPr>
              <w:sz w:val="21"/>
              <w:szCs w:val="21"/>
            </w:rPr>
            <w:fldChar w:fldCharType="separate"/>
          </w:r>
          <w:r>
            <w:rPr>
              <w:sz w:val="21"/>
              <w:szCs w:val="21"/>
            </w:rPr>
            <w:t>24</w:t>
          </w:r>
          <w:r>
            <w:rPr>
              <w:sz w:val="21"/>
              <w:szCs w:val="21"/>
            </w:rPr>
            <w:fldChar w:fldCharType="end"/>
          </w:r>
          <w:r>
            <w:rPr>
              <w:sz w:val="21"/>
              <w:szCs w:val="28"/>
            </w:rPr>
            <w:fldChar w:fldCharType="end"/>
          </w:r>
        </w:p>
        <w:p w14:paraId="3FC222E1">
          <w:pPr>
            <w:pStyle w:val="20"/>
            <w:tabs>
              <w:tab w:val="right" w:leader="dot" w:pos="9072"/>
            </w:tabs>
            <w:rPr>
              <w:sz w:val="21"/>
              <w:szCs w:val="21"/>
            </w:rPr>
          </w:pPr>
          <w:r>
            <w:rPr>
              <w:sz w:val="21"/>
              <w:szCs w:val="28"/>
            </w:rPr>
            <w:fldChar w:fldCharType="begin"/>
          </w:r>
          <w:r>
            <w:rPr>
              <w:sz w:val="21"/>
              <w:szCs w:val="28"/>
            </w:rPr>
            <w:instrText xml:space="preserve"> HYPERLINK \l _Toc28117 </w:instrText>
          </w:r>
          <w:r>
            <w:rPr>
              <w:sz w:val="21"/>
              <w:szCs w:val="28"/>
            </w:rPr>
            <w:fldChar w:fldCharType="separate"/>
          </w:r>
          <w:r>
            <w:rPr>
              <w:rFonts w:hint="eastAsia" w:ascii="宋体" w:hAnsi="宋体" w:eastAsia="宋体" w:cs="宋体"/>
              <w:bCs/>
              <w:spacing w:val="6"/>
              <w:sz w:val="21"/>
              <w:szCs w:val="32"/>
              <w:highlight w:val="none"/>
            </w:rPr>
            <w:t>1</w:t>
          </w:r>
          <w:r>
            <w:rPr>
              <w:rFonts w:hint="eastAsia" w:ascii="宋体" w:hAnsi="宋体" w:eastAsia="宋体" w:cs="宋体"/>
              <w:bCs/>
              <w:spacing w:val="6"/>
              <w:sz w:val="21"/>
              <w:szCs w:val="32"/>
              <w:highlight w:val="none"/>
              <w:lang w:val="en-US" w:eastAsia="zh-CN"/>
            </w:rPr>
            <w:t>1</w:t>
          </w:r>
          <w:r>
            <w:rPr>
              <w:rFonts w:hint="eastAsia" w:ascii="宋体" w:hAnsi="宋体" w:eastAsia="宋体" w:cs="宋体"/>
              <w:bCs/>
              <w:spacing w:val="6"/>
              <w:sz w:val="21"/>
              <w:szCs w:val="32"/>
              <w:highlight w:val="none"/>
            </w:rPr>
            <w:t>.</w:t>
          </w:r>
          <w:r>
            <w:rPr>
              <w:rFonts w:hint="eastAsia" w:ascii="宋体" w:hAnsi="宋体" w:eastAsia="宋体" w:cs="宋体"/>
              <w:bCs/>
              <w:spacing w:val="6"/>
              <w:sz w:val="21"/>
              <w:szCs w:val="32"/>
              <w:highlight w:val="none"/>
              <w:lang w:val="en-US"/>
            </w:rPr>
            <w:t xml:space="preserve"> </w:t>
          </w:r>
          <w:r>
            <w:rPr>
              <w:rFonts w:hint="eastAsia" w:ascii="宋体" w:hAnsi="宋体" w:eastAsia="宋体" w:cs="宋体"/>
              <w:bCs/>
              <w:spacing w:val="6"/>
              <w:sz w:val="21"/>
              <w:szCs w:val="32"/>
              <w:highlight w:val="none"/>
            </w:rPr>
            <w:t>需要补充的其他内容</w:t>
          </w:r>
          <w:r>
            <w:rPr>
              <w:sz w:val="21"/>
              <w:szCs w:val="21"/>
            </w:rPr>
            <w:tab/>
          </w:r>
          <w:r>
            <w:rPr>
              <w:sz w:val="21"/>
              <w:szCs w:val="21"/>
            </w:rPr>
            <w:fldChar w:fldCharType="begin"/>
          </w:r>
          <w:r>
            <w:rPr>
              <w:sz w:val="21"/>
              <w:szCs w:val="21"/>
            </w:rPr>
            <w:instrText xml:space="preserve"> PAGEREF _Toc28117 \h </w:instrText>
          </w:r>
          <w:r>
            <w:rPr>
              <w:sz w:val="21"/>
              <w:szCs w:val="21"/>
            </w:rPr>
            <w:fldChar w:fldCharType="separate"/>
          </w:r>
          <w:r>
            <w:rPr>
              <w:sz w:val="21"/>
              <w:szCs w:val="21"/>
            </w:rPr>
            <w:t>24</w:t>
          </w:r>
          <w:r>
            <w:rPr>
              <w:sz w:val="21"/>
              <w:szCs w:val="21"/>
            </w:rPr>
            <w:fldChar w:fldCharType="end"/>
          </w:r>
          <w:r>
            <w:rPr>
              <w:sz w:val="21"/>
              <w:szCs w:val="28"/>
            </w:rPr>
            <w:fldChar w:fldCharType="end"/>
          </w:r>
        </w:p>
        <w:p w14:paraId="5B385D50">
          <w:pPr>
            <w:pStyle w:val="18"/>
            <w:tabs>
              <w:tab w:val="right" w:leader="dot" w:pos="9072"/>
            </w:tabs>
            <w:rPr>
              <w:sz w:val="21"/>
              <w:szCs w:val="21"/>
            </w:rPr>
          </w:pPr>
          <w:r>
            <w:rPr>
              <w:sz w:val="21"/>
              <w:szCs w:val="28"/>
            </w:rPr>
            <w:fldChar w:fldCharType="begin"/>
          </w:r>
          <w:r>
            <w:rPr>
              <w:sz w:val="21"/>
              <w:szCs w:val="28"/>
            </w:rPr>
            <w:instrText xml:space="preserve"> HYPERLINK \l _Toc14465 </w:instrText>
          </w:r>
          <w:r>
            <w:rPr>
              <w:sz w:val="21"/>
              <w:szCs w:val="28"/>
            </w:rPr>
            <w:fldChar w:fldCharType="separate"/>
          </w:r>
          <w:r>
            <w:rPr>
              <w:rFonts w:hint="eastAsia" w:ascii="宋体" w:hAnsi="宋体" w:eastAsia="宋体" w:cs="宋体"/>
              <w:sz w:val="21"/>
              <w:szCs w:val="21"/>
              <w:highlight w:val="none"/>
            </w:rPr>
            <w:t>第三章 采购需求</w:t>
          </w:r>
          <w:r>
            <w:rPr>
              <w:sz w:val="21"/>
              <w:szCs w:val="21"/>
            </w:rPr>
            <w:tab/>
          </w:r>
          <w:r>
            <w:rPr>
              <w:sz w:val="21"/>
              <w:szCs w:val="21"/>
            </w:rPr>
            <w:fldChar w:fldCharType="begin"/>
          </w:r>
          <w:r>
            <w:rPr>
              <w:sz w:val="21"/>
              <w:szCs w:val="21"/>
            </w:rPr>
            <w:instrText xml:space="preserve"> PAGEREF _Toc14465 \h </w:instrText>
          </w:r>
          <w:r>
            <w:rPr>
              <w:sz w:val="21"/>
              <w:szCs w:val="21"/>
            </w:rPr>
            <w:fldChar w:fldCharType="separate"/>
          </w:r>
          <w:r>
            <w:rPr>
              <w:sz w:val="21"/>
              <w:szCs w:val="21"/>
            </w:rPr>
            <w:t>31</w:t>
          </w:r>
          <w:r>
            <w:rPr>
              <w:sz w:val="21"/>
              <w:szCs w:val="21"/>
            </w:rPr>
            <w:fldChar w:fldCharType="end"/>
          </w:r>
          <w:r>
            <w:rPr>
              <w:sz w:val="21"/>
              <w:szCs w:val="28"/>
            </w:rPr>
            <w:fldChar w:fldCharType="end"/>
          </w:r>
        </w:p>
        <w:p w14:paraId="32691A1F">
          <w:pPr>
            <w:pStyle w:val="18"/>
            <w:tabs>
              <w:tab w:val="right" w:leader="dot" w:pos="9072"/>
            </w:tabs>
            <w:rPr>
              <w:sz w:val="21"/>
              <w:szCs w:val="21"/>
            </w:rPr>
          </w:pPr>
          <w:r>
            <w:rPr>
              <w:sz w:val="21"/>
              <w:szCs w:val="28"/>
            </w:rPr>
            <w:fldChar w:fldCharType="begin"/>
          </w:r>
          <w:r>
            <w:rPr>
              <w:sz w:val="21"/>
              <w:szCs w:val="28"/>
            </w:rPr>
            <w:instrText xml:space="preserve"> HYPERLINK \l _Toc14569 </w:instrText>
          </w:r>
          <w:r>
            <w:rPr>
              <w:sz w:val="21"/>
              <w:szCs w:val="28"/>
            </w:rPr>
            <w:fldChar w:fldCharType="separate"/>
          </w:r>
          <w:r>
            <w:rPr>
              <w:rFonts w:hint="eastAsia" w:ascii="宋体" w:hAnsi="宋体" w:eastAsia="宋体" w:cs="宋体"/>
              <w:bCs/>
              <w:spacing w:val="6"/>
              <w:sz w:val="21"/>
              <w:szCs w:val="36"/>
              <w:highlight w:val="none"/>
              <w:lang w:eastAsia="zh-CN"/>
            </w:rPr>
            <w:t>第四章 合 同(样本)</w:t>
          </w:r>
          <w:r>
            <w:rPr>
              <w:sz w:val="21"/>
              <w:szCs w:val="21"/>
            </w:rPr>
            <w:tab/>
          </w:r>
          <w:r>
            <w:rPr>
              <w:sz w:val="21"/>
              <w:szCs w:val="21"/>
            </w:rPr>
            <w:fldChar w:fldCharType="begin"/>
          </w:r>
          <w:r>
            <w:rPr>
              <w:sz w:val="21"/>
              <w:szCs w:val="21"/>
            </w:rPr>
            <w:instrText xml:space="preserve"> PAGEREF _Toc14569 \h </w:instrText>
          </w:r>
          <w:r>
            <w:rPr>
              <w:sz w:val="21"/>
              <w:szCs w:val="21"/>
            </w:rPr>
            <w:fldChar w:fldCharType="separate"/>
          </w:r>
          <w:r>
            <w:rPr>
              <w:sz w:val="21"/>
              <w:szCs w:val="21"/>
            </w:rPr>
            <w:t>48</w:t>
          </w:r>
          <w:r>
            <w:rPr>
              <w:sz w:val="21"/>
              <w:szCs w:val="21"/>
            </w:rPr>
            <w:fldChar w:fldCharType="end"/>
          </w:r>
          <w:r>
            <w:rPr>
              <w:sz w:val="21"/>
              <w:szCs w:val="28"/>
            </w:rPr>
            <w:fldChar w:fldCharType="end"/>
          </w:r>
        </w:p>
        <w:p w14:paraId="3D5E69C3">
          <w:pPr>
            <w:pStyle w:val="18"/>
            <w:tabs>
              <w:tab w:val="right" w:leader="dot" w:pos="9072"/>
            </w:tabs>
            <w:rPr>
              <w:sz w:val="21"/>
              <w:szCs w:val="21"/>
            </w:rPr>
          </w:pPr>
          <w:r>
            <w:rPr>
              <w:sz w:val="21"/>
              <w:szCs w:val="28"/>
            </w:rPr>
            <w:fldChar w:fldCharType="begin"/>
          </w:r>
          <w:r>
            <w:rPr>
              <w:sz w:val="21"/>
              <w:szCs w:val="28"/>
            </w:rPr>
            <w:instrText xml:space="preserve"> HYPERLINK \l _Toc11176 </w:instrText>
          </w:r>
          <w:r>
            <w:rPr>
              <w:sz w:val="21"/>
              <w:szCs w:val="28"/>
            </w:rPr>
            <w:fldChar w:fldCharType="separate"/>
          </w:r>
          <w:r>
            <w:rPr>
              <w:rFonts w:hint="eastAsia" w:ascii="宋体" w:hAnsi="宋体" w:eastAsia="宋体" w:cs="宋体"/>
              <w:bCs/>
              <w:spacing w:val="6"/>
              <w:kern w:val="28"/>
              <w:sz w:val="21"/>
              <w:szCs w:val="21"/>
              <w:highlight w:val="none"/>
              <w:lang w:val="zh-CN" w:bidi="en-US"/>
            </w:rPr>
            <w:t>第</w:t>
          </w:r>
          <w:r>
            <w:rPr>
              <w:rFonts w:hint="eastAsia" w:ascii="宋体" w:hAnsi="宋体" w:eastAsia="宋体" w:cs="宋体"/>
              <w:bCs/>
              <w:spacing w:val="6"/>
              <w:kern w:val="28"/>
              <w:sz w:val="21"/>
              <w:szCs w:val="21"/>
              <w:highlight w:val="none"/>
              <w:lang w:bidi="en-US"/>
            </w:rPr>
            <w:t>五</w:t>
          </w:r>
          <w:r>
            <w:rPr>
              <w:rFonts w:hint="eastAsia" w:ascii="宋体" w:hAnsi="宋体" w:eastAsia="宋体" w:cs="宋体"/>
              <w:bCs/>
              <w:spacing w:val="6"/>
              <w:kern w:val="28"/>
              <w:sz w:val="21"/>
              <w:szCs w:val="21"/>
              <w:highlight w:val="none"/>
              <w:lang w:val="zh-CN" w:bidi="en-US"/>
            </w:rPr>
            <w:t>章</w:t>
          </w:r>
          <w:r>
            <w:rPr>
              <w:rFonts w:hint="eastAsia" w:ascii="宋体" w:hAnsi="宋体" w:eastAsia="宋体" w:cs="宋体"/>
              <w:bCs/>
              <w:spacing w:val="6"/>
              <w:kern w:val="28"/>
              <w:sz w:val="21"/>
              <w:szCs w:val="21"/>
              <w:highlight w:val="none"/>
              <w:lang w:bidi="en-US"/>
            </w:rPr>
            <w:t xml:space="preserve"> 评标</w:t>
          </w:r>
          <w:r>
            <w:rPr>
              <w:rFonts w:hint="eastAsia" w:ascii="宋体" w:hAnsi="宋体" w:eastAsia="宋体" w:cs="宋体"/>
              <w:bCs/>
              <w:spacing w:val="6"/>
              <w:kern w:val="28"/>
              <w:sz w:val="21"/>
              <w:szCs w:val="21"/>
              <w:highlight w:val="none"/>
              <w:lang w:val="zh-CN" w:bidi="en-US"/>
            </w:rPr>
            <w:t>办法</w:t>
          </w:r>
          <w:r>
            <w:rPr>
              <w:sz w:val="21"/>
              <w:szCs w:val="21"/>
            </w:rPr>
            <w:tab/>
          </w:r>
          <w:r>
            <w:rPr>
              <w:sz w:val="21"/>
              <w:szCs w:val="21"/>
            </w:rPr>
            <w:fldChar w:fldCharType="begin"/>
          </w:r>
          <w:r>
            <w:rPr>
              <w:sz w:val="21"/>
              <w:szCs w:val="21"/>
            </w:rPr>
            <w:instrText xml:space="preserve"> PAGEREF _Toc11176 \h </w:instrText>
          </w:r>
          <w:r>
            <w:rPr>
              <w:sz w:val="21"/>
              <w:szCs w:val="21"/>
            </w:rPr>
            <w:fldChar w:fldCharType="separate"/>
          </w:r>
          <w:r>
            <w:rPr>
              <w:sz w:val="21"/>
              <w:szCs w:val="21"/>
            </w:rPr>
            <w:t>56</w:t>
          </w:r>
          <w:r>
            <w:rPr>
              <w:sz w:val="21"/>
              <w:szCs w:val="21"/>
            </w:rPr>
            <w:fldChar w:fldCharType="end"/>
          </w:r>
          <w:r>
            <w:rPr>
              <w:sz w:val="21"/>
              <w:szCs w:val="28"/>
            </w:rPr>
            <w:fldChar w:fldCharType="end"/>
          </w:r>
        </w:p>
        <w:p w14:paraId="39C6305C">
          <w:pPr>
            <w:pStyle w:val="20"/>
            <w:tabs>
              <w:tab w:val="right" w:leader="dot" w:pos="9072"/>
            </w:tabs>
            <w:rPr>
              <w:sz w:val="21"/>
              <w:szCs w:val="21"/>
            </w:rPr>
          </w:pPr>
          <w:r>
            <w:rPr>
              <w:sz w:val="21"/>
              <w:szCs w:val="28"/>
            </w:rPr>
            <w:fldChar w:fldCharType="begin"/>
          </w:r>
          <w:r>
            <w:rPr>
              <w:sz w:val="21"/>
              <w:szCs w:val="28"/>
            </w:rPr>
            <w:instrText xml:space="preserve"> HYPERLINK \l _Toc26419 </w:instrText>
          </w:r>
          <w:r>
            <w:rPr>
              <w:sz w:val="21"/>
              <w:szCs w:val="28"/>
            </w:rPr>
            <w:fldChar w:fldCharType="separate"/>
          </w:r>
          <w:r>
            <w:rPr>
              <w:rFonts w:hint="eastAsia" w:ascii="宋体" w:hAnsi="宋体" w:eastAsia="宋体" w:cs="宋体"/>
              <w:bCs/>
              <w:spacing w:val="6"/>
              <w:sz w:val="21"/>
              <w:szCs w:val="32"/>
              <w:highlight w:val="none"/>
            </w:rPr>
            <w:t>评标办法前附表</w:t>
          </w:r>
          <w:r>
            <w:rPr>
              <w:sz w:val="21"/>
              <w:szCs w:val="21"/>
            </w:rPr>
            <w:tab/>
          </w:r>
          <w:r>
            <w:rPr>
              <w:sz w:val="21"/>
              <w:szCs w:val="21"/>
            </w:rPr>
            <w:fldChar w:fldCharType="begin"/>
          </w:r>
          <w:r>
            <w:rPr>
              <w:sz w:val="21"/>
              <w:szCs w:val="21"/>
            </w:rPr>
            <w:instrText xml:space="preserve"> PAGEREF _Toc26419 \h </w:instrText>
          </w:r>
          <w:r>
            <w:rPr>
              <w:sz w:val="21"/>
              <w:szCs w:val="21"/>
            </w:rPr>
            <w:fldChar w:fldCharType="separate"/>
          </w:r>
          <w:r>
            <w:rPr>
              <w:sz w:val="21"/>
              <w:szCs w:val="21"/>
            </w:rPr>
            <w:t>56</w:t>
          </w:r>
          <w:r>
            <w:rPr>
              <w:sz w:val="21"/>
              <w:szCs w:val="21"/>
            </w:rPr>
            <w:fldChar w:fldCharType="end"/>
          </w:r>
          <w:r>
            <w:rPr>
              <w:sz w:val="21"/>
              <w:szCs w:val="28"/>
            </w:rPr>
            <w:fldChar w:fldCharType="end"/>
          </w:r>
        </w:p>
        <w:p w14:paraId="2215D253">
          <w:pPr>
            <w:pStyle w:val="20"/>
            <w:tabs>
              <w:tab w:val="right" w:leader="dot" w:pos="9072"/>
            </w:tabs>
            <w:rPr>
              <w:sz w:val="21"/>
              <w:szCs w:val="21"/>
            </w:rPr>
          </w:pPr>
          <w:r>
            <w:rPr>
              <w:sz w:val="21"/>
              <w:szCs w:val="28"/>
            </w:rPr>
            <w:fldChar w:fldCharType="begin"/>
          </w:r>
          <w:r>
            <w:rPr>
              <w:sz w:val="21"/>
              <w:szCs w:val="28"/>
            </w:rPr>
            <w:instrText xml:space="preserve"> HYPERLINK \l _Toc27180 </w:instrText>
          </w:r>
          <w:r>
            <w:rPr>
              <w:sz w:val="21"/>
              <w:szCs w:val="28"/>
            </w:rPr>
            <w:fldChar w:fldCharType="separate"/>
          </w:r>
          <w:r>
            <w:rPr>
              <w:rFonts w:hint="eastAsia" w:ascii="宋体" w:hAnsi="宋体" w:eastAsia="宋体" w:cs="宋体"/>
              <w:bCs/>
              <w:spacing w:val="6"/>
              <w:sz w:val="21"/>
              <w:szCs w:val="32"/>
              <w:highlight w:val="none"/>
            </w:rPr>
            <w:t>1.</w:t>
          </w:r>
          <w:r>
            <w:rPr>
              <w:rFonts w:hint="eastAsia" w:ascii="宋体" w:hAnsi="宋体" w:eastAsia="宋体" w:cs="宋体"/>
              <w:bCs/>
              <w:spacing w:val="6"/>
              <w:sz w:val="21"/>
              <w:szCs w:val="32"/>
              <w:highlight w:val="none"/>
              <w:lang w:val="en-US"/>
            </w:rPr>
            <w:t xml:space="preserve"> </w:t>
          </w:r>
          <w:r>
            <w:rPr>
              <w:rFonts w:hint="eastAsia" w:ascii="宋体" w:hAnsi="宋体" w:eastAsia="宋体" w:cs="宋体"/>
              <w:bCs/>
              <w:spacing w:val="6"/>
              <w:sz w:val="21"/>
              <w:szCs w:val="32"/>
              <w:highlight w:val="none"/>
            </w:rPr>
            <w:t>资格审查与评标方法</w:t>
          </w:r>
          <w:r>
            <w:rPr>
              <w:sz w:val="21"/>
              <w:szCs w:val="21"/>
            </w:rPr>
            <w:tab/>
          </w:r>
          <w:r>
            <w:rPr>
              <w:sz w:val="21"/>
              <w:szCs w:val="21"/>
            </w:rPr>
            <w:fldChar w:fldCharType="begin"/>
          </w:r>
          <w:r>
            <w:rPr>
              <w:sz w:val="21"/>
              <w:szCs w:val="21"/>
            </w:rPr>
            <w:instrText xml:space="preserve"> PAGEREF _Toc27180 \h </w:instrText>
          </w:r>
          <w:r>
            <w:rPr>
              <w:sz w:val="21"/>
              <w:szCs w:val="21"/>
            </w:rPr>
            <w:fldChar w:fldCharType="separate"/>
          </w:r>
          <w:r>
            <w:rPr>
              <w:sz w:val="21"/>
              <w:szCs w:val="21"/>
            </w:rPr>
            <w:t>59</w:t>
          </w:r>
          <w:r>
            <w:rPr>
              <w:sz w:val="21"/>
              <w:szCs w:val="21"/>
            </w:rPr>
            <w:fldChar w:fldCharType="end"/>
          </w:r>
          <w:r>
            <w:rPr>
              <w:sz w:val="21"/>
              <w:szCs w:val="28"/>
            </w:rPr>
            <w:fldChar w:fldCharType="end"/>
          </w:r>
        </w:p>
        <w:p w14:paraId="67C0C62F">
          <w:pPr>
            <w:pStyle w:val="20"/>
            <w:tabs>
              <w:tab w:val="right" w:leader="dot" w:pos="9072"/>
            </w:tabs>
            <w:rPr>
              <w:sz w:val="21"/>
              <w:szCs w:val="21"/>
            </w:rPr>
          </w:pPr>
          <w:r>
            <w:rPr>
              <w:sz w:val="21"/>
              <w:szCs w:val="28"/>
            </w:rPr>
            <w:fldChar w:fldCharType="begin"/>
          </w:r>
          <w:r>
            <w:rPr>
              <w:sz w:val="21"/>
              <w:szCs w:val="28"/>
            </w:rPr>
            <w:instrText xml:space="preserve"> HYPERLINK \l _Toc11683 </w:instrText>
          </w:r>
          <w:r>
            <w:rPr>
              <w:sz w:val="21"/>
              <w:szCs w:val="28"/>
            </w:rPr>
            <w:fldChar w:fldCharType="separate"/>
          </w:r>
          <w:r>
            <w:rPr>
              <w:rFonts w:hint="eastAsia" w:ascii="宋体" w:hAnsi="宋体" w:eastAsia="宋体" w:cs="宋体"/>
              <w:bCs/>
              <w:spacing w:val="6"/>
              <w:sz w:val="21"/>
              <w:szCs w:val="32"/>
              <w:highlight w:val="none"/>
            </w:rPr>
            <w:t>2.</w:t>
          </w:r>
          <w:r>
            <w:rPr>
              <w:rFonts w:hint="eastAsia" w:ascii="宋体" w:hAnsi="宋体" w:eastAsia="宋体" w:cs="宋体"/>
              <w:bCs/>
              <w:spacing w:val="6"/>
              <w:sz w:val="21"/>
              <w:szCs w:val="32"/>
              <w:highlight w:val="none"/>
              <w:lang w:val="en-US"/>
            </w:rPr>
            <w:t xml:space="preserve"> </w:t>
          </w:r>
          <w:r>
            <w:rPr>
              <w:rFonts w:hint="eastAsia" w:ascii="宋体" w:hAnsi="宋体" w:eastAsia="宋体" w:cs="宋体"/>
              <w:bCs/>
              <w:spacing w:val="6"/>
              <w:sz w:val="21"/>
              <w:szCs w:val="32"/>
              <w:highlight w:val="none"/>
            </w:rPr>
            <w:t>资格审查与评审标准</w:t>
          </w:r>
          <w:r>
            <w:rPr>
              <w:sz w:val="21"/>
              <w:szCs w:val="21"/>
            </w:rPr>
            <w:tab/>
          </w:r>
          <w:r>
            <w:rPr>
              <w:sz w:val="21"/>
              <w:szCs w:val="21"/>
            </w:rPr>
            <w:fldChar w:fldCharType="begin"/>
          </w:r>
          <w:r>
            <w:rPr>
              <w:sz w:val="21"/>
              <w:szCs w:val="21"/>
            </w:rPr>
            <w:instrText xml:space="preserve"> PAGEREF _Toc11683 \h </w:instrText>
          </w:r>
          <w:r>
            <w:rPr>
              <w:sz w:val="21"/>
              <w:szCs w:val="21"/>
            </w:rPr>
            <w:fldChar w:fldCharType="separate"/>
          </w:r>
          <w:r>
            <w:rPr>
              <w:sz w:val="21"/>
              <w:szCs w:val="21"/>
            </w:rPr>
            <w:t>59</w:t>
          </w:r>
          <w:r>
            <w:rPr>
              <w:sz w:val="21"/>
              <w:szCs w:val="21"/>
            </w:rPr>
            <w:fldChar w:fldCharType="end"/>
          </w:r>
          <w:r>
            <w:rPr>
              <w:sz w:val="21"/>
              <w:szCs w:val="28"/>
            </w:rPr>
            <w:fldChar w:fldCharType="end"/>
          </w:r>
        </w:p>
        <w:p w14:paraId="3417CBF2">
          <w:pPr>
            <w:pStyle w:val="20"/>
            <w:tabs>
              <w:tab w:val="right" w:leader="dot" w:pos="9072"/>
            </w:tabs>
            <w:rPr>
              <w:sz w:val="21"/>
              <w:szCs w:val="21"/>
            </w:rPr>
          </w:pPr>
          <w:r>
            <w:rPr>
              <w:sz w:val="21"/>
              <w:szCs w:val="28"/>
            </w:rPr>
            <w:fldChar w:fldCharType="begin"/>
          </w:r>
          <w:r>
            <w:rPr>
              <w:sz w:val="21"/>
              <w:szCs w:val="28"/>
            </w:rPr>
            <w:instrText xml:space="preserve"> HYPERLINK \l _Toc30342 </w:instrText>
          </w:r>
          <w:r>
            <w:rPr>
              <w:sz w:val="21"/>
              <w:szCs w:val="28"/>
            </w:rPr>
            <w:fldChar w:fldCharType="separate"/>
          </w:r>
          <w:r>
            <w:rPr>
              <w:rFonts w:hint="eastAsia" w:ascii="宋体" w:hAnsi="宋体" w:eastAsia="宋体" w:cs="宋体"/>
              <w:bCs/>
              <w:spacing w:val="6"/>
              <w:sz w:val="21"/>
              <w:szCs w:val="32"/>
              <w:highlight w:val="none"/>
            </w:rPr>
            <w:t>3.</w:t>
          </w:r>
          <w:r>
            <w:rPr>
              <w:rFonts w:hint="eastAsia" w:ascii="宋体" w:hAnsi="宋体" w:eastAsia="宋体" w:cs="宋体"/>
              <w:bCs/>
              <w:spacing w:val="6"/>
              <w:sz w:val="21"/>
              <w:szCs w:val="32"/>
              <w:highlight w:val="none"/>
              <w:lang w:val="en-US"/>
            </w:rPr>
            <w:t xml:space="preserve"> </w:t>
          </w:r>
          <w:r>
            <w:rPr>
              <w:rFonts w:hint="eastAsia" w:ascii="宋体" w:hAnsi="宋体" w:eastAsia="宋体" w:cs="宋体"/>
              <w:bCs/>
              <w:spacing w:val="6"/>
              <w:sz w:val="21"/>
              <w:szCs w:val="32"/>
              <w:highlight w:val="none"/>
            </w:rPr>
            <w:t>资格审查与评标程序</w:t>
          </w:r>
          <w:r>
            <w:rPr>
              <w:sz w:val="21"/>
              <w:szCs w:val="21"/>
            </w:rPr>
            <w:tab/>
          </w:r>
          <w:r>
            <w:rPr>
              <w:sz w:val="21"/>
              <w:szCs w:val="21"/>
            </w:rPr>
            <w:fldChar w:fldCharType="begin"/>
          </w:r>
          <w:r>
            <w:rPr>
              <w:sz w:val="21"/>
              <w:szCs w:val="21"/>
            </w:rPr>
            <w:instrText xml:space="preserve"> PAGEREF _Toc30342 \h </w:instrText>
          </w:r>
          <w:r>
            <w:rPr>
              <w:sz w:val="21"/>
              <w:szCs w:val="21"/>
            </w:rPr>
            <w:fldChar w:fldCharType="separate"/>
          </w:r>
          <w:r>
            <w:rPr>
              <w:sz w:val="21"/>
              <w:szCs w:val="21"/>
            </w:rPr>
            <w:t>60</w:t>
          </w:r>
          <w:r>
            <w:rPr>
              <w:sz w:val="21"/>
              <w:szCs w:val="21"/>
            </w:rPr>
            <w:fldChar w:fldCharType="end"/>
          </w:r>
          <w:r>
            <w:rPr>
              <w:sz w:val="21"/>
              <w:szCs w:val="28"/>
            </w:rPr>
            <w:fldChar w:fldCharType="end"/>
          </w:r>
        </w:p>
        <w:p w14:paraId="4C80EB7A">
          <w:pPr>
            <w:pStyle w:val="18"/>
            <w:tabs>
              <w:tab w:val="right" w:leader="dot" w:pos="9072"/>
            </w:tabs>
            <w:rPr>
              <w:sz w:val="21"/>
              <w:szCs w:val="21"/>
            </w:rPr>
          </w:pPr>
          <w:r>
            <w:rPr>
              <w:sz w:val="21"/>
              <w:szCs w:val="28"/>
            </w:rPr>
            <w:fldChar w:fldCharType="begin"/>
          </w:r>
          <w:r>
            <w:rPr>
              <w:sz w:val="21"/>
              <w:szCs w:val="28"/>
            </w:rPr>
            <w:instrText xml:space="preserve"> HYPERLINK \l _Toc14524 </w:instrText>
          </w:r>
          <w:r>
            <w:rPr>
              <w:sz w:val="21"/>
              <w:szCs w:val="28"/>
            </w:rPr>
            <w:fldChar w:fldCharType="separate"/>
          </w:r>
          <w:r>
            <w:rPr>
              <w:rFonts w:hint="eastAsia" w:ascii="宋体" w:hAnsi="宋体" w:eastAsia="宋体" w:cs="宋体"/>
              <w:bCs/>
              <w:spacing w:val="6"/>
              <w:sz w:val="21"/>
              <w:szCs w:val="36"/>
              <w:highlight w:val="none"/>
              <w:lang w:eastAsia="zh-CN"/>
            </w:rPr>
            <w:t>第六章 投标文件格式</w:t>
          </w:r>
          <w:r>
            <w:rPr>
              <w:sz w:val="21"/>
              <w:szCs w:val="21"/>
            </w:rPr>
            <w:tab/>
          </w:r>
          <w:r>
            <w:rPr>
              <w:sz w:val="21"/>
              <w:szCs w:val="21"/>
            </w:rPr>
            <w:fldChar w:fldCharType="begin"/>
          </w:r>
          <w:r>
            <w:rPr>
              <w:sz w:val="21"/>
              <w:szCs w:val="21"/>
            </w:rPr>
            <w:instrText xml:space="preserve"> PAGEREF _Toc14524 \h </w:instrText>
          </w:r>
          <w:r>
            <w:rPr>
              <w:sz w:val="21"/>
              <w:szCs w:val="21"/>
            </w:rPr>
            <w:fldChar w:fldCharType="separate"/>
          </w:r>
          <w:r>
            <w:rPr>
              <w:sz w:val="21"/>
              <w:szCs w:val="21"/>
            </w:rPr>
            <w:t>62</w:t>
          </w:r>
          <w:r>
            <w:rPr>
              <w:sz w:val="21"/>
              <w:szCs w:val="21"/>
            </w:rPr>
            <w:fldChar w:fldCharType="end"/>
          </w:r>
          <w:r>
            <w:rPr>
              <w:sz w:val="21"/>
              <w:szCs w:val="28"/>
            </w:rPr>
            <w:fldChar w:fldCharType="end"/>
          </w:r>
        </w:p>
        <w:p w14:paraId="43F9EBBE">
          <w:pPr>
            <w:pStyle w:val="20"/>
            <w:tabs>
              <w:tab w:val="right" w:leader="dot" w:pos="9072"/>
            </w:tabs>
            <w:rPr>
              <w:sz w:val="21"/>
              <w:szCs w:val="21"/>
            </w:rPr>
          </w:pPr>
          <w:r>
            <w:rPr>
              <w:sz w:val="21"/>
              <w:szCs w:val="28"/>
            </w:rPr>
            <w:fldChar w:fldCharType="begin"/>
          </w:r>
          <w:r>
            <w:rPr>
              <w:sz w:val="21"/>
              <w:szCs w:val="28"/>
            </w:rPr>
            <w:instrText xml:space="preserve"> HYPERLINK \l _Toc22383 </w:instrText>
          </w:r>
          <w:r>
            <w:rPr>
              <w:sz w:val="21"/>
              <w:szCs w:val="28"/>
            </w:rPr>
            <w:fldChar w:fldCharType="separate"/>
          </w:r>
          <w:r>
            <w:rPr>
              <w:rFonts w:hint="eastAsia" w:ascii="宋体" w:hAnsi="宋体" w:eastAsia="宋体" w:cs="宋体"/>
              <w:bCs w:val="0"/>
              <w:spacing w:val="6"/>
              <w:sz w:val="21"/>
              <w:szCs w:val="32"/>
              <w:highlight w:val="none"/>
              <w:lang w:val="en-US" w:eastAsia="zh-CN"/>
            </w:rPr>
            <w:t>一、</w:t>
          </w:r>
          <w:r>
            <w:rPr>
              <w:rFonts w:hint="eastAsia" w:ascii="宋体" w:hAnsi="宋体" w:eastAsia="宋体" w:cs="宋体"/>
              <w:bCs w:val="0"/>
              <w:spacing w:val="6"/>
              <w:sz w:val="21"/>
              <w:szCs w:val="32"/>
              <w:highlight w:val="none"/>
            </w:rPr>
            <w:t>投标函</w:t>
          </w:r>
          <w:r>
            <w:rPr>
              <w:sz w:val="21"/>
              <w:szCs w:val="21"/>
            </w:rPr>
            <w:tab/>
          </w:r>
          <w:r>
            <w:rPr>
              <w:sz w:val="21"/>
              <w:szCs w:val="21"/>
            </w:rPr>
            <w:fldChar w:fldCharType="begin"/>
          </w:r>
          <w:r>
            <w:rPr>
              <w:sz w:val="21"/>
              <w:szCs w:val="21"/>
            </w:rPr>
            <w:instrText xml:space="preserve"> PAGEREF _Toc22383 \h </w:instrText>
          </w:r>
          <w:r>
            <w:rPr>
              <w:sz w:val="21"/>
              <w:szCs w:val="21"/>
            </w:rPr>
            <w:fldChar w:fldCharType="separate"/>
          </w:r>
          <w:r>
            <w:rPr>
              <w:sz w:val="21"/>
              <w:szCs w:val="21"/>
            </w:rPr>
            <w:t>65</w:t>
          </w:r>
          <w:r>
            <w:rPr>
              <w:sz w:val="21"/>
              <w:szCs w:val="21"/>
            </w:rPr>
            <w:fldChar w:fldCharType="end"/>
          </w:r>
          <w:r>
            <w:rPr>
              <w:sz w:val="21"/>
              <w:szCs w:val="28"/>
            </w:rPr>
            <w:fldChar w:fldCharType="end"/>
          </w:r>
        </w:p>
        <w:p w14:paraId="5BEAD0BE">
          <w:pPr>
            <w:pStyle w:val="20"/>
            <w:tabs>
              <w:tab w:val="right" w:leader="dot" w:pos="9072"/>
            </w:tabs>
            <w:rPr>
              <w:sz w:val="21"/>
              <w:szCs w:val="21"/>
            </w:rPr>
          </w:pPr>
          <w:r>
            <w:rPr>
              <w:sz w:val="21"/>
              <w:szCs w:val="28"/>
            </w:rPr>
            <w:fldChar w:fldCharType="begin"/>
          </w:r>
          <w:r>
            <w:rPr>
              <w:sz w:val="21"/>
              <w:szCs w:val="28"/>
            </w:rPr>
            <w:instrText xml:space="preserve"> HYPERLINK \l _Toc22404 </w:instrText>
          </w:r>
          <w:r>
            <w:rPr>
              <w:sz w:val="21"/>
              <w:szCs w:val="28"/>
            </w:rPr>
            <w:fldChar w:fldCharType="separate"/>
          </w:r>
          <w:r>
            <w:rPr>
              <w:rFonts w:hint="eastAsia" w:ascii="宋体" w:hAnsi="宋体" w:eastAsia="宋体" w:cs="宋体"/>
              <w:bCs w:val="0"/>
              <w:spacing w:val="6"/>
              <w:sz w:val="21"/>
              <w:szCs w:val="32"/>
              <w:highlight w:val="none"/>
              <w:lang w:val="en-US" w:eastAsia="zh-CN"/>
            </w:rPr>
            <w:t>二、</w:t>
          </w:r>
          <w:r>
            <w:rPr>
              <w:rFonts w:hint="eastAsia" w:ascii="宋体" w:hAnsi="宋体" w:eastAsia="宋体" w:cs="宋体"/>
              <w:bCs w:val="0"/>
              <w:spacing w:val="6"/>
              <w:sz w:val="21"/>
              <w:szCs w:val="32"/>
              <w:highlight w:val="none"/>
            </w:rPr>
            <w:t>开标一览表</w:t>
          </w:r>
          <w:r>
            <w:rPr>
              <w:sz w:val="21"/>
              <w:szCs w:val="21"/>
            </w:rPr>
            <w:tab/>
          </w:r>
          <w:r>
            <w:rPr>
              <w:sz w:val="21"/>
              <w:szCs w:val="21"/>
            </w:rPr>
            <w:fldChar w:fldCharType="begin"/>
          </w:r>
          <w:r>
            <w:rPr>
              <w:sz w:val="21"/>
              <w:szCs w:val="21"/>
            </w:rPr>
            <w:instrText xml:space="preserve"> PAGEREF _Toc22404 \h </w:instrText>
          </w:r>
          <w:r>
            <w:rPr>
              <w:sz w:val="21"/>
              <w:szCs w:val="21"/>
            </w:rPr>
            <w:fldChar w:fldCharType="separate"/>
          </w:r>
          <w:r>
            <w:rPr>
              <w:sz w:val="21"/>
              <w:szCs w:val="21"/>
            </w:rPr>
            <w:t>67</w:t>
          </w:r>
          <w:r>
            <w:rPr>
              <w:sz w:val="21"/>
              <w:szCs w:val="21"/>
            </w:rPr>
            <w:fldChar w:fldCharType="end"/>
          </w:r>
          <w:r>
            <w:rPr>
              <w:sz w:val="21"/>
              <w:szCs w:val="28"/>
            </w:rPr>
            <w:fldChar w:fldCharType="end"/>
          </w:r>
        </w:p>
        <w:p w14:paraId="68588FCE">
          <w:pPr>
            <w:pStyle w:val="20"/>
            <w:tabs>
              <w:tab w:val="right" w:leader="dot" w:pos="9072"/>
            </w:tabs>
            <w:rPr>
              <w:sz w:val="21"/>
              <w:szCs w:val="21"/>
            </w:rPr>
          </w:pPr>
          <w:r>
            <w:rPr>
              <w:sz w:val="21"/>
              <w:szCs w:val="28"/>
            </w:rPr>
            <w:fldChar w:fldCharType="begin"/>
          </w:r>
          <w:r>
            <w:rPr>
              <w:sz w:val="21"/>
              <w:szCs w:val="28"/>
            </w:rPr>
            <w:instrText xml:space="preserve"> HYPERLINK \l _Toc24101 </w:instrText>
          </w:r>
          <w:r>
            <w:rPr>
              <w:sz w:val="21"/>
              <w:szCs w:val="28"/>
            </w:rPr>
            <w:fldChar w:fldCharType="separate"/>
          </w:r>
          <w:r>
            <w:rPr>
              <w:rFonts w:hint="eastAsia" w:ascii="宋体" w:hAnsi="宋体" w:eastAsia="宋体" w:cs="宋体"/>
              <w:bCs w:val="0"/>
              <w:spacing w:val="6"/>
              <w:sz w:val="21"/>
              <w:szCs w:val="32"/>
              <w:highlight w:val="none"/>
              <w:lang w:val="en-US" w:eastAsia="zh-CN"/>
            </w:rPr>
            <w:t>三、报价</w:t>
          </w:r>
          <w:r>
            <w:rPr>
              <w:rFonts w:hint="eastAsia" w:ascii="宋体" w:hAnsi="宋体" w:eastAsia="宋体" w:cs="宋体"/>
              <w:bCs w:val="0"/>
              <w:spacing w:val="6"/>
              <w:sz w:val="21"/>
              <w:szCs w:val="32"/>
              <w:highlight w:val="none"/>
            </w:rPr>
            <w:t>明细表</w:t>
          </w:r>
          <w:r>
            <w:rPr>
              <w:sz w:val="21"/>
              <w:szCs w:val="21"/>
            </w:rPr>
            <w:tab/>
          </w:r>
          <w:r>
            <w:rPr>
              <w:sz w:val="21"/>
              <w:szCs w:val="21"/>
            </w:rPr>
            <w:fldChar w:fldCharType="begin"/>
          </w:r>
          <w:r>
            <w:rPr>
              <w:sz w:val="21"/>
              <w:szCs w:val="21"/>
            </w:rPr>
            <w:instrText xml:space="preserve"> PAGEREF _Toc24101 \h </w:instrText>
          </w:r>
          <w:r>
            <w:rPr>
              <w:sz w:val="21"/>
              <w:szCs w:val="21"/>
            </w:rPr>
            <w:fldChar w:fldCharType="separate"/>
          </w:r>
          <w:r>
            <w:rPr>
              <w:sz w:val="21"/>
              <w:szCs w:val="21"/>
            </w:rPr>
            <w:t>68</w:t>
          </w:r>
          <w:r>
            <w:rPr>
              <w:sz w:val="21"/>
              <w:szCs w:val="21"/>
            </w:rPr>
            <w:fldChar w:fldCharType="end"/>
          </w:r>
          <w:r>
            <w:rPr>
              <w:sz w:val="21"/>
              <w:szCs w:val="28"/>
            </w:rPr>
            <w:fldChar w:fldCharType="end"/>
          </w:r>
        </w:p>
        <w:p w14:paraId="3A583929">
          <w:pPr>
            <w:pStyle w:val="20"/>
            <w:tabs>
              <w:tab w:val="right" w:leader="dot" w:pos="9072"/>
            </w:tabs>
            <w:rPr>
              <w:sz w:val="21"/>
              <w:szCs w:val="21"/>
            </w:rPr>
          </w:pPr>
          <w:r>
            <w:rPr>
              <w:sz w:val="21"/>
              <w:szCs w:val="28"/>
            </w:rPr>
            <w:fldChar w:fldCharType="begin"/>
          </w:r>
          <w:r>
            <w:rPr>
              <w:sz w:val="21"/>
              <w:szCs w:val="28"/>
            </w:rPr>
            <w:instrText xml:space="preserve"> HYPERLINK \l _Toc9044 </w:instrText>
          </w:r>
          <w:r>
            <w:rPr>
              <w:sz w:val="21"/>
              <w:szCs w:val="28"/>
            </w:rPr>
            <w:fldChar w:fldCharType="separate"/>
          </w:r>
          <w:r>
            <w:rPr>
              <w:rFonts w:hint="eastAsia" w:ascii="宋体" w:hAnsi="宋体" w:eastAsia="宋体" w:cs="宋体"/>
              <w:bCs w:val="0"/>
              <w:spacing w:val="6"/>
              <w:sz w:val="21"/>
              <w:szCs w:val="32"/>
              <w:highlight w:val="none"/>
              <w:lang w:val="en-US" w:eastAsia="zh-CN"/>
            </w:rPr>
            <w:t>四、法定代表人授权委托书</w:t>
          </w:r>
          <w:r>
            <w:rPr>
              <w:sz w:val="21"/>
              <w:szCs w:val="21"/>
            </w:rPr>
            <w:tab/>
          </w:r>
          <w:r>
            <w:rPr>
              <w:sz w:val="21"/>
              <w:szCs w:val="21"/>
            </w:rPr>
            <w:fldChar w:fldCharType="begin"/>
          </w:r>
          <w:r>
            <w:rPr>
              <w:sz w:val="21"/>
              <w:szCs w:val="21"/>
            </w:rPr>
            <w:instrText xml:space="preserve"> PAGEREF _Toc9044 \h </w:instrText>
          </w:r>
          <w:r>
            <w:rPr>
              <w:sz w:val="21"/>
              <w:szCs w:val="21"/>
            </w:rPr>
            <w:fldChar w:fldCharType="separate"/>
          </w:r>
          <w:r>
            <w:rPr>
              <w:sz w:val="21"/>
              <w:szCs w:val="21"/>
            </w:rPr>
            <w:t>69</w:t>
          </w:r>
          <w:r>
            <w:rPr>
              <w:sz w:val="21"/>
              <w:szCs w:val="21"/>
            </w:rPr>
            <w:fldChar w:fldCharType="end"/>
          </w:r>
          <w:r>
            <w:rPr>
              <w:sz w:val="21"/>
              <w:szCs w:val="28"/>
            </w:rPr>
            <w:fldChar w:fldCharType="end"/>
          </w:r>
        </w:p>
        <w:p w14:paraId="0B028807">
          <w:pPr>
            <w:pStyle w:val="20"/>
            <w:tabs>
              <w:tab w:val="right" w:leader="dot" w:pos="9072"/>
            </w:tabs>
            <w:rPr>
              <w:sz w:val="21"/>
              <w:szCs w:val="21"/>
            </w:rPr>
          </w:pPr>
          <w:r>
            <w:rPr>
              <w:sz w:val="21"/>
              <w:szCs w:val="28"/>
            </w:rPr>
            <w:fldChar w:fldCharType="begin"/>
          </w:r>
          <w:r>
            <w:rPr>
              <w:sz w:val="21"/>
              <w:szCs w:val="28"/>
            </w:rPr>
            <w:instrText xml:space="preserve"> HYPERLINK \l _Toc16260 </w:instrText>
          </w:r>
          <w:r>
            <w:rPr>
              <w:sz w:val="21"/>
              <w:szCs w:val="28"/>
            </w:rPr>
            <w:fldChar w:fldCharType="separate"/>
          </w:r>
          <w:r>
            <w:rPr>
              <w:rFonts w:hint="eastAsia" w:ascii="宋体" w:hAnsi="宋体" w:eastAsia="宋体" w:cs="宋体"/>
              <w:bCs w:val="0"/>
              <w:spacing w:val="6"/>
              <w:sz w:val="21"/>
              <w:szCs w:val="32"/>
              <w:highlight w:val="none"/>
              <w:lang w:val="en-US" w:eastAsia="zh-CN"/>
            </w:rPr>
            <w:t>五、投标承诺函</w:t>
          </w:r>
          <w:r>
            <w:rPr>
              <w:sz w:val="21"/>
              <w:szCs w:val="21"/>
            </w:rPr>
            <w:tab/>
          </w:r>
          <w:r>
            <w:rPr>
              <w:sz w:val="21"/>
              <w:szCs w:val="21"/>
            </w:rPr>
            <w:fldChar w:fldCharType="begin"/>
          </w:r>
          <w:r>
            <w:rPr>
              <w:sz w:val="21"/>
              <w:szCs w:val="21"/>
            </w:rPr>
            <w:instrText xml:space="preserve"> PAGEREF _Toc16260 \h </w:instrText>
          </w:r>
          <w:r>
            <w:rPr>
              <w:sz w:val="21"/>
              <w:szCs w:val="21"/>
            </w:rPr>
            <w:fldChar w:fldCharType="separate"/>
          </w:r>
          <w:r>
            <w:rPr>
              <w:sz w:val="21"/>
              <w:szCs w:val="21"/>
            </w:rPr>
            <w:t>70</w:t>
          </w:r>
          <w:r>
            <w:rPr>
              <w:sz w:val="21"/>
              <w:szCs w:val="21"/>
            </w:rPr>
            <w:fldChar w:fldCharType="end"/>
          </w:r>
          <w:r>
            <w:rPr>
              <w:sz w:val="21"/>
              <w:szCs w:val="28"/>
            </w:rPr>
            <w:fldChar w:fldCharType="end"/>
          </w:r>
        </w:p>
        <w:p w14:paraId="3A97F94B">
          <w:pPr>
            <w:pStyle w:val="20"/>
            <w:tabs>
              <w:tab w:val="right" w:leader="dot" w:pos="9072"/>
            </w:tabs>
            <w:rPr>
              <w:sz w:val="21"/>
              <w:szCs w:val="21"/>
            </w:rPr>
          </w:pPr>
          <w:r>
            <w:rPr>
              <w:sz w:val="21"/>
              <w:szCs w:val="28"/>
            </w:rPr>
            <w:fldChar w:fldCharType="begin"/>
          </w:r>
          <w:r>
            <w:rPr>
              <w:sz w:val="21"/>
              <w:szCs w:val="28"/>
            </w:rPr>
            <w:instrText xml:space="preserve"> HYPERLINK \l _Toc747 </w:instrText>
          </w:r>
          <w:r>
            <w:rPr>
              <w:sz w:val="21"/>
              <w:szCs w:val="28"/>
            </w:rPr>
            <w:fldChar w:fldCharType="separate"/>
          </w:r>
          <w:r>
            <w:rPr>
              <w:rFonts w:hint="eastAsia" w:ascii="宋体" w:hAnsi="宋体" w:eastAsia="宋体" w:cs="宋体"/>
              <w:bCs w:val="0"/>
              <w:spacing w:val="6"/>
              <w:sz w:val="21"/>
              <w:szCs w:val="32"/>
              <w:highlight w:val="none"/>
              <w:lang w:val="en-US" w:eastAsia="zh-CN"/>
            </w:rPr>
            <w:t>六、资格证明材料</w:t>
          </w:r>
          <w:r>
            <w:rPr>
              <w:sz w:val="21"/>
              <w:szCs w:val="21"/>
            </w:rPr>
            <w:tab/>
          </w:r>
          <w:r>
            <w:rPr>
              <w:sz w:val="21"/>
              <w:szCs w:val="21"/>
            </w:rPr>
            <w:fldChar w:fldCharType="begin"/>
          </w:r>
          <w:r>
            <w:rPr>
              <w:sz w:val="21"/>
              <w:szCs w:val="21"/>
            </w:rPr>
            <w:instrText xml:space="preserve"> PAGEREF _Toc747 \h </w:instrText>
          </w:r>
          <w:r>
            <w:rPr>
              <w:sz w:val="21"/>
              <w:szCs w:val="21"/>
            </w:rPr>
            <w:fldChar w:fldCharType="separate"/>
          </w:r>
          <w:r>
            <w:rPr>
              <w:sz w:val="21"/>
              <w:szCs w:val="21"/>
            </w:rPr>
            <w:t>71</w:t>
          </w:r>
          <w:r>
            <w:rPr>
              <w:sz w:val="21"/>
              <w:szCs w:val="21"/>
            </w:rPr>
            <w:fldChar w:fldCharType="end"/>
          </w:r>
          <w:r>
            <w:rPr>
              <w:sz w:val="21"/>
              <w:szCs w:val="28"/>
            </w:rPr>
            <w:fldChar w:fldCharType="end"/>
          </w:r>
        </w:p>
        <w:p w14:paraId="7CB8720A">
          <w:pPr>
            <w:pStyle w:val="20"/>
            <w:tabs>
              <w:tab w:val="right" w:leader="dot" w:pos="9072"/>
            </w:tabs>
            <w:rPr>
              <w:sz w:val="21"/>
              <w:szCs w:val="21"/>
            </w:rPr>
          </w:pPr>
          <w:r>
            <w:rPr>
              <w:sz w:val="21"/>
              <w:szCs w:val="28"/>
            </w:rPr>
            <w:fldChar w:fldCharType="begin"/>
          </w:r>
          <w:r>
            <w:rPr>
              <w:sz w:val="21"/>
              <w:szCs w:val="28"/>
            </w:rPr>
            <w:instrText xml:space="preserve"> HYPERLINK \l _Toc7995 </w:instrText>
          </w:r>
          <w:r>
            <w:rPr>
              <w:sz w:val="21"/>
              <w:szCs w:val="28"/>
            </w:rPr>
            <w:fldChar w:fldCharType="separate"/>
          </w:r>
          <w:r>
            <w:rPr>
              <w:rFonts w:hint="eastAsia" w:ascii="宋体" w:hAnsi="宋体" w:eastAsia="宋体" w:cs="宋体"/>
              <w:bCs w:val="0"/>
              <w:spacing w:val="6"/>
              <w:sz w:val="21"/>
              <w:szCs w:val="32"/>
              <w:highlight w:val="none"/>
              <w:lang w:val="en-US" w:eastAsia="zh-CN"/>
            </w:rPr>
            <w:t>七、商务要求响应与偏差表</w:t>
          </w:r>
          <w:r>
            <w:rPr>
              <w:sz w:val="21"/>
              <w:szCs w:val="21"/>
            </w:rPr>
            <w:tab/>
          </w:r>
          <w:r>
            <w:rPr>
              <w:sz w:val="21"/>
              <w:szCs w:val="21"/>
            </w:rPr>
            <w:fldChar w:fldCharType="begin"/>
          </w:r>
          <w:r>
            <w:rPr>
              <w:sz w:val="21"/>
              <w:szCs w:val="21"/>
            </w:rPr>
            <w:instrText xml:space="preserve"> PAGEREF _Toc7995 \h </w:instrText>
          </w:r>
          <w:r>
            <w:rPr>
              <w:sz w:val="21"/>
              <w:szCs w:val="21"/>
            </w:rPr>
            <w:fldChar w:fldCharType="separate"/>
          </w:r>
          <w:r>
            <w:rPr>
              <w:sz w:val="21"/>
              <w:szCs w:val="21"/>
            </w:rPr>
            <w:t>77</w:t>
          </w:r>
          <w:r>
            <w:rPr>
              <w:sz w:val="21"/>
              <w:szCs w:val="21"/>
            </w:rPr>
            <w:fldChar w:fldCharType="end"/>
          </w:r>
          <w:r>
            <w:rPr>
              <w:sz w:val="21"/>
              <w:szCs w:val="28"/>
            </w:rPr>
            <w:fldChar w:fldCharType="end"/>
          </w:r>
        </w:p>
        <w:p w14:paraId="744AA8A3">
          <w:pPr>
            <w:pStyle w:val="20"/>
            <w:tabs>
              <w:tab w:val="right" w:leader="dot" w:pos="9072"/>
            </w:tabs>
            <w:rPr>
              <w:sz w:val="21"/>
              <w:szCs w:val="21"/>
            </w:rPr>
          </w:pPr>
          <w:r>
            <w:rPr>
              <w:sz w:val="21"/>
              <w:szCs w:val="28"/>
            </w:rPr>
            <w:fldChar w:fldCharType="begin"/>
          </w:r>
          <w:r>
            <w:rPr>
              <w:sz w:val="21"/>
              <w:szCs w:val="28"/>
            </w:rPr>
            <w:instrText xml:space="preserve"> HYPERLINK \l _Toc19307 </w:instrText>
          </w:r>
          <w:r>
            <w:rPr>
              <w:sz w:val="21"/>
              <w:szCs w:val="28"/>
            </w:rPr>
            <w:fldChar w:fldCharType="separate"/>
          </w:r>
          <w:r>
            <w:rPr>
              <w:rFonts w:hint="eastAsia" w:ascii="宋体" w:hAnsi="宋体" w:eastAsia="宋体" w:cs="宋体"/>
              <w:bCs w:val="0"/>
              <w:spacing w:val="6"/>
              <w:sz w:val="21"/>
              <w:szCs w:val="32"/>
              <w:highlight w:val="none"/>
              <w:lang w:val="en-US" w:eastAsia="zh-CN"/>
            </w:rPr>
            <w:t>八、技术标评审材料</w:t>
          </w:r>
          <w:r>
            <w:rPr>
              <w:sz w:val="21"/>
              <w:szCs w:val="21"/>
            </w:rPr>
            <w:tab/>
          </w:r>
          <w:r>
            <w:rPr>
              <w:sz w:val="21"/>
              <w:szCs w:val="21"/>
            </w:rPr>
            <w:fldChar w:fldCharType="begin"/>
          </w:r>
          <w:r>
            <w:rPr>
              <w:sz w:val="21"/>
              <w:szCs w:val="21"/>
            </w:rPr>
            <w:instrText xml:space="preserve"> PAGEREF _Toc19307 \h </w:instrText>
          </w:r>
          <w:r>
            <w:rPr>
              <w:sz w:val="21"/>
              <w:szCs w:val="21"/>
            </w:rPr>
            <w:fldChar w:fldCharType="separate"/>
          </w:r>
          <w:r>
            <w:rPr>
              <w:sz w:val="21"/>
              <w:szCs w:val="21"/>
            </w:rPr>
            <w:t>80</w:t>
          </w:r>
          <w:r>
            <w:rPr>
              <w:sz w:val="21"/>
              <w:szCs w:val="21"/>
            </w:rPr>
            <w:fldChar w:fldCharType="end"/>
          </w:r>
          <w:r>
            <w:rPr>
              <w:sz w:val="21"/>
              <w:szCs w:val="28"/>
            </w:rPr>
            <w:fldChar w:fldCharType="end"/>
          </w:r>
        </w:p>
        <w:p w14:paraId="00CF9CBD">
          <w:pPr>
            <w:pStyle w:val="20"/>
            <w:tabs>
              <w:tab w:val="right" w:leader="dot" w:pos="9072"/>
            </w:tabs>
            <w:rPr>
              <w:sz w:val="21"/>
              <w:szCs w:val="21"/>
            </w:rPr>
          </w:pPr>
          <w:r>
            <w:rPr>
              <w:sz w:val="21"/>
              <w:szCs w:val="28"/>
            </w:rPr>
            <w:fldChar w:fldCharType="begin"/>
          </w:r>
          <w:r>
            <w:rPr>
              <w:sz w:val="21"/>
              <w:szCs w:val="28"/>
            </w:rPr>
            <w:instrText xml:space="preserve"> HYPERLINK \l _Toc25964 </w:instrText>
          </w:r>
          <w:r>
            <w:rPr>
              <w:sz w:val="21"/>
              <w:szCs w:val="28"/>
            </w:rPr>
            <w:fldChar w:fldCharType="separate"/>
          </w:r>
          <w:r>
            <w:rPr>
              <w:rFonts w:hint="eastAsia" w:ascii="宋体" w:hAnsi="宋体" w:eastAsia="宋体" w:cs="宋体"/>
              <w:bCs w:val="0"/>
              <w:spacing w:val="6"/>
              <w:sz w:val="21"/>
              <w:szCs w:val="32"/>
              <w:highlight w:val="none"/>
              <w:lang w:val="en-US" w:eastAsia="zh-CN"/>
            </w:rPr>
            <w:t>九、其他需要提供的材料</w:t>
          </w:r>
          <w:r>
            <w:rPr>
              <w:sz w:val="21"/>
              <w:szCs w:val="21"/>
            </w:rPr>
            <w:tab/>
          </w:r>
          <w:r>
            <w:rPr>
              <w:sz w:val="21"/>
              <w:szCs w:val="21"/>
            </w:rPr>
            <w:fldChar w:fldCharType="begin"/>
          </w:r>
          <w:r>
            <w:rPr>
              <w:sz w:val="21"/>
              <w:szCs w:val="21"/>
            </w:rPr>
            <w:instrText xml:space="preserve"> PAGEREF _Toc25964 \h </w:instrText>
          </w:r>
          <w:r>
            <w:rPr>
              <w:sz w:val="21"/>
              <w:szCs w:val="21"/>
            </w:rPr>
            <w:fldChar w:fldCharType="separate"/>
          </w:r>
          <w:r>
            <w:rPr>
              <w:sz w:val="21"/>
              <w:szCs w:val="21"/>
            </w:rPr>
            <w:t>84</w:t>
          </w:r>
          <w:r>
            <w:rPr>
              <w:sz w:val="21"/>
              <w:szCs w:val="21"/>
            </w:rPr>
            <w:fldChar w:fldCharType="end"/>
          </w:r>
          <w:r>
            <w:rPr>
              <w:sz w:val="21"/>
              <w:szCs w:val="28"/>
            </w:rPr>
            <w:fldChar w:fldCharType="end"/>
          </w:r>
        </w:p>
        <w:p w14:paraId="46731306">
          <w:pPr>
            <w:pStyle w:val="18"/>
            <w:tabs>
              <w:tab w:val="right" w:leader="dot" w:pos="9072"/>
            </w:tabs>
            <w:ind w:firstLine="420" w:firstLineChars="200"/>
          </w:pPr>
          <w:r>
            <w:rPr>
              <w:sz w:val="21"/>
              <w:szCs w:val="28"/>
            </w:rPr>
            <w:fldChar w:fldCharType="begin"/>
          </w:r>
          <w:r>
            <w:rPr>
              <w:sz w:val="21"/>
              <w:szCs w:val="28"/>
            </w:rPr>
            <w:instrText xml:space="preserve"> HYPERLINK \l _Toc5607 </w:instrText>
          </w:r>
          <w:r>
            <w:rPr>
              <w:sz w:val="21"/>
              <w:szCs w:val="28"/>
            </w:rPr>
            <w:fldChar w:fldCharType="separate"/>
          </w:r>
          <w:r>
            <w:rPr>
              <w:rFonts w:hint="eastAsia" w:ascii="宋体" w:hAnsi="宋体" w:eastAsia="宋体" w:cs="宋体"/>
              <w:bCs w:val="0"/>
              <w:spacing w:val="6"/>
              <w:sz w:val="21"/>
              <w:szCs w:val="28"/>
              <w:highlight w:val="none"/>
            </w:rPr>
            <w:t>河南省政府采购合同融资政策告知函</w:t>
          </w:r>
          <w:r>
            <w:rPr>
              <w:sz w:val="21"/>
              <w:szCs w:val="21"/>
            </w:rPr>
            <w:tab/>
          </w:r>
          <w:r>
            <w:rPr>
              <w:sz w:val="21"/>
              <w:szCs w:val="21"/>
            </w:rPr>
            <w:fldChar w:fldCharType="begin"/>
          </w:r>
          <w:r>
            <w:rPr>
              <w:sz w:val="21"/>
              <w:szCs w:val="21"/>
            </w:rPr>
            <w:instrText xml:space="preserve"> PAGEREF _Toc5607 \h </w:instrText>
          </w:r>
          <w:r>
            <w:rPr>
              <w:sz w:val="21"/>
              <w:szCs w:val="21"/>
            </w:rPr>
            <w:fldChar w:fldCharType="separate"/>
          </w:r>
          <w:r>
            <w:rPr>
              <w:sz w:val="21"/>
              <w:szCs w:val="21"/>
            </w:rPr>
            <w:t>85</w:t>
          </w:r>
          <w:r>
            <w:rPr>
              <w:sz w:val="21"/>
              <w:szCs w:val="21"/>
            </w:rPr>
            <w:fldChar w:fldCharType="end"/>
          </w:r>
          <w:r>
            <w:rPr>
              <w:sz w:val="21"/>
              <w:szCs w:val="28"/>
            </w:rPr>
            <w:fldChar w:fldCharType="end"/>
          </w:r>
        </w:p>
        <w:p w14:paraId="743F2E61">
          <w:pPr>
            <w:keepNext w:val="0"/>
            <w:keepLines w:val="0"/>
            <w:pageBreakBefore w:val="0"/>
            <w:widowControl w:val="0"/>
            <w:tabs>
              <w:tab w:val="right" w:leader="dot" w:pos="9072"/>
            </w:tabs>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rPr>
              <w:rFonts w:hint="eastAsia" w:ascii="宋体" w:hAnsi="宋体" w:eastAsia="宋体" w:cs="宋体"/>
              <w:b/>
              <w:color w:val="auto"/>
              <w:sz w:val="24"/>
              <w:szCs w:val="24"/>
              <w:highlight w:val="none"/>
            </w:rPr>
            <w:sectPr>
              <w:pgSz w:w="11906" w:h="16838"/>
              <w:pgMar w:top="1417" w:right="1417" w:bottom="1417" w:left="1417" w:header="777" w:footer="641" w:gutter="0"/>
              <w:pgNumType w:start="1"/>
              <w:cols w:space="720" w:num="1"/>
              <w:titlePg/>
              <w:docGrid w:linePitch="285" w:charSpace="0"/>
            </w:sectPr>
          </w:pPr>
          <w:r>
            <w:rPr>
              <w:b/>
              <w:sz w:val="24"/>
              <w:szCs w:val="24"/>
            </w:rPr>
            <w:fldChar w:fldCharType="end"/>
          </w:r>
        </w:p>
      </w:sdtContent>
    </w:sdt>
    <w:p w14:paraId="514E3AB8">
      <w:pPr>
        <w:pStyle w:val="111"/>
        <w:pageBreakBefore/>
        <w:ind w:firstLine="0" w:firstLineChars="0"/>
        <w:rPr>
          <w:rFonts w:hint="eastAsia" w:ascii="宋体" w:hAnsi="宋体" w:eastAsia="宋体" w:cs="宋体"/>
          <w:color w:val="auto"/>
          <w:spacing w:val="6"/>
          <w:highlight w:val="none"/>
        </w:rPr>
      </w:pPr>
      <w:bookmarkStart w:id="13" w:name="_Toc6615"/>
      <w:bookmarkStart w:id="14" w:name="_Toc22011"/>
      <w:bookmarkStart w:id="15" w:name="_Toc31723"/>
      <w:bookmarkStart w:id="16" w:name="_Toc22542"/>
      <w:r>
        <w:rPr>
          <w:rFonts w:hint="eastAsia" w:ascii="宋体" w:hAnsi="宋体" w:eastAsia="宋体" w:cs="宋体"/>
          <w:color w:val="auto"/>
          <w:spacing w:val="6"/>
          <w:highlight w:val="none"/>
        </w:rPr>
        <w:t>第一章 招标公告</w:t>
      </w:r>
      <w:bookmarkEnd w:id="13"/>
      <w:bookmarkEnd w:id="14"/>
      <w:bookmarkEnd w:id="15"/>
      <w:bookmarkEnd w:id="16"/>
    </w:p>
    <w:p w14:paraId="16F9D250">
      <w:pPr>
        <w:spacing w:line="560" w:lineRule="exact"/>
        <w:jc w:val="center"/>
        <w:rPr>
          <w:rFonts w:hint="eastAsia" w:ascii="宋体" w:hAnsi="宋体" w:eastAsia="宋体" w:cs="宋体"/>
          <w:b/>
          <w:color w:val="auto"/>
          <w:spacing w:val="6"/>
          <w:sz w:val="28"/>
          <w:szCs w:val="28"/>
          <w:highlight w:val="none"/>
          <w:lang w:eastAsia="zh-CN"/>
        </w:rPr>
      </w:pPr>
      <w:bookmarkStart w:id="17" w:name="_Toc1660782"/>
      <w:bookmarkStart w:id="18" w:name="_Toc504741947"/>
      <w:r>
        <w:rPr>
          <w:rFonts w:hint="eastAsia" w:ascii="宋体" w:hAnsi="宋体" w:eastAsia="宋体" w:cs="宋体"/>
          <w:b/>
          <w:color w:val="auto"/>
          <w:spacing w:val="6"/>
          <w:sz w:val="28"/>
          <w:szCs w:val="28"/>
          <w:highlight w:val="none"/>
          <w:lang w:eastAsia="zh-CN"/>
        </w:rPr>
        <w:t>河南科技大学第一附属医院综合运营管理系统（一期）项目</w:t>
      </w:r>
    </w:p>
    <w:p w14:paraId="05480DA7">
      <w:pPr>
        <w:spacing w:line="560" w:lineRule="exact"/>
        <w:jc w:val="center"/>
        <w:rPr>
          <w:rFonts w:hint="eastAsia" w:ascii="宋体" w:hAnsi="宋体" w:eastAsia="宋体" w:cs="宋体"/>
          <w:bCs/>
          <w:color w:val="auto"/>
          <w:spacing w:val="6"/>
          <w:sz w:val="28"/>
          <w:szCs w:val="28"/>
          <w:highlight w:val="none"/>
        </w:rPr>
      </w:pPr>
      <w:r>
        <w:rPr>
          <w:rFonts w:hint="eastAsia" w:ascii="宋体" w:hAnsi="宋体" w:cs="宋体"/>
          <w:b/>
          <w:color w:val="auto"/>
          <w:spacing w:val="6"/>
          <w:sz w:val="28"/>
          <w:szCs w:val="28"/>
          <w:highlight w:val="none"/>
          <w:lang w:val="en-US" w:eastAsia="zh-CN"/>
        </w:rPr>
        <w:t>公开</w:t>
      </w:r>
      <w:r>
        <w:rPr>
          <w:rFonts w:hint="eastAsia" w:ascii="宋体" w:hAnsi="宋体" w:eastAsia="宋体" w:cs="宋体"/>
          <w:b/>
          <w:color w:val="auto"/>
          <w:spacing w:val="6"/>
          <w:sz w:val="28"/>
          <w:szCs w:val="28"/>
          <w:highlight w:val="none"/>
        </w:rPr>
        <w:t>招标公告</w:t>
      </w:r>
    </w:p>
    <w:p w14:paraId="59923A54">
      <w:pPr>
        <w:spacing w:line="420" w:lineRule="exac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项目概况</w:t>
      </w:r>
    </w:p>
    <w:p w14:paraId="0798A2BE">
      <w:pPr>
        <w:spacing w:line="420" w:lineRule="exact"/>
        <w:ind w:firstLine="422" w:firstLineChars="200"/>
        <w:jc w:val="left"/>
        <w:rPr>
          <w:rFonts w:hint="eastAsia" w:ascii="宋体" w:hAnsi="宋体" w:eastAsia="宋体" w:cs="宋体"/>
          <w:color w:val="auto"/>
          <w:spacing w:val="6"/>
          <w:sz w:val="21"/>
          <w:szCs w:val="21"/>
          <w:highlight w:val="none"/>
        </w:rPr>
      </w:pPr>
      <w:r>
        <w:rPr>
          <w:rFonts w:hint="eastAsia" w:ascii="宋体" w:hAnsi="宋体" w:cs="宋体"/>
          <w:color w:val="auto"/>
          <w:spacing w:val="6"/>
          <w:sz w:val="21"/>
          <w:szCs w:val="21"/>
          <w:highlight w:val="none"/>
          <w:lang w:eastAsia="zh-CN"/>
        </w:rPr>
        <w:t>河南科技大学第一附属医院综合运营管理系统（一期）项目</w:t>
      </w:r>
      <w:r>
        <w:rPr>
          <w:rFonts w:hint="eastAsia" w:ascii="宋体" w:hAnsi="宋体" w:eastAsia="宋体" w:cs="宋体"/>
          <w:color w:val="auto"/>
          <w:spacing w:val="6"/>
          <w:sz w:val="21"/>
          <w:szCs w:val="21"/>
          <w:highlight w:val="none"/>
        </w:rPr>
        <w:t>的潜在投标人应登录“河南省公共资源交易中心（http://hnsggzyjy.henan.gov.cn/）”</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rPr>
        <w:t>凭CA数字证书获取招标文件，并于</w:t>
      </w:r>
      <w:r>
        <w:rPr>
          <w:rFonts w:hint="eastAsia" w:ascii="Times New Roman" w:hAnsi="Times New Roman" w:eastAsia="宋体" w:cs="Times New Roman"/>
          <w:color w:val="auto"/>
          <w:lang w:eastAsia="zh-CN"/>
        </w:rPr>
        <w:t>202</w:t>
      </w:r>
      <w:r>
        <w:rPr>
          <w:rFonts w:hint="eastAsia" w:ascii="Times New Roman" w:hAnsi="Times New Roman" w:eastAsia="宋体" w:cs="Times New Roman"/>
          <w:color w:val="auto"/>
          <w:lang w:val="en-US" w:eastAsia="zh-CN"/>
        </w:rPr>
        <w:t>5</w:t>
      </w:r>
      <w:r>
        <w:rPr>
          <w:rFonts w:hint="eastAsia" w:ascii="宋体" w:hAnsi="宋体" w:eastAsia="宋体" w:cs="宋体"/>
          <w:b w:val="0"/>
          <w:bCs w:val="0"/>
          <w:i w:val="0"/>
          <w:iCs w:val="0"/>
          <w:color w:val="auto"/>
          <w:sz w:val="21"/>
          <w:szCs w:val="21"/>
          <w:highlight w:val="none"/>
          <w:u w:val="none"/>
        </w:rPr>
        <w:t>年</w:t>
      </w:r>
      <w:r>
        <w:rPr>
          <w:rFonts w:hint="eastAsia" w:ascii="Times New Roman" w:hAnsi="Times New Roman" w:eastAsia="宋体" w:cs="Times New Roman"/>
          <w:color w:val="auto"/>
          <w:lang w:val="en-US" w:eastAsia="zh-CN"/>
        </w:rPr>
        <w:t>9</w:t>
      </w:r>
      <w:r>
        <w:rPr>
          <w:rFonts w:hint="eastAsia" w:ascii="宋体" w:hAnsi="宋体" w:eastAsia="宋体" w:cs="宋体"/>
          <w:b w:val="0"/>
          <w:bCs w:val="0"/>
          <w:i w:val="0"/>
          <w:iCs w:val="0"/>
          <w:color w:val="auto"/>
          <w:sz w:val="21"/>
          <w:szCs w:val="21"/>
          <w:highlight w:val="none"/>
          <w:u w:val="none"/>
        </w:rPr>
        <w:t>月</w:t>
      </w:r>
      <w:r>
        <w:rPr>
          <w:rFonts w:hint="eastAsia" w:ascii="Times New Roman" w:hAnsi="Times New Roman" w:eastAsia="宋体" w:cs="Times New Roman"/>
          <w:color w:val="auto"/>
          <w:lang w:val="en-US" w:eastAsia="zh-CN"/>
        </w:rPr>
        <w:t>29</w:t>
      </w:r>
      <w:r>
        <w:rPr>
          <w:rFonts w:hint="eastAsia" w:ascii="宋体" w:hAnsi="宋体" w:eastAsia="宋体" w:cs="宋体"/>
          <w:b w:val="0"/>
          <w:bCs w:val="0"/>
          <w:i w:val="0"/>
          <w:iCs w:val="0"/>
          <w:color w:val="auto"/>
          <w:sz w:val="21"/>
          <w:szCs w:val="21"/>
          <w:highlight w:val="none"/>
          <w:u w:val="none"/>
        </w:rPr>
        <w:t>日</w:t>
      </w:r>
      <w:r>
        <w:rPr>
          <w:rFonts w:hint="eastAsia" w:ascii="Times New Roman" w:hAnsi="Times New Roman" w:eastAsia="宋体" w:cs="Times New Roman"/>
          <w:color w:val="auto"/>
          <w:lang w:val="en-US" w:eastAsia="zh-CN"/>
        </w:rPr>
        <w:t>09</w:t>
      </w:r>
      <w:r>
        <w:rPr>
          <w:rFonts w:hint="eastAsia" w:ascii="宋体" w:hAnsi="宋体" w:eastAsia="宋体" w:cs="宋体"/>
          <w:b w:val="0"/>
          <w:bCs w:val="0"/>
          <w:i w:val="0"/>
          <w:iCs w:val="0"/>
          <w:color w:val="auto"/>
          <w:sz w:val="21"/>
          <w:szCs w:val="21"/>
          <w:highlight w:val="none"/>
          <w:u w:val="none"/>
        </w:rPr>
        <w:t>时</w:t>
      </w:r>
      <w:r>
        <w:rPr>
          <w:rFonts w:hint="eastAsia" w:ascii="Times New Roman" w:hAnsi="Times New Roman" w:eastAsia="宋体" w:cs="Times New Roman"/>
          <w:color w:val="auto"/>
          <w:lang w:val="en-US" w:eastAsia="zh-CN"/>
        </w:rPr>
        <w:t>00</w:t>
      </w:r>
      <w:r>
        <w:rPr>
          <w:rFonts w:hint="eastAsia" w:ascii="宋体" w:hAnsi="宋体" w:eastAsia="宋体" w:cs="宋体"/>
          <w:b w:val="0"/>
          <w:bCs w:val="0"/>
          <w:i w:val="0"/>
          <w:iCs w:val="0"/>
          <w:color w:val="auto"/>
          <w:sz w:val="21"/>
          <w:szCs w:val="21"/>
          <w:highlight w:val="none"/>
          <w:u w:val="none"/>
        </w:rPr>
        <w:t>分</w:t>
      </w:r>
      <w:r>
        <w:rPr>
          <w:rFonts w:hint="eastAsia" w:ascii="宋体" w:hAnsi="宋体" w:eastAsia="宋体" w:cs="宋体"/>
          <w:color w:val="auto"/>
          <w:spacing w:val="6"/>
          <w:sz w:val="21"/>
          <w:szCs w:val="21"/>
          <w:highlight w:val="none"/>
        </w:rPr>
        <w:t>（北京时间）前递交投标文件。</w:t>
      </w:r>
    </w:p>
    <w:p w14:paraId="63F36872">
      <w:pPr>
        <w:spacing w:line="420" w:lineRule="exact"/>
        <w:ind w:left="474"/>
        <w:outlineLvl w:val="1"/>
        <w:rPr>
          <w:rFonts w:hint="eastAsia" w:ascii="宋体" w:hAnsi="宋体" w:eastAsia="宋体" w:cs="宋体"/>
          <w:b/>
          <w:bCs/>
          <w:color w:val="auto"/>
          <w:spacing w:val="6"/>
          <w:sz w:val="21"/>
          <w:szCs w:val="21"/>
          <w:highlight w:val="none"/>
        </w:rPr>
      </w:pPr>
      <w:bookmarkStart w:id="19" w:name="_Toc26822"/>
      <w:bookmarkStart w:id="20" w:name="_Toc30175"/>
      <w:bookmarkStart w:id="21" w:name="_Toc9423"/>
      <w:bookmarkStart w:id="22" w:name="_Toc19027"/>
      <w:bookmarkStart w:id="23" w:name="_Toc22544"/>
      <w:r>
        <w:rPr>
          <w:rFonts w:hint="eastAsia" w:ascii="宋体" w:hAnsi="宋体" w:eastAsia="宋体" w:cs="宋体"/>
          <w:b/>
          <w:bCs/>
          <w:color w:val="auto"/>
          <w:spacing w:val="6"/>
          <w:sz w:val="21"/>
          <w:szCs w:val="21"/>
          <w:highlight w:val="none"/>
        </w:rPr>
        <w:t>一、项目基本情况</w:t>
      </w:r>
      <w:bookmarkEnd w:id="19"/>
      <w:bookmarkEnd w:id="20"/>
      <w:bookmarkEnd w:id="21"/>
      <w:bookmarkEnd w:id="22"/>
      <w:bookmarkEnd w:id="23"/>
    </w:p>
    <w:p w14:paraId="769E686B">
      <w:pPr>
        <w:spacing w:line="420" w:lineRule="exact"/>
        <w:ind w:left="474"/>
        <w:rPr>
          <w:rFonts w:hint="default"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rPr>
        <w:t xml:space="preserve">1. </w:t>
      </w:r>
      <w:r>
        <w:rPr>
          <w:rFonts w:hint="eastAsia" w:ascii="宋体" w:hAnsi="宋体" w:eastAsia="宋体" w:cs="宋体"/>
          <w:color w:val="auto"/>
          <w:spacing w:val="6"/>
          <w:sz w:val="21"/>
          <w:szCs w:val="21"/>
          <w:highlight w:val="none"/>
          <w:lang w:val="en-US" w:eastAsia="zh-CN"/>
        </w:rPr>
        <w:t>项目</w:t>
      </w:r>
      <w:r>
        <w:rPr>
          <w:rFonts w:hint="eastAsia" w:ascii="宋体" w:hAnsi="宋体" w:eastAsia="宋体" w:cs="宋体"/>
          <w:color w:val="auto"/>
          <w:spacing w:val="6"/>
          <w:sz w:val="21"/>
          <w:szCs w:val="21"/>
          <w:highlight w:val="none"/>
        </w:rPr>
        <w:t>编号：</w:t>
      </w:r>
      <w:r>
        <w:rPr>
          <w:rFonts w:hint="eastAsia" w:ascii="宋体" w:hAnsi="宋体" w:eastAsia="宋体" w:cs="宋体"/>
          <w:color w:val="auto"/>
          <w:spacing w:val="6"/>
          <w:sz w:val="21"/>
          <w:szCs w:val="21"/>
          <w:highlight w:val="none"/>
          <w:lang w:val="en-US" w:eastAsia="zh-CN"/>
        </w:rPr>
        <w:t>豫财招标采购-2025-1103</w:t>
      </w:r>
    </w:p>
    <w:p w14:paraId="3808912E">
      <w:pPr>
        <w:spacing w:line="420" w:lineRule="exact"/>
        <w:ind w:left="474"/>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rPr>
        <w:t>2. 项目名称：</w:t>
      </w:r>
      <w:r>
        <w:rPr>
          <w:rFonts w:hint="eastAsia" w:ascii="宋体" w:hAnsi="宋体" w:cs="宋体"/>
          <w:color w:val="auto"/>
          <w:spacing w:val="6"/>
          <w:sz w:val="21"/>
          <w:szCs w:val="21"/>
          <w:highlight w:val="none"/>
          <w:lang w:eastAsia="zh-CN"/>
        </w:rPr>
        <w:t>河南科技大学第一附属医院综合运营管理系统（一期）项目</w:t>
      </w:r>
    </w:p>
    <w:p w14:paraId="12A78C7A">
      <w:pPr>
        <w:spacing w:line="420" w:lineRule="exact"/>
        <w:ind w:left="474"/>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6"/>
          <w:sz w:val="21"/>
          <w:szCs w:val="21"/>
          <w:highlight w:val="none"/>
          <w:lang w:val="en-US" w:eastAsia="zh-CN"/>
        </w:rPr>
        <w:t>采购</w:t>
      </w:r>
      <w:r>
        <w:rPr>
          <w:rFonts w:hint="eastAsia" w:ascii="宋体" w:hAnsi="宋体" w:eastAsia="宋体" w:cs="宋体"/>
          <w:color w:val="auto"/>
          <w:spacing w:val="6"/>
          <w:sz w:val="21"/>
          <w:szCs w:val="21"/>
          <w:highlight w:val="none"/>
        </w:rPr>
        <w:t>方式：公开招标</w:t>
      </w:r>
    </w:p>
    <w:p w14:paraId="6EE84CF7">
      <w:pPr>
        <w:spacing w:line="420" w:lineRule="exact"/>
        <w:ind w:left="474"/>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4. 预算金额：</w:t>
      </w:r>
      <w:r>
        <w:rPr>
          <w:rFonts w:hint="eastAsia" w:ascii="宋体" w:hAnsi="宋体" w:eastAsia="宋体" w:cs="宋体"/>
          <w:color w:val="auto"/>
          <w:spacing w:val="6"/>
          <w:sz w:val="21"/>
          <w:szCs w:val="21"/>
          <w:highlight w:val="none"/>
          <w:lang w:val="en-US" w:eastAsia="zh-CN"/>
        </w:rPr>
        <w:t>1500000</w:t>
      </w:r>
      <w:r>
        <w:rPr>
          <w:rFonts w:hint="eastAsia" w:ascii="宋体" w:hAnsi="宋体" w:eastAsia="宋体" w:cs="宋体"/>
          <w:color w:val="auto"/>
          <w:spacing w:val="6"/>
          <w:sz w:val="21"/>
          <w:szCs w:val="21"/>
          <w:highlight w:val="none"/>
        </w:rPr>
        <w:t>.00元</w:t>
      </w:r>
    </w:p>
    <w:p w14:paraId="2E79C6B9">
      <w:pPr>
        <w:spacing w:line="420" w:lineRule="exact"/>
        <w:ind w:left="474" w:firstLine="422"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最高限价：</w:t>
      </w:r>
      <w:r>
        <w:rPr>
          <w:rFonts w:hint="eastAsia" w:ascii="宋体" w:hAnsi="宋体" w:eastAsia="宋体" w:cs="宋体"/>
          <w:color w:val="auto"/>
          <w:spacing w:val="6"/>
          <w:sz w:val="21"/>
          <w:szCs w:val="21"/>
          <w:highlight w:val="none"/>
          <w:lang w:val="en-US" w:eastAsia="zh-CN"/>
        </w:rPr>
        <w:t>1500000</w:t>
      </w:r>
      <w:r>
        <w:rPr>
          <w:rFonts w:hint="eastAsia" w:ascii="宋体" w:hAnsi="宋体" w:eastAsia="宋体" w:cs="宋体"/>
          <w:color w:val="auto"/>
          <w:spacing w:val="6"/>
          <w:sz w:val="21"/>
          <w:szCs w:val="21"/>
          <w:highlight w:val="none"/>
        </w:rPr>
        <w:t>.00元</w:t>
      </w:r>
    </w:p>
    <w:tbl>
      <w:tblPr>
        <w:tblStyle w:val="26"/>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870"/>
        <w:gridCol w:w="3546"/>
        <w:gridCol w:w="1515"/>
        <w:gridCol w:w="1564"/>
      </w:tblGrid>
      <w:tr w14:paraId="297A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dxa"/>
            <w:noWrap w:val="0"/>
            <w:vAlign w:val="center"/>
          </w:tcPr>
          <w:p w14:paraId="6797873B">
            <w:pPr>
              <w:spacing w:line="420" w:lineRule="exact"/>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序号</w:t>
            </w:r>
          </w:p>
        </w:tc>
        <w:tc>
          <w:tcPr>
            <w:tcW w:w="1870" w:type="dxa"/>
            <w:noWrap w:val="0"/>
            <w:vAlign w:val="center"/>
          </w:tcPr>
          <w:p w14:paraId="4BDB3BA5">
            <w:pPr>
              <w:spacing w:line="420" w:lineRule="exact"/>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包号</w:t>
            </w:r>
          </w:p>
        </w:tc>
        <w:tc>
          <w:tcPr>
            <w:tcW w:w="3546" w:type="dxa"/>
            <w:noWrap w:val="0"/>
            <w:vAlign w:val="center"/>
          </w:tcPr>
          <w:p w14:paraId="2EFD428D">
            <w:pPr>
              <w:spacing w:line="420" w:lineRule="exact"/>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包项目名称</w:t>
            </w:r>
          </w:p>
        </w:tc>
        <w:tc>
          <w:tcPr>
            <w:tcW w:w="1515" w:type="dxa"/>
            <w:noWrap w:val="0"/>
            <w:vAlign w:val="center"/>
          </w:tcPr>
          <w:p w14:paraId="11D13A23">
            <w:pPr>
              <w:spacing w:line="420" w:lineRule="exact"/>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包预算</w:t>
            </w:r>
          </w:p>
          <w:p w14:paraId="57858DA1">
            <w:pPr>
              <w:spacing w:line="420" w:lineRule="exact"/>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（元）</w:t>
            </w:r>
          </w:p>
        </w:tc>
        <w:tc>
          <w:tcPr>
            <w:tcW w:w="1564" w:type="dxa"/>
            <w:noWrap w:val="0"/>
            <w:vAlign w:val="center"/>
          </w:tcPr>
          <w:p w14:paraId="5A8503F0">
            <w:pPr>
              <w:spacing w:line="420" w:lineRule="exact"/>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包最高限价（元）</w:t>
            </w:r>
          </w:p>
        </w:tc>
      </w:tr>
      <w:tr w14:paraId="3159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63" w:type="dxa"/>
            <w:noWrap w:val="0"/>
            <w:vAlign w:val="center"/>
          </w:tcPr>
          <w:p w14:paraId="4E56E4BD">
            <w:pPr>
              <w:spacing w:line="420" w:lineRule="exact"/>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w:t>
            </w:r>
          </w:p>
        </w:tc>
        <w:tc>
          <w:tcPr>
            <w:tcW w:w="1870" w:type="dxa"/>
            <w:noWrap w:val="0"/>
            <w:vAlign w:val="center"/>
          </w:tcPr>
          <w:p w14:paraId="0556D13D">
            <w:pPr>
              <w:spacing w:line="420" w:lineRule="exact"/>
              <w:jc w:val="center"/>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豫政采(2)20251600-1</w:t>
            </w:r>
          </w:p>
        </w:tc>
        <w:tc>
          <w:tcPr>
            <w:tcW w:w="3546" w:type="dxa"/>
            <w:noWrap w:val="0"/>
            <w:vAlign w:val="top"/>
          </w:tcPr>
          <w:p w14:paraId="4600670A">
            <w:pPr>
              <w:spacing w:line="420" w:lineRule="exact"/>
              <w:ind w:left="11" w:leftChars="0" w:hanging="11" w:hangingChars="5"/>
              <w:jc w:val="center"/>
              <w:rPr>
                <w:rFonts w:hint="eastAsia" w:ascii="宋体" w:hAnsi="宋体" w:eastAsia="宋体" w:cs="宋体"/>
                <w:color w:val="auto"/>
                <w:spacing w:val="6"/>
                <w:sz w:val="21"/>
                <w:szCs w:val="21"/>
                <w:highlight w:val="none"/>
                <w:lang w:val="en-US" w:eastAsia="zh-CN"/>
              </w:rPr>
            </w:pPr>
            <w:r>
              <w:rPr>
                <w:rFonts w:hint="eastAsia" w:ascii="宋体" w:hAnsi="宋体" w:cs="宋体"/>
                <w:color w:val="auto"/>
                <w:spacing w:val="6"/>
                <w:sz w:val="21"/>
                <w:szCs w:val="21"/>
                <w:highlight w:val="none"/>
                <w:lang w:eastAsia="zh-CN"/>
              </w:rPr>
              <w:t>河南科技大学第一附属医院综合运营管理系统（一期）项目</w:t>
            </w:r>
          </w:p>
        </w:tc>
        <w:tc>
          <w:tcPr>
            <w:tcW w:w="1515" w:type="dxa"/>
            <w:noWrap w:val="0"/>
            <w:vAlign w:val="center"/>
          </w:tcPr>
          <w:p w14:paraId="0BBF7A9F">
            <w:pPr>
              <w:spacing w:line="420" w:lineRule="exact"/>
              <w:jc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1500000.00</w:t>
            </w:r>
          </w:p>
        </w:tc>
        <w:tc>
          <w:tcPr>
            <w:tcW w:w="1564" w:type="dxa"/>
            <w:noWrap w:val="0"/>
            <w:vAlign w:val="center"/>
          </w:tcPr>
          <w:p w14:paraId="72C099FD">
            <w:pPr>
              <w:spacing w:line="420" w:lineRule="exact"/>
              <w:jc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1500000.00</w:t>
            </w:r>
          </w:p>
        </w:tc>
      </w:tr>
    </w:tbl>
    <w:p w14:paraId="39CF17E4">
      <w:pPr>
        <w:spacing w:line="420" w:lineRule="exact"/>
        <w:ind w:left="474"/>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5. 采购需求：（包括但不限于标的的名称、数量、简要技术需求或服务要求等）</w:t>
      </w:r>
    </w:p>
    <w:p w14:paraId="691947B7">
      <w:pPr>
        <w:spacing w:line="420" w:lineRule="exact"/>
        <w:ind w:firstLine="422"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6"/>
          <w:sz w:val="21"/>
          <w:szCs w:val="21"/>
          <w:highlight w:val="none"/>
          <w:lang w:val="en-US" w:eastAsia="zh-CN"/>
        </w:rPr>
        <w:t>采购内容</w:t>
      </w:r>
      <w:r>
        <w:rPr>
          <w:rFonts w:hint="eastAsia" w:ascii="宋体" w:hAnsi="宋体" w:eastAsia="宋体" w:cs="宋体"/>
          <w:color w:val="auto"/>
          <w:spacing w:val="6"/>
          <w:sz w:val="21"/>
          <w:szCs w:val="21"/>
          <w:highlight w:val="none"/>
          <w:lang w:eastAsia="zh-CN"/>
        </w:rPr>
        <w:t>：成本一体化管理系统，</w:t>
      </w:r>
      <w:r>
        <w:rPr>
          <w:rFonts w:hint="eastAsia" w:ascii="宋体" w:hAnsi="宋体" w:eastAsia="宋体" w:cs="宋体"/>
          <w:color w:val="auto"/>
          <w:spacing w:val="6"/>
          <w:sz w:val="21"/>
          <w:szCs w:val="21"/>
          <w:highlight w:val="none"/>
          <w:lang w:val="en-US" w:eastAsia="zh-CN"/>
        </w:rPr>
        <w:t>具体技术要求详见招标文件</w:t>
      </w:r>
      <w:r>
        <w:rPr>
          <w:rFonts w:hint="eastAsia" w:ascii="宋体" w:hAnsi="宋体" w:eastAsia="宋体" w:cs="宋体"/>
          <w:color w:val="auto"/>
          <w:spacing w:val="6"/>
          <w:sz w:val="21"/>
          <w:szCs w:val="21"/>
          <w:highlight w:val="none"/>
        </w:rPr>
        <w:t>。</w:t>
      </w:r>
    </w:p>
    <w:p w14:paraId="1F76347A">
      <w:pPr>
        <w:spacing w:line="420" w:lineRule="exact"/>
        <w:ind w:firstLine="422" w:firstLineChars="200"/>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2</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rPr>
        <w:t>项目工期：合同签订后</w:t>
      </w:r>
      <w:r>
        <w:rPr>
          <w:rFonts w:hint="eastAsia" w:ascii="宋体" w:hAnsi="宋体" w:eastAsia="宋体" w:cs="宋体"/>
          <w:color w:val="auto"/>
          <w:spacing w:val="6"/>
          <w:sz w:val="21"/>
          <w:szCs w:val="21"/>
          <w:highlight w:val="none"/>
          <w:lang w:val="en-US" w:eastAsia="zh-CN"/>
        </w:rPr>
        <w:t>8</w:t>
      </w:r>
      <w:r>
        <w:rPr>
          <w:rFonts w:hint="eastAsia" w:ascii="宋体" w:hAnsi="宋体" w:eastAsia="宋体" w:cs="宋体"/>
          <w:color w:val="auto"/>
          <w:spacing w:val="6"/>
          <w:sz w:val="21"/>
          <w:szCs w:val="21"/>
          <w:highlight w:val="none"/>
        </w:rPr>
        <w:t>个月内完成项目实施</w:t>
      </w:r>
      <w:r>
        <w:rPr>
          <w:rFonts w:hint="eastAsia" w:ascii="宋体" w:hAnsi="宋体" w:eastAsia="宋体" w:cs="宋体"/>
          <w:color w:val="auto"/>
          <w:spacing w:val="6"/>
          <w:sz w:val="21"/>
          <w:szCs w:val="21"/>
          <w:highlight w:val="none"/>
          <w:lang w:eastAsia="zh-CN"/>
        </w:rPr>
        <w:t>。</w:t>
      </w:r>
    </w:p>
    <w:p w14:paraId="21EB6D23">
      <w:pPr>
        <w:spacing w:line="420" w:lineRule="exact"/>
        <w:ind w:firstLine="422" w:firstLineChars="200"/>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3</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项目</w:t>
      </w:r>
      <w:r>
        <w:rPr>
          <w:rFonts w:hint="eastAsia" w:ascii="宋体" w:hAnsi="宋体" w:eastAsia="宋体" w:cs="宋体"/>
          <w:color w:val="auto"/>
          <w:spacing w:val="6"/>
          <w:sz w:val="21"/>
          <w:szCs w:val="21"/>
          <w:highlight w:val="none"/>
          <w:lang w:eastAsia="zh-CN"/>
        </w:rPr>
        <w:t>地点：采购人指定地点。</w:t>
      </w:r>
    </w:p>
    <w:p w14:paraId="5B53B5E1">
      <w:pPr>
        <w:spacing w:line="420" w:lineRule="exact"/>
        <w:ind w:firstLine="422"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4</w:t>
      </w:r>
      <w:r>
        <w:rPr>
          <w:rFonts w:hint="eastAsia" w:ascii="宋体" w:hAnsi="宋体" w:eastAsia="宋体" w:cs="宋体"/>
          <w:color w:val="auto"/>
          <w:spacing w:val="6"/>
          <w:sz w:val="21"/>
          <w:szCs w:val="21"/>
          <w:highlight w:val="none"/>
          <w:lang w:eastAsia="zh-CN"/>
        </w:rPr>
        <w:t>）</w:t>
      </w:r>
      <w:r>
        <w:rPr>
          <w:rFonts w:hint="eastAsia" w:ascii="宋体" w:hAnsi="宋体" w:cs="宋体"/>
          <w:color w:val="auto"/>
          <w:spacing w:val="6"/>
          <w:sz w:val="21"/>
          <w:szCs w:val="21"/>
          <w:highlight w:val="none"/>
          <w:lang w:eastAsia="zh-CN"/>
        </w:rPr>
        <w:t>服务质量</w:t>
      </w:r>
      <w:r>
        <w:rPr>
          <w:rFonts w:hint="eastAsia" w:ascii="宋体" w:hAnsi="宋体" w:eastAsia="宋体" w:cs="宋体"/>
          <w:color w:val="auto"/>
          <w:spacing w:val="6"/>
          <w:sz w:val="21"/>
          <w:szCs w:val="21"/>
          <w:highlight w:val="none"/>
          <w:lang w:eastAsia="zh-CN"/>
        </w:rPr>
        <w:t>：符合国家相关行业标准，并通过采购人验收。</w:t>
      </w:r>
    </w:p>
    <w:p w14:paraId="25ACA988">
      <w:pPr>
        <w:spacing w:line="420" w:lineRule="exact"/>
        <w:ind w:firstLine="422"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6</w:t>
      </w:r>
      <w:r>
        <w:rPr>
          <w:rFonts w:hint="eastAsia" w:ascii="宋体" w:hAnsi="宋体" w:eastAsia="宋体" w:cs="宋体"/>
          <w:color w:val="auto"/>
          <w:spacing w:val="6"/>
          <w:sz w:val="21"/>
          <w:szCs w:val="21"/>
          <w:highlight w:val="none"/>
        </w:rPr>
        <w:t>. 合同履行期限：</w:t>
      </w:r>
      <w:r>
        <w:rPr>
          <w:rFonts w:hint="eastAsia" w:ascii="宋体" w:hAnsi="宋体" w:eastAsia="宋体" w:cs="宋体"/>
          <w:color w:val="auto"/>
          <w:spacing w:val="6"/>
          <w:sz w:val="21"/>
          <w:szCs w:val="21"/>
          <w:highlight w:val="none"/>
          <w:lang w:val="en-US" w:eastAsia="zh-CN"/>
        </w:rPr>
        <w:t>同项目工期</w:t>
      </w:r>
      <w:r>
        <w:rPr>
          <w:rFonts w:hint="eastAsia" w:ascii="宋体" w:hAnsi="宋体" w:eastAsia="宋体" w:cs="宋体"/>
          <w:color w:val="auto"/>
          <w:spacing w:val="6"/>
          <w:sz w:val="21"/>
          <w:szCs w:val="21"/>
          <w:highlight w:val="none"/>
        </w:rPr>
        <w:t>；</w:t>
      </w:r>
    </w:p>
    <w:p w14:paraId="6C4006BB">
      <w:pPr>
        <w:spacing w:line="420" w:lineRule="exact"/>
        <w:ind w:firstLine="422"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7</w:t>
      </w:r>
      <w:r>
        <w:rPr>
          <w:rFonts w:hint="eastAsia" w:ascii="宋体" w:hAnsi="宋体" w:eastAsia="宋体" w:cs="宋体"/>
          <w:color w:val="auto"/>
          <w:spacing w:val="6"/>
          <w:sz w:val="21"/>
          <w:szCs w:val="21"/>
          <w:highlight w:val="none"/>
        </w:rPr>
        <w:t>. 本项目是否接受联合体投标：否；</w:t>
      </w:r>
    </w:p>
    <w:p w14:paraId="6238A67B">
      <w:pPr>
        <w:spacing w:line="420" w:lineRule="exact"/>
        <w:ind w:firstLine="422" w:firstLineChars="200"/>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val="en-US" w:eastAsia="zh-CN"/>
        </w:rPr>
        <w:t>8</w:t>
      </w:r>
      <w:r>
        <w:rPr>
          <w:rFonts w:hint="eastAsia" w:ascii="宋体" w:hAnsi="宋体" w:eastAsia="宋体" w:cs="宋体"/>
          <w:color w:val="auto"/>
          <w:spacing w:val="6"/>
          <w:sz w:val="21"/>
          <w:szCs w:val="21"/>
          <w:highlight w:val="none"/>
        </w:rPr>
        <w:t>. 是否接受进口产品：</w:t>
      </w:r>
      <w:r>
        <w:rPr>
          <w:rFonts w:hint="eastAsia" w:ascii="宋体" w:hAnsi="宋体" w:eastAsia="宋体" w:cs="宋体"/>
          <w:color w:val="auto"/>
          <w:spacing w:val="6"/>
          <w:sz w:val="21"/>
          <w:szCs w:val="21"/>
          <w:highlight w:val="none"/>
          <w:lang w:val="en-US" w:eastAsia="zh-CN"/>
        </w:rPr>
        <w:t>否</w:t>
      </w:r>
      <w:r>
        <w:rPr>
          <w:rFonts w:hint="eastAsia" w:ascii="宋体" w:hAnsi="宋体" w:eastAsia="宋体" w:cs="宋体"/>
          <w:color w:val="auto"/>
          <w:spacing w:val="6"/>
          <w:sz w:val="21"/>
          <w:szCs w:val="21"/>
          <w:highlight w:val="none"/>
          <w:lang w:eastAsia="zh-CN"/>
        </w:rPr>
        <w:t>；</w:t>
      </w:r>
    </w:p>
    <w:p w14:paraId="1DDC4C17">
      <w:pPr>
        <w:spacing w:line="420" w:lineRule="exact"/>
        <w:ind w:firstLine="422" w:firstLineChars="200"/>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val="en-US" w:eastAsia="zh-CN"/>
        </w:rPr>
        <w:t xml:space="preserve">9. </w:t>
      </w:r>
      <w:r>
        <w:rPr>
          <w:rFonts w:hint="eastAsia" w:ascii="宋体" w:hAnsi="宋体" w:eastAsia="宋体" w:cs="宋体"/>
          <w:color w:val="auto"/>
          <w:spacing w:val="6"/>
          <w:sz w:val="21"/>
          <w:szCs w:val="21"/>
          <w:highlight w:val="none"/>
        </w:rPr>
        <w:t>是否专门面向中小企业：否</w:t>
      </w:r>
      <w:r>
        <w:rPr>
          <w:rFonts w:hint="eastAsia" w:ascii="宋体" w:hAnsi="宋体" w:eastAsia="宋体" w:cs="宋体"/>
          <w:color w:val="auto"/>
          <w:spacing w:val="6"/>
          <w:sz w:val="21"/>
          <w:szCs w:val="21"/>
          <w:highlight w:val="none"/>
          <w:lang w:eastAsia="zh-CN"/>
        </w:rPr>
        <w:t>。</w:t>
      </w:r>
    </w:p>
    <w:p w14:paraId="39868922">
      <w:pPr>
        <w:spacing w:line="420" w:lineRule="exact"/>
        <w:ind w:firstLine="422" w:firstLineChars="200"/>
        <w:outlineLvl w:val="1"/>
        <w:rPr>
          <w:rFonts w:hint="eastAsia" w:ascii="宋体" w:hAnsi="宋体" w:eastAsia="宋体" w:cs="宋体"/>
          <w:b/>
          <w:bCs/>
          <w:color w:val="auto"/>
          <w:spacing w:val="6"/>
          <w:sz w:val="21"/>
          <w:szCs w:val="21"/>
          <w:highlight w:val="none"/>
        </w:rPr>
      </w:pPr>
      <w:bookmarkStart w:id="24" w:name="_Toc10904"/>
      <w:bookmarkStart w:id="25" w:name="_Toc20225"/>
      <w:bookmarkStart w:id="26" w:name="_Toc4665"/>
      <w:bookmarkStart w:id="27" w:name="_Toc30573"/>
      <w:bookmarkStart w:id="28" w:name="_Toc7697"/>
      <w:r>
        <w:rPr>
          <w:rFonts w:hint="eastAsia" w:ascii="宋体" w:hAnsi="宋体" w:eastAsia="宋体" w:cs="宋体"/>
          <w:b/>
          <w:bCs/>
          <w:color w:val="auto"/>
          <w:spacing w:val="6"/>
          <w:sz w:val="21"/>
          <w:szCs w:val="21"/>
          <w:highlight w:val="none"/>
        </w:rPr>
        <w:t>二、申请人资格要求</w:t>
      </w:r>
      <w:bookmarkEnd w:id="24"/>
      <w:bookmarkEnd w:id="25"/>
      <w:bookmarkEnd w:id="26"/>
      <w:bookmarkEnd w:id="27"/>
      <w:bookmarkEnd w:id="28"/>
    </w:p>
    <w:p w14:paraId="0E1EDACA">
      <w:pPr>
        <w:spacing w:line="420" w:lineRule="exact"/>
        <w:ind w:firstLine="422"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 满足《中华人民共和国政府采购法》第二十二条；</w:t>
      </w:r>
    </w:p>
    <w:p w14:paraId="4576B421">
      <w:pPr>
        <w:spacing w:line="420" w:lineRule="exact"/>
        <w:ind w:firstLine="422" w:firstLineChars="200"/>
        <w:rPr>
          <w:rFonts w:hint="eastAsia" w:ascii="宋体" w:hAnsi="宋体" w:eastAsia="宋体" w:cs="宋体"/>
          <w:color w:val="auto"/>
          <w:spacing w:val="6"/>
          <w:sz w:val="21"/>
          <w:szCs w:val="21"/>
          <w:highlight w:val="none"/>
        </w:rPr>
      </w:pPr>
      <w:bookmarkStart w:id="29" w:name="_Hlk89937116"/>
      <w:r>
        <w:rPr>
          <w:rFonts w:hint="eastAsia" w:ascii="宋体" w:hAnsi="宋体" w:eastAsia="宋体" w:cs="宋体"/>
          <w:color w:val="auto"/>
          <w:spacing w:val="6"/>
          <w:sz w:val="21"/>
          <w:szCs w:val="21"/>
          <w:highlight w:val="none"/>
        </w:rPr>
        <w:t>2. 落实政府采购政策满足的资格要求：</w:t>
      </w:r>
      <w:r>
        <w:rPr>
          <w:rFonts w:hint="eastAsia" w:ascii="宋体" w:hAnsi="宋体" w:cs="宋体"/>
          <w:color w:val="auto"/>
          <w:spacing w:val="6"/>
          <w:sz w:val="21"/>
          <w:szCs w:val="21"/>
          <w:highlight w:val="none"/>
          <w:lang w:val="en-US" w:eastAsia="zh-CN"/>
        </w:rPr>
        <w:t>/</w:t>
      </w:r>
      <w:r>
        <w:rPr>
          <w:rFonts w:hint="eastAsia" w:ascii="宋体" w:hAnsi="宋体" w:eastAsia="宋体" w:cs="宋体"/>
          <w:color w:val="auto"/>
          <w:spacing w:val="6"/>
          <w:sz w:val="21"/>
          <w:szCs w:val="21"/>
          <w:highlight w:val="none"/>
        </w:rPr>
        <w:t>；</w:t>
      </w:r>
    </w:p>
    <w:p w14:paraId="69287436">
      <w:pPr>
        <w:spacing w:line="420" w:lineRule="exact"/>
        <w:ind w:firstLine="422"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3. 本项目的特定资格要求：</w:t>
      </w:r>
      <w:bookmarkEnd w:id="29"/>
      <w:r>
        <w:rPr>
          <w:rFonts w:hint="eastAsia" w:ascii="宋体" w:hAnsi="宋体" w:eastAsia="宋体" w:cs="宋体"/>
          <w:color w:val="auto"/>
          <w:spacing w:val="6"/>
          <w:sz w:val="21"/>
          <w:szCs w:val="21"/>
          <w:highlight w:val="none"/>
          <w:lang w:val="en-US" w:eastAsia="zh-CN"/>
        </w:rPr>
        <w:t>无；</w:t>
      </w:r>
    </w:p>
    <w:p w14:paraId="01E88FFC">
      <w:pPr>
        <w:spacing w:line="420" w:lineRule="exact"/>
        <w:ind w:firstLine="422" w:firstLineChars="200"/>
        <w:rPr>
          <w:rFonts w:hint="eastAsia" w:ascii="宋体" w:hAnsi="宋体" w:eastAsia="宋体" w:cs="宋体"/>
          <w:b w:val="0"/>
          <w:bCs w:val="0"/>
          <w:color w:val="auto"/>
          <w:spacing w:val="6"/>
          <w:sz w:val="21"/>
          <w:szCs w:val="21"/>
          <w:highlight w:val="none"/>
          <w:lang w:eastAsia="zh-CN"/>
        </w:rPr>
      </w:pPr>
      <w:r>
        <w:rPr>
          <w:rFonts w:hint="eastAsia" w:ascii="宋体" w:hAnsi="宋体" w:eastAsia="宋体" w:cs="宋体"/>
          <w:color w:val="auto"/>
          <w:spacing w:val="6"/>
          <w:sz w:val="21"/>
          <w:szCs w:val="21"/>
          <w:highlight w:val="none"/>
          <w:lang w:val="en-US" w:eastAsia="zh-CN"/>
        </w:rPr>
        <w:t>信誉要求</w:t>
      </w:r>
      <w:r>
        <w:rPr>
          <w:rFonts w:hint="eastAsia" w:ascii="宋体" w:hAnsi="宋体" w:eastAsia="宋体" w:cs="宋体"/>
          <w:color w:val="auto"/>
          <w:spacing w:val="6"/>
          <w:sz w:val="21"/>
          <w:szCs w:val="21"/>
          <w:highlight w:val="none"/>
        </w:rPr>
        <w:t>：截至本项目</w:t>
      </w:r>
      <w:r>
        <w:rPr>
          <w:rFonts w:hint="eastAsia" w:ascii="宋体" w:hAnsi="宋体" w:eastAsia="宋体" w:cs="宋体"/>
          <w:color w:val="auto"/>
          <w:spacing w:val="6"/>
          <w:sz w:val="21"/>
          <w:szCs w:val="21"/>
          <w:highlight w:val="none"/>
          <w:lang w:val="en-US" w:eastAsia="zh-CN"/>
        </w:rPr>
        <w:t>投标截止时间</w:t>
      </w:r>
      <w:r>
        <w:rPr>
          <w:rFonts w:hint="eastAsia" w:ascii="宋体" w:hAnsi="宋体" w:eastAsia="宋体" w:cs="宋体"/>
          <w:color w:val="auto"/>
          <w:spacing w:val="6"/>
          <w:sz w:val="21"/>
          <w:szCs w:val="21"/>
          <w:highlight w:val="none"/>
        </w:rPr>
        <w:t>，投标人应未被列入“信用中国”网站的“失信被执行人”</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lang w:eastAsia="zh-CN"/>
        </w:rPr>
        <w:t>重大税收违法失信主体</w:t>
      </w:r>
      <w:r>
        <w:rPr>
          <w:rFonts w:hint="eastAsia" w:ascii="宋体" w:hAnsi="宋体" w:eastAsia="宋体" w:cs="宋体"/>
          <w:color w:val="auto"/>
          <w:spacing w:val="6"/>
          <w:sz w:val="21"/>
          <w:szCs w:val="21"/>
          <w:highlight w:val="none"/>
        </w:rPr>
        <w:t>”，且应未被列入“中国政府采购网”网站的“政府采购严重违法失信行为记录名单”。</w:t>
      </w:r>
    </w:p>
    <w:p w14:paraId="26995855">
      <w:pPr>
        <w:spacing w:line="420" w:lineRule="exact"/>
        <w:ind w:firstLine="422" w:firstLineChars="200"/>
        <w:outlineLvl w:val="1"/>
        <w:rPr>
          <w:rFonts w:hint="eastAsia" w:ascii="宋体" w:hAnsi="宋体" w:eastAsia="宋体" w:cs="宋体"/>
          <w:b/>
          <w:bCs/>
          <w:color w:val="auto"/>
          <w:spacing w:val="6"/>
          <w:sz w:val="21"/>
          <w:szCs w:val="21"/>
          <w:highlight w:val="none"/>
        </w:rPr>
      </w:pPr>
      <w:bookmarkStart w:id="30" w:name="_Toc29856"/>
      <w:bookmarkStart w:id="31" w:name="_Toc18650"/>
      <w:bookmarkStart w:id="32" w:name="_Toc1577"/>
      <w:bookmarkStart w:id="33" w:name="_Toc12584"/>
      <w:bookmarkStart w:id="34" w:name="_Toc27938"/>
      <w:r>
        <w:rPr>
          <w:rFonts w:hint="eastAsia" w:ascii="宋体" w:hAnsi="宋体" w:eastAsia="宋体" w:cs="宋体"/>
          <w:b/>
          <w:bCs/>
          <w:color w:val="auto"/>
          <w:spacing w:val="6"/>
          <w:sz w:val="21"/>
          <w:szCs w:val="21"/>
          <w:highlight w:val="none"/>
        </w:rPr>
        <w:t>三、获取招标文件</w:t>
      </w:r>
      <w:bookmarkEnd w:id="30"/>
      <w:bookmarkEnd w:id="31"/>
      <w:bookmarkEnd w:id="32"/>
      <w:bookmarkEnd w:id="33"/>
      <w:bookmarkEnd w:id="34"/>
    </w:p>
    <w:p w14:paraId="3CB531B3">
      <w:pPr>
        <w:spacing w:line="420" w:lineRule="exact"/>
        <w:ind w:firstLine="422"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 时间：</w:t>
      </w:r>
      <w:r>
        <w:rPr>
          <w:rFonts w:hint="default" w:ascii="Times New Roman" w:hAnsi="Times New Roman" w:eastAsia="宋体" w:cs="Times New Roman"/>
          <w:color w:val="auto"/>
          <w:lang w:eastAsia="zh-CN"/>
        </w:rPr>
        <w:t>202</w:t>
      </w:r>
      <w:r>
        <w:rPr>
          <w:rFonts w:hint="default" w:ascii="Times New Roman" w:hAnsi="Times New Roman" w:eastAsia="宋体" w:cs="Times New Roman"/>
          <w:color w:val="auto"/>
          <w:lang w:val="en-US" w:eastAsia="zh-CN"/>
        </w:rPr>
        <w:t>5</w:t>
      </w:r>
      <w:r>
        <w:rPr>
          <w:rFonts w:hint="default" w:ascii="Times New Roman" w:hAnsi="Times New Roman" w:eastAsia="宋体" w:cs="Times New Roman"/>
          <w:color w:val="auto"/>
          <w:lang w:eastAsia="zh-CN"/>
        </w:rPr>
        <w:t>年</w:t>
      </w:r>
      <w:r>
        <w:rPr>
          <w:rFonts w:hint="eastAsia" w:cs="Times New Roman"/>
          <w:color w:val="auto"/>
          <w:lang w:val="en-US" w:eastAsia="zh-CN"/>
        </w:rPr>
        <w:t>9</w:t>
      </w:r>
      <w:r>
        <w:rPr>
          <w:rFonts w:hint="default" w:ascii="Times New Roman" w:hAnsi="Times New Roman" w:eastAsia="宋体" w:cs="Times New Roman"/>
          <w:color w:val="auto"/>
          <w:lang w:eastAsia="zh-CN"/>
        </w:rPr>
        <w:t>月</w:t>
      </w:r>
      <w:r>
        <w:rPr>
          <w:rFonts w:hint="eastAsia" w:cs="Times New Roman"/>
          <w:color w:val="auto"/>
          <w:lang w:val="en-US" w:eastAsia="zh-CN"/>
        </w:rPr>
        <w:t>8</w:t>
      </w:r>
      <w:r>
        <w:rPr>
          <w:rFonts w:hint="default" w:ascii="Times New Roman" w:hAnsi="Times New Roman" w:eastAsia="宋体" w:cs="Times New Roman"/>
          <w:color w:val="auto"/>
          <w:lang w:eastAsia="zh-CN"/>
        </w:rPr>
        <w:t>日至202</w:t>
      </w:r>
      <w:r>
        <w:rPr>
          <w:rFonts w:hint="default" w:ascii="Times New Roman" w:hAnsi="Times New Roman" w:eastAsia="宋体" w:cs="Times New Roman"/>
          <w:color w:val="auto"/>
          <w:lang w:val="en-US" w:eastAsia="zh-CN"/>
        </w:rPr>
        <w:t>5</w:t>
      </w:r>
      <w:r>
        <w:rPr>
          <w:rFonts w:hint="default" w:ascii="Times New Roman" w:hAnsi="Times New Roman" w:eastAsia="宋体" w:cs="Times New Roman"/>
          <w:color w:val="auto"/>
          <w:lang w:eastAsia="zh-CN"/>
        </w:rPr>
        <w:t>年</w:t>
      </w:r>
      <w:r>
        <w:rPr>
          <w:rFonts w:hint="eastAsia" w:cs="Times New Roman"/>
          <w:color w:val="auto"/>
          <w:lang w:val="en-US" w:eastAsia="zh-CN"/>
        </w:rPr>
        <w:t>9</w:t>
      </w:r>
      <w:r>
        <w:rPr>
          <w:rFonts w:hint="default" w:ascii="Times New Roman" w:hAnsi="Times New Roman" w:eastAsia="宋体" w:cs="Times New Roman"/>
          <w:color w:val="auto"/>
          <w:lang w:eastAsia="zh-CN"/>
        </w:rPr>
        <w:t>月</w:t>
      </w:r>
      <w:r>
        <w:rPr>
          <w:rFonts w:hint="eastAsia" w:cs="Times New Roman"/>
          <w:color w:val="auto"/>
          <w:lang w:val="en-US" w:eastAsia="zh-CN"/>
        </w:rPr>
        <w:t>15</w:t>
      </w:r>
      <w:r>
        <w:rPr>
          <w:rFonts w:hint="default" w:ascii="Times New Roman" w:hAnsi="Times New Roman" w:eastAsia="宋体" w:cs="Times New Roman"/>
          <w:color w:val="auto"/>
          <w:lang w:eastAsia="zh-CN"/>
        </w:rPr>
        <w:t>日</w:t>
      </w:r>
      <w:r>
        <w:rPr>
          <w:rFonts w:hint="eastAsia" w:ascii="宋体" w:hAnsi="宋体" w:eastAsia="宋体" w:cs="宋体"/>
          <w:color w:val="auto"/>
          <w:spacing w:val="6"/>
          <w:sz w:val="21"/>
          <w:szCs w:val="21"/>
          <w:highlight w:val="none"/>
        </w:rPr>
        <w:t>，每天上午00:00至12:00，下午12:00至23:59（北京时间）</w:t>
      </w:r>
    </w:p>
    <w:p w14:paraId="0366BFE6">
      <w:pPr>
        <w:spacing w:line="420" w:lineRule="exact"/>
        <w:ind w:firstLine="422"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2.地点：登录“河南省公共资源交易中心</w:t>
      </w:r>
      <w:r>
        <w:rPr>
          <w:rFonts w:hint="eastAsia" w:eastAsiaTheme="minorEastAsia"/>
          <w:spacing w:val="6"/>
          <w:sz w:val="21"/>
          <w:szCs w:val="21"/>
        </w:rPr>
        <w:t>（http://hnsggzyjy.henan.gov.cn/）</w:t>
      </w:r>
      <w:r>
        <w:rPr>
          <w:rFonts w:hint="eastAsia" w:ascii="宋体" w:hAnsi="宋体" w:eastAsia="宋体" w:cs="宋体"/>
          <w:color w:val="auto"/>
          <w:spacing w:val="6"/>
          <w:sz w:val="21"/>
          <w:szCs w:val="21"/>
          <w:highlight w:val="none"/>
        </w:rPr>
        <w:t>”</w:t>
      </w:r>
    </w:p>
    <w:p w14:paraId="1780E7C5">
      <w:pPr>
        <w:spacing w:line="420" w:lineRule="exact"/>
        <w:ind w:firstLine="422" w:firstLineChars="200"/>
        <w:rPr>
          <w:rFonts w:hint="eastAsia" w:ascii="宋体" w:hAnsi="宋体" w:eastAsia="宋体" w:cs="宋体"/>
          <w:color w:val="auto"/>
          <w:spacing w:val="6"/>
          <w:sz w:val="21"/>
          <w:szCs w:val="21"/>
          <w:highlight w:val="none"/>
          <w:lang w:val="en-US" w:eastAsia="zh-CN" w:bidi="ar-SA"/>
        </w:rPr>
      </w:pPr>
      <w:r>
        <w:rPr>
          <w:rFonts w:hint="eastAsia" w:ascii="宋体" w:hAnsi="宋体" w:eastAsia="宋体" w:cs="宋体"/>
          <w:color w:val="auto"/>
          <w:spacing w:val="6"/>
          <w:sz w:val="21"/>
          <w:szCs w:val="21"/>
          <w:highlight w:val="none"/>
        </w:rPr>
        <w:t>3.方式：</w:t>
      </w:r>
      <w:r>
        <w:rPr>
          <w:rFonts w:hint="eastAsia" w:ascii="宋体" w:hAnsi="宋体" w:eastAsia="宋体" w:cs="宋体"/>
          <w:color w:val="auto"/>
          <w:spacing w:val="6"/>
          <w:sz w:val="21"/>
          <w:szCs w:val="21"/>
          <w:highlight w:val="none"/>
          <w:lang w:val="en-US" w:eastAsia="zh-CN" w:bidi="ar-SA"/>
        </w:rPr>
        <w:t>市场主体需要完成信息登记及CA数字证书办理，凭CA密钥登陆河南省公共资源交易中心市场主体系统并在规定时间内按网上提示下载招标（采购）文件；获取招标文件后，供应商请到河南省公共资源交易中心网站下载最新版本的投标文件制作工具安装包，并使用安装后的最新版本投标文件制作工具制作电子投标文件。具体办理事宜请查阅河南省公共资源交易中心网站—公共服务—办事指南中的《新交易平台使用手册（培训资料）》。</w:t>
      </w:r>
    </w:p>
    <w:p w14:paraId="112BCC39">
      <w:pPr>
        <w:spacing w:line="420" w:lineRule="exact"/>
        <w:ind w:firstLine="422"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4. 售价：0元</w:t>
      </w:r>
    </w:p>
    <w:p w14:paraId="7F3C0FF3">
      <w:pPr>
        <w:spacing w:line="420" w:lineRule="exact"/>
        <w:ind w:firstLine="422" w:firstLineChars="200"/>
        <w:outlineLvl w:val="1"/>
        <w:rPr>
          <w:rFonts w:hint="eastAsia" w:ascii="宋体" w:hAnsi="宋体" w:eastAsia="宋体" w:cs="宋体"/>
          <w:b/>
          <w:bCs/>
          <w:color w:val="auto"/>
          <w:spacing w:val="6"/>
          <w:sz w:val="21"/>
          <w:szCs w:val="21"/>
          <w:highlight w:val="none"/>
        </w:rPr>
      </w:pPr>
      <w:bookmarkStart w:id="35" w:name="_Toc13470"/>
      <w:bookmarkStart w:id="36" w:name="_Toc24127"/>
      <w:bookmarkStart w:id="37" w:name="_Toc17823"/>
      <w:bookmarkStart w:id="38" w:name="_Toc27684"/>
      <w:bookmarkStart w:id="39" w:name="_Toc18509"/>
      <w:r>
        <w:rPr>
          <w:rFonts w:hint="eastAsia" w:ascii="宋体" w:hAnsi="宋体" w:eastAsia="宋体" w:cs="宋体"/>
          <w:b/>
          <w:bCs/>
          <w:color w:val="auto"/>
          <w:spacing w:val="6"/>
          <w:sz w:val="21"/>
          <w:szCs w:val="21"/>
          <w:highlight w:val="none"/>
        </w:rPr>
        <w:t>四、投标截止时间及地点</w:t>
      </w:r>
      <w:bookmarkEnd w:id="35"/>
      <w:bookmarkEnd w:id="36"/>
      <w:bookmarkEnd w:id="37"/>
      <w:bookmarkEnd w:id="38"/>
      <w:bookmarkEnd w:id="39"/>
    </w:p>
    <w:p w14:paraId="32BF6655">
      <w:pPr>
        <w:spacing w:line="420" w:lineRule="exact"/>
        <w:ind w:firstLine="422" w:firstLineChars="200"/>
        <w:rPr>
          <w:rFonts w:hint="eastAsia" w:ascii="宋体" w:hAnsi="宋体" w:eastAsia="宋体" w:cs="宋体"/>
          <w:color w:val="auto"/>
          <w:spacing w:val="6"/>
          <w:sz w:val="21"/>
          <w:szCs w:val="21"/>
          <w:highlight w:val="none"/>
        </w:rPr>
      </w:pPr>
      <w:bookmarkStart w:id="40" w:name="_Toc29748"/>
      <w:r>
        <w:rPr>
          <w:rFonts w:hint="eastAsia" w:ascii="宋体" w:hAnsi="宋体" w:eastAsia="宋体" w:cs="宋体"/>
          <w:color w:val="auto"/>
          <w:spacing w:val="6"/>
          <w:sz w:val="21"/>
          <w:szCs w:val="21"/>
          <w:highlight w:val="none"/>
        </w:rPr>
        <w:t>1. 时间：</w:t>
      </w:r>
      <w:r>
        <w:rPr>
          <w:rFonts w:hint="eastAsia" w:ascii="Times New Roman" w:hAnsi="Times New Roman" w:eastAsia="宋体" w:cs="Times New Roman"/>
          <w:color w:val="auto"/>
          <w:lang w:eastAsia="zh-CN"/>
        </w:rPr>
        <w:t>202</w:t>
      </w:r>
      <w:r>
        <w:rPr>
          <w:rFonts w:hint="eastAsia" w:ascii="Times New Roman" w:hAnsi="Times New Roman" w:eastAsia="宋体" w:cs="Times New Roman"/>
          <w:color w:val="auto"/>
          <w:lang w:val="en-US" w:eastAsia="zh-CN"/>
        </w:rPr>
        <w:t>5</w:t>
      </w:r>
      <w:r>
        <w:rPr>
          <w:rFonts w:hint="eastAsia" w:ascii="宋体" w:hAnsi="宋体" w:eastAsia="宋体" w:cs="宋体"/>
          <w:b w:val="0"/>
          <w:bCs w:val="0"/>
          <w:i w:val="0"/>
          <w:iCs w:val="0"/>
          <w:color w:val="auto"/>
          <w:sz w:val="21"/>
          <w:szCs w:val="21"/>
          <w:highlight w:val="none"/>
          <w:u w:val="none"/>
        </w:rPr>
        <w:t>年</w:t>
      </w:r>
      <w:r>
        <w:rPr>
          <w:rFonts w:hint="eastAsia" w:ascii="Times New Roman" w:hAnsi="Times New Roman" w:eastAsia="宋体" w:cs="Times New Roman"/>
          <w:color w:val="auto"/>
          <w:lang w:val="en-US" w:eastAsia="zh-CN"/>
        </w:rPr>
        <w:t>9</w:t>
      </w:r>
      <w:r>
        <w:rPr>
          <w:rFonts w:hint="eastAsia" w:ascii="宋体" w:hAnsi="宋体" w:eastAsia="宋体" w:cs="宋体"/>
          <w:b w:val="0"/>
          <w:bCs w:val="0"/>
          <w:i w:val="0"/>
          <w:iCs w:val="0"/>
          <w:color w:val="auto"/>
          <w:sz w:val="21"/>
          <w:szCs w:val="21"/>
          <w:highlight w:val="none"/>
          <w:u w:val="none"/>
        </w:rPr>
        <w:t>月</w:t>
      </w:r>
      <w:r>
        <w:rPr>
          <w:rFonts w:hint="eastAsia" w:ascii="Times New Roman" w:hAnsi="Times New Roman" w:eastAsia="宋体" w:cs="Times New Roman"/>
          <w:color w:val="auto"/>
          <w:lang w:val="en-US" w:eastAsia="zh-CN"/>
        </w:rPr>
        <w:t>29</w:t>
      </w:r>
      <w:r>
        <w:rPr>
          <w:rFonts w:hint="eastAsia" w:ascii="宋体" w:hAnsi="宋体" w:eastAsia="宋体" w:cs="宋体"/>
          <w:b w:val="0"/>
          <w:bCs w:val="0"/>
          <w:i w:val="0"/>
          <w:iCs w:val="0"/>
          <w:color w:val="auto"/>
          <w:sz w:val="21"/>
          <w:szCs w:val="21"/>
          <w:highlight w:val="none"/>
          <w:u w:val="none"/>
        </w:rPr>
        <w:t>日</w:t>
      </w:r>
      <w:r>
        <w:rPr>
          <w:rFonts w:hint="eastAsia" w:ascii="Times New Roman" w:hAnsi="Times New Roman" w:eastAsia="宋体" w:cs="Times New Roman"/>
          <w:color w:val="auto"/>
          <w:lang w:val="en-US" w:eastAsia="zh-CN"/>
        </w:rPr>
        <w:t>09</w:t>
      </w:r>
      <w:r>
        <w:rPr>
          <w:rFonts w:hint="eastAsia" w:ascii="宋体" w:hAnsi="宋体" w:eastAsia="宋体" w:cs="宋体"/>
          <w:b w:val="0"/>
          <w:bCs w:val="0"/>
          <w:i w:val="0"/>
          <w:iCs w:val="0"/>
          <w:color w:val="auto"/>
          <w:sz w:val="21"/>
          <w:szCs w:val="21"/>
          <w:highlight w:val="none"/>
          <w:u w:val="none"/>
        </w:rPr>
        <w:t>时</w:t>
      </w:r>
      <w:r>
        <w:rPr>
          <w:rFonts w:hint="eastAsia" w:ascii="Times New Roman" w:hAnsi="Times New Roman" w:eastAsia="宋体" w:cs="Times New Roman"/>
          <w:color w:val="auto"/>
          <w:lang w:val="en-US" w:eastAsia="zh-CN"/>
        </w:rPr>
        <w:t>00</w:t>
      </w:r>
      <w:r>
        <w:rPr>
          <w:rFonts w:hint="eastAsia" w:ascii="宋体" w:hAnsi="宋体" w:eastAsia="宋体" w:cs="宋体"/>
          <w:b w:val="0"/>
          <w:bCs w:val="0"/>
          <w:i w:val="0"/>
          <w:iCs w:val="0"/>
          <w:color w:val="auto"/>
          <w:sz w:val="21"/>
          <w:szCs w:val="21"/>
          <w:highlight w:val="none"/>
          <w:u w:val="none"/>
        </w:rPr>
        <w:t>分（北京时间）</w:t>
      </w:r>
      <w:bookmarkEnd w:id="40"/>
    </w:p>
    <w:p w14:paraId="15D2AA50">
      <w:pPr>
        <w:spacing w:line="420" w:lineRule="exact"/>
        <w:ind w:firstLine="422" w:firstLineChars="200"/>
        <w:rPr>
          <w:rFonts w:hint="eastAsia" w:ascii="宋体" w:hAnsi="宋体" w:eastAsia="宋体" w:cs="宋体"/>
          <w:b w:val="0"/>
          <w:bCs w:val="0"/>
          <w:i w:val="0"/>
          <w:iCs w:val="0"/>
          <w:color w:val="auto"/>
          <w:sz w:val="21"/>
          <w:szCs w:val="21"/>
          <w:highlight w:val="none"/>
        </w:rPr>
      </w:pPr>
      <w:bookmarkStart w:id="41" w:name="_Toc5022"/>
      <w:r>
        <w:rPr>
          <w:rFonts w:hint="eastAsia" w:ascii="宋体" w:hAnsi="宋体" w:eastAsia="宋体" w:cs="宋体"/>
          <w:color w:val="auto"/>
          <w:spacing w:val="6"/>
          <w:sz w:val="21"/>
          <w:szCs w:val="21"/>
          <w:highlight w:val="none"/>
        </w:rPr>
        <w:t>2. 地点：</w:t>
      </w:r>
      <w:bookmarkEnd w:id="41"/>
      <w:r>
        <w:rPr>
          <w:rFonts w:hint="eastAsia" w:ascii="宋体" w:hAnsi="宋体" w:eastAsia="宋体" w:cs="宋体"/>
          <w:b w:val="0"/>
          <w:bCs w:val="0"/>
          <w:i w:val="0"/>
          <w:iCs w:val="0"/>
          <w:color w:val="auto"/>
          <w:sz w:val="21"/>
          <w:szCs w:val="21"/>
          <w:highlight w:val="none"/>
        </w:rPr>
        <w:t>加密电子投标文件须在投标截止时间前通过“河南省公共资源交易中心网站</w:t>
      </w:r>
      <w:r>
        <w:rPr>
          <w:rFonts w:hint="eastAsia" w:eastAsiaTheme="minorEastAsia"/>
          <w:spacing w:val="6"/>
          <w:sz w:val="21"/>
          <w:szCs w:val="21"/>
        </w:rPr>
        <w:t>（http://hnsggzyjy.henan.gov.cn/）</w:t>
      </w:r>
      <w:r>
        <w:rPr>
          <w:rFonts w:hint="eastAsia" w:ascii="宋体" w:hAnsi="宋体" w:eastAsia="宋体" w:cs="宋体"/>
          <w:b w:val="0"/>
          <w:bCs w:val="0"/>
          <w:i w:val="0"/>
          <w:iCs w:val="0"/>
          <w:color w:val="auto"/>
          <w:sz w:val="21"/>
          <w:szCs w:val="21"/>
          <w:highlight w:val="none"/>
        </w:rPr>
        <w:t>”电子交易平台加密上传。逾期上传的或者未上传指定系统的投标文件，采购人不予受理。</w:t>
      </w:r>
    </w:p>
    <w:p w14:paraId="3B747C60">
      <w:pPr>
        <w:spacing w:line="420" w:lineRule="exact"/>
        <w:ind w:firstLine="422" w:firstLineChars="200"/>
        <w:outlineLvl w:val="1"/>
        <w:rPr>
          <w:rFonts w:hint="eastAsia" w:ascii="宋体" w:hAnsi="宋体" w:eastAsia="宋体" w:cs="宋体"/>
          <w:b/>
          <w:bCs/>
          <w:color w:val="auto"/>
          <w:spacing w:val="6"/>
          <w:sz w:val="21"/>
          <w:szCs w:val="21"/>
          <w:highlight w:val="none"/>
        </w:rPr>
      </w:pPr>
      <w:bookmarkStart w:id="42" w:name="_Toc2197"/>
      <w:bookmarkStart w:id="43" w:name="_Toc15125"/>
      <w:bookmarkStart w:id="44" w:name="_Toc18111"/>
      <w:bookmarkStart w:id="45" w:name="_Toc6885"/>
      <w:bookmarkStart w:id="46" w:name="_Toc20047"/>
      <w:r>
        <w:rPr>
          <w:rFonts w:hint="eastAsia" w:ascii="宋体" w:hAnsi="宋体" w:eastAsia="宋体" w:cs="宋体"/>
          <w:b/>
          <w:bCs/>
          <w:color w:val="auto"/>
          <w:spacing w:val="6"/>
          <w:sz w:val="21"/>
          <w:szCs w:val="21"/>
          <w:highlight w:val="none"/>
        </w:rPr>
        <w:t>五、开标时间及地点</w:t>
      </w:r>
      <w:bookmarkEnd w:id="42"/>
      <w:bookmarkEnd w:id="43"/>
      <w:bookmarkEnd w:id="44"/>
      <w:bookmarkEnd w:id="45"/>
      <w:bookmarkEnd w:id="46"/>
    </w:p>
    <w:p w14:paraId="0CF975D0">
      <w:pPr>
        <w:spacing w:line="420" w:lineRule="exact"/>
        <w:ind w:firstLine="422" w:firstLineChars="200"/>
        <w:rPr>
          <w:rFonts w:hint="eastAsia" w:ascii="宋体" w:hAnsi="宋体" w:eastAsia="宋体" w:cs="宋体"/>
          <w:b w:val="0"/>
          <w:bCs w:val="0"/>
          <w:i w:val="0"/>
          <w:iCs w:val="0"/>
          <w:color w:val="auto"/>
          <w:sz w:val="21"/>
          <w:szCs w:val="21"/>
          <w:highlight w:val="yellow"/>
          <w:u w:val="none"/>
        </w:rPr>
      </w:pPr>
      <w:bookmarkStart w:id="47" w:name="_Toc21483"/>
      <w:r>
        <w:rPr>
          <w:rFonts w:hint="eastAsia" w:ascii="宋体" w:hAnsi="宋体" w:eastAsia="宋体" w:cs="宋体"/>
          <w:color w:val="auto"/>
          <w:spacing w:val="6"/>
          <w:sz w:val="21"/>
          <w:szCs w:val="21"/>
          <w:highlight w:val="none"/>
        </w:rPr>
        <w:t>1.时间：</w:t>
      </w:r>
      <w:r>
        <w:rPr>
          <w:rFonts w:hint="eastAsia" w:ascii="Times New Roman" w:hAnsi="Times New Roman" w:eastAsia="宋体" w:cs="Times New Roman"/>
          <w:color w:val="auto"/>
          <w:lang w:eastAsia="zh-CN"/>
        </w:rPr>
        <w:t>202</w:t>
      </w:r>
      <w:r>
        <w:rPr>
          <w:rFonts w:hint="eastAsia" w:ascii="Times New Roman" w:hAnsi="Times New Roman" w:eastAsia="宋体" w:cs="Times New Roman"/>
          <w:color w:val="auto"/>
          <w:lang w:val="en-US" w:eastAsia="zh-CN"/>
        </w:rPr>
        <w:t>5</w:t>
      </w:r>
      <w:r>
        <w:rPr>
          <w:rFonts w:hint="eastAsia" w:ascii="宋体" w:hAnsi="宋体" w:eastAsia="宋体" w:cs="宋体"/>
          <w:b w:val="0"/>
          <w:bCs w:val="0"/>
          <w:i w:val="0"/>
          <w:iCs w:val="0"/>
          <w:color w:val="auto"/>
          <w:sz w:val="21"/>
          <w:szCs w:val="21"/>
          <w:highlight w:val="none"/>
          <w:u w:val="none"/>
        </w:rPr>
        <w:t>年</w:t>
      </w:r>
      <w:r>
        <w:rPr>
          <w:rFonts w:hint="eastAsia" w:ascii="Times New Roman" w:hAnsi="Times New Roman" w:eastAsia="宋体" w:cs="Times New Roman"/>
          <w:color w:val="auto"/>
          <w:lang w:val="en-US" w:eastAsia="zh-CN"/>
        </w:rPr>
        <w:t>9</w:t>
      </w:r>
      <w:r>
        <w:rPr>
          <w:rFonts w:hint="eastAsia" w:ascii="宋体" w:hAnsi="宋体" w:eastAsia="宋体" w:cs="宋体"/>
          <w:b w:val="0"/>
          <w:bCs w:val="0"/>
          <w:i w:val="0"/>
          <w:iCs w:val="0"/>
          <w:color w:val="auto"/>
          <w:sz w:val="21"/>
          <w:szCs w:val="21"/>
          <w:highlight w:val="none"/>
          <w:u w:val="none"/>
        </w:rPr>
        <w:t>月</w:t>
      </w:r>
      <w:r>
        <w:rPr>
          <w:rFonts w:hint="eastAsia" w:ascii="Times New Roman" w:hAnsi="Times New Roman" w:eastAsia="宋体" w:cs="Times New Roman"/>
          <w:color w:val="auto"/>
          <w:lang w:val="en-US" w:eastAsia="zh-CN"/>
        </w:rPr>
        <w:t>29</w:t>
      </w:r>
      <w:r>
        <w:rPr>
          <w:rFonts w:hint="eastAsia" w:ascii="宋体" w:hAnsi="宋体" w:eastAsia="宋体" w:cs="宋体"/>
          <w:b w:val="0"/>
          <w:bCs w:val="0"/>
          <w:i w:val="0"/>
          <w:iCs w:val="0"/>
          <w:color w:val="auto"/>
          <w:sz w:val="21"/>
          <w:szCs w:val="21"/>
          <w:highlight w:val="none"/>
          <w:u w:val="none"/>
        </w:rPr>
        <w:t>日</w:t>
      </w:r>
      <w:r>
        <w:rPr>
          <w:rFonts w:hint="eastAsia" w:ascii="Times New Roman" w:hAnsi="Times New Roman" w:eastAsia="宋体" w:cs="Times New Roman"/>
          <w:color w:val="auto"/>
          <w:lang w:val="en-US" w:eastAsia="zh-CN"/>
        </w:rPr>
        <w:t>09</w:t>
      </w:r>
      <w:r>
        <w:rPr>
          <w:rFonts w:hint="eastAsia" w:ascii="宋体" w:hAnsi="宋体" w:eastAsia="宋体" w:cs="宋体"/>
          <w:b w:val="0"/>
          <w:bCs w:val="0"/>
          <w:i w:val="0"/>
          <w:iCs w:val="0"/>
          <w:color w:val="auto"/>
          <w:sz w:val="21"/>
          <w:szCs w:val="21"/>
          <w:highlight w:val="none"/>
          <w:u w:val="none"/>
        </w:rPr>
        <w:t>时</w:t>
      </w:r>
      <w:r>
        <w:rPr>
          <w:rFonts w:hint="eastAsia" w:ascii="Times New Roman" w:hAnsi="Times New Roman" w:eastAsia="宋体" w:cs="Times New Roman"/>
          <w:color w:val="auto"/>
          <w:lang w:val="en-US" w:eastAsia="zh-CN"/>
        </w:rPr>
        <w:t>00</w:t>
      </w:r>
      <w:r>
        <w:rPr>
          <w:rFonts w:hint="eastAsia" w:ascii="宋体" w:hAnsi="宋体" w:eastAsia="宋体" w:cs="宋体"/>
          <w:b w:val="0"/>
          <w:bCs w:val="0"/>
          <w:i w:val="0"/>
          <w:iCs w:val="0"/>
          <w:color w:val="auto"/>
          <w:sz w:val="21"/>
          <w:szCs w:val="21"/>
          <w:highlight w:val="none"/>
          <w:u w:val="none"/>
        </w:rPr>
        <w:t>分（北京时间）</w:t>
      </w:r>
      <w:bookmarkEnd w:id="47"/>
    </w:p>
    <w:p w14:paraId="4B6B902A">
      <w:pPr>
        <w:spacing w:line="420" w:lineRule="exact"/>
        <w:ind w:firstLine="422" w:firstLineChars="200"/>
        <w:rPr>
          <w:rFonts w:hint="eastAsia" w:ascii="宋体" w:hAnsi="宋体" w:eastAsia="宋体" w:cs="宋体"/>
          <w:b w:val="0"/>
          <w:bCs w:val="0"/>
          <w:i w:val="0"/>
          <w:iCs w:val="0"/>
          <w:color w:val="auto"/>
          <w:sz w:val="21"/>
          <w:szCs w:val="21"/>
          <w:highlight w:val="none"/>
        </w:rPr>
      </w:pPr>
      <w:bookmarkStart w:id="48" w:name="_Toc25506"/>
      <w:r>
        <w:rPr>
          <w:rFonts w:hint="eastAsia" w:ascii="宋体" w:hAnsi="宋体" w:eastAsia="宋体" w:cs="宋体"/>
          <w:color w:val="auto"/>
          <w:spacing w:val="6"/>
          <w:sz w:val="21"/>
          <w:szCs w:val="21"/>
          <w:highlight w:val="none"/>
        </w:rPr>
        <w:t>2.地点：</w:t>
      </w:r>
      <w:bookmarkEnd w:id="48"/>
      <w:r>
        <w:rPr>
          <w:rFonts w:hint="eastAsia" w:ascii="宋体" w:hAnsi="宋体" w:eastAsia="宋体" w:cs="宋体"/>
          <w:b w:val="0"/>
          <w:bCs w:val="0"/>
          <w:i w:val="0"/>
          <w:iCs w:val="0"/>
          <w:color w:val="auto"/>
          <w:sz w:val="21"/>
          <w:szCs w:val="21"/>
          <w:highlight w:val="none"/>
        </w:rPr>
        <w:t>河南省公共资源交易中心远程开标室(二)-5（郑州市经二路12号）。</w:t>
      </w:r>
    </w:p>
    <w:p w14:paraId="4CB02888">
      <w:pPr>
        <w:spacing w:line="420" w:lineRule="exact"/>
        <w:ind w:firstLine="422" w:firstLineChars="200"/>
        <w:outlineLvl w:val="1"/>
        <w:rPr>
          <w:rFonts w:hint="eastAsia" w:ascii="宋体" w:hAnsi="宋体" w:eastAsia="宋体" w:cs="宋体"/>
          <w:b/>
          <w:bCs/>
          <w:color w:val="auto"/>
          <w:spacing w:val="6"/>
          <w:sz w:val="21"/>
          <w:szCs w:val="21"/>
          <w:highlight w:val="none"/>
        </w:rPr>
      </w:pPr>
      <w:bookmarkStart w:id="49" w:name="_Toc20872"/>
      <w:bookmarkStart w:id="50" w:name="_Toc29359"/>
      <w:bookmarkStart w:id="51" w:name="_Toc7511"/>
      <w:bookmarkStart w:id="52" w:name="_Toc23416"/>
      <w:bookmarkStart w:id="53" w:name="_Toc235"/>
      <w:r>
        <w:rPr>
          <w:rFonts w:hint="eastAsia" w:ascii="宋体" w:hAnsi="宋体" w:eastAsia="宋体" w:cs="宋体"/>
          <w:b/>
          <w:bCs/>
          <w:color w:val="auto"/>
          <w:spacing w:val="6"/>
          <w:sz w:val="21"/>
          <w:szCs w:val="21"/>
          <w:highlight w:val="none"/>
        </w:rPr>
        <w:t>六、发布公告的媒介及招标公告期限</w:t>
      </w:r>
      <w:bookmarkEnd w:id="49"/>
      <w:bookmarkEnd w:id="50"/>
      <w:bookmarkEnd w:id="51"/>
      <w:bookmarkEnd w:id="52"/>
      <w:bookmarkEnd w:id="53"/>
    </w:p>
    <w:p w14:paraId="3F09FAD1">
      <w:pPr>
        <w:spacing w:line="420" w:lineRule="exact"/>
        <w:ind w:firstLine="422"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本次采购公告在《河南省政府采购网》《河南省公共资源交易中心网》</w:t>
      </w:r>
      <w:r>
        <w:rPr>
          <w:rFonts w:hint="eastAsia" w:ascii="宋体" w:hAnsi="宋体" w:eastAsia="宋体" w:cs="宋体"/>
          <w:color w:val="auto"/>
          <w:spacing w:val="6"/>
          <w:sz w:val="21"/>
          <w:szCs w:val="21"/>
          <w:highlight w:val="none"/>
          <w:lang w:val="en-US" w:eastAsia="zh-CN"/>
        </w:rPr>
        <w:t>及《河南科技大学第一附属医院官网》</w:t>
      </w:r>
      <w:r>
        <w:rPr>
          <w:rFonts w:hint="eastAsia" w:ascii="宋体" w:hAnsi="宋体" w:eastAsia="宋体" w:cs="宋体"/>
          <w:color w:val="auto"/>
          <w:spacing w:val="6"/>
          <w:sz w:val="21"/>
          <w:szCs w:val="21"/>
          <w:highlight w:val="none"/>
        </w:rPr>
        <w:t>上发布</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rPr>
        <w:t>招标公告期限为五个工作日。</w:t>
      </w:r>
    </w:p>
    <w:p w14:paraId="4C737749">
      <w:pPr>
        <w:spacing w:line="420" w:lineRule="exact"/>
        <w:ind w:firstLine="422" w:firstLineChars="200"/>
        <w:outlineLvl w:val="1"/>
        <w:rPr>
          <w:rFonts w:hint="eastAsia" w:ascii="宋体" w:hAnsi="宋体" w:eastAsia="宋体" w:cs="宋体"/>
          <w:b/>
          <w:bCs/>
          <w:color w:val="auto"/>
          <w:spacing w:val="6"/>
          <w:sz w:val="21"/>
          <w:szCs w:val="21"/>
          <w:highlight w:val="none"/>
        </w:rPr>
      </w:pPr>
      <w:bookmarkStart w:id="54" w:name="_Toc27084"/>
      <w:bookmarkStart w:id="55" w:name="_Toc12860"/>
      <w:bookmarkStart w:id="56" w:name="_Toc4385"/>
      <w:bookmarkStart w:id="57" w:name="_Toc21067"/>
      <w:bookmarkStart w:id="58" w:name="_Toc1028"/>
      <w:r>
        <w:rPr>
          <w:rFonts w:hint="eastAsia" w:ascii="宋体" w:hAnsi="宋体" w:eastAsia="宋体" w:cs="宋体"/>
          <w:b/>
          <w:bCs/>
          <w:color w:val="auto"/>
          <w:spacing w:val="6"/>
          <w:sz w:val="21"/>
          <w:szCs w:val="21"/>
          <w:highlight w:val="none"/>
        </w:rPr>
        <w:t>七、其他补充事宜</w:t>
      </w:r>
      <w:bookmarkEnd w:id="54"/>
      <w:bookmarkEnd w:id="55"/>
      <w:bookmarkEnd w:id="56"/>
      <w:bookmarkEnd w:id="57"/>
      <w:bookmarkEnd w:id="58"/>
    </w:p>
    <w:p w14:paraId="66A68BC1">
      <w:pPr>
        <w:spacing w:line="420" w:lineRule="exact"/>
        <w:ind w:firstLine="422" w:firstLineChars="200"/>
        <w:rPr>
          <w:rFonts w:hint="eastAsia" w:ascii="宋体" w:hAnsi="宋体" w:eastAsia="宋体" w:cs="宋体"/>
          <w:color w:val="auto"/>
          <w:spacing w:val="6"/>
          <w:sz w:val="21"/>
          <w:szCs w:val="21"/>
          <w:highlight w:val="none"/>
        </w:rPr>
      </w:pPr>
      <w:bookmarkStart w:id="59" w:name="_Toc15349"/>
      <w:r>
        <w:rPr>
          <w:rFonts w:hint="eastAsia" w:ascii="宋体" w:hAnsi="宋体" w:eastAsia="宋体" w:cs="宋体"/>
          <w:color w:val="auto"/>
          <w:spacing w:val="6"/>
          <w:sz w:val="21"/>
          <w:szCs w:val="21"/>
          <w:highlight w:val="none"/>
        </w:rPr>
        <w:t>1.本项目招标方式采用“远程不见面”开标方式,远程开标大厅的网址（hnsggzyjy.henan.gov.cn/BidOpening）,投标人应当在招标文件确定的投标截止时间前,登录远程开标大厅,在线准时参加开标活动并进行文件解密、答疑澄清等。逾期解密或者没有准时在线参加开标活动导致的一切后果投标人自行承担。</w:t>
      </w:r>
      <w:bookmarkEnd w:id="59"/>
    </w:p>
    <w:p w14:paraId="1E3B041F">
      <w:pPr>
        <w:spacing w:line="420" w:lineRule="exact"/>
        <w:ind w:firstLine="422" w:firstLineChars="200"/>
        <w:rPr>
          <w:rFonts w:hint="eastAsia" w:ascii="宋体" w:hAnsi="宋体" w:eastAsia="宋体" w:cs="宋体"/>
          <w:color w:val="auto"/>
          <w:spacing w:val="6"/>
          <w:sz w:val="21"/>
          <w:szCs w:val="21"/>
          <w:highlight w:val="none"/>
        </w:rPr>
      </w:pPr>
      <w:bookmarkStart w:id="60" w:name="_Toc1889"/>
      <w:r>
        <w:rPr>
          <w:rFonts w:hint="eastAsia" w:ascii="宋体" w:hAnsi="宋体" w:eastAsia="宋体" w:cs="宋体"/>
          <w:color w:val="auto"/>
          <w:spacing w:val="6"/>
          <w:sz w:val="21"/>
          <w:szCs w:val="21"/>
          <w:highlight w:val="none"/>
          <w:lang w:val="en-US" w:eastAsia="zh-CN"/>
        </w:rPr>
        <w:t>2</w:t>
      </w:r>
      <w:r>
        <w:rPr>
          <w:rFonts w:hint="eastAsia" w:ascii="宋体" w:hAnsi="宋体" w:eastAsia="宋体" w:cs="宋体"/>
          <w:color w:val="auto"/>
          <w:spacing w:val="6"/>
          <w:sz w:val="21"/>
          <w:szCs w:val="21"/>
          <w:highlight w:val="none"/>
        </w:rPr>
        <w:t>.本项目涉及到的营业执照、资质、业绩、获奖、人员、财务、社保、纳税、各类证书等评标有关的资格证书及证明文件均上传到河南省公共资源交易平台市场主体信息库中，投标人（供应商）应及时对市场主体信息库的相关内容进行补充、更新。</w:t>
      </w:r>
    </w:p>
    <w:p w14:paraId="1EA6BFEB">
      <w:pPr>
        <w:spacing w:line="420" w:lineRule="exact"/>
        <w:ind w:firstLine="422"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3</w:t>
      </w:r>
      <w:r>
        <w:rPr>
          <w:rFonts w:hint="eastAsia" w:ascii="宋体" w:hAnsi="宋体" w:eastAsia="宋体" w:cs="宋体"/>
          <w:color w:val="auto"/>
          <w:spacing w:val="6"/>
          <w:sz w:val="21"/>
          <w:szCs w:val="21"/>
          <w:highlight w:val="none"/>
        </w:rPr>
        <w:t>.不见面服务的具体事宜请查阅河南省公共资源交易中心网站“办事指南”专区“新交易平台使用手册（培训资料）”中的《河南省公共资源“智慧交易”平台-不见面开标大厅投标人操作手册V1.0》。</w:t>
      </w:r>
    </w:p>
    <w:bookmarkEnd w:id="60"/>
    <w:p w14:paraId="2F79DADC">
      <w:pPr>
        <w:spacing w:line="420" w:lineRule="exact"/>
        <w:ind w:firstLine="422" w:firstLineChars="200"/>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4.本项目代理服务费由中标人支付，代理服务费参照《招标代理服务收费管理暂行办法》（计价格[2002]1980号）规定的标准，按照中标金额收取：100万（含）以下，按标准的100%收取；100万（不含）-1000万（含）：按标准的70%收取；1000万（不含）以上：按标准的50%收取。由中标人在领取中标通知书前支付给代理机构。</w:t>
      </w:r>
    </w:p>
    <w:p w14:paraId="1F667D34">
      <w:pPr>
        <w:spacing w:line="420" w:lineRule="exact"/>
        <w:ind w:firstLine="422" w:firstLineChars="200"/>
        <w:outlineLvl w:val="1"/>
        <w:rPr>
          <w:rFonts w:hint="eastAsia" w:ascii="宋体" w:hAnsi="宋体" w:eastAsia="宋体" w:cs="宋体"/>
          <w:b/>
          <w:bCs/>
          <w:color w:val="auto"/>
          <w:spacing w:val="6"/>
          <w:sz w:val="21"/>
          <w:szCs w:val="21"/>
          <w:highlight w:val="none"/>
          <w:lang w:val="en-US" w:eastAsia="zh-CN"/>
        </w:rPr>
      </w:pPr>
      <w:bookmarkStart w:id="61" w:name="_Toc3702"/>
      <w:bookmarkStart w:id="62" w:name="_Toc12380"/>
      <w:bookmarkStart w:id="63" w:name="_Toc28208"/>
      <w:bookmarkStart w:id="64" w:name="_Toc26398"/>
      <w:bookmarkStart w:id="65" w:name="_Toc4648"/>
      <w:r>
        <w:rPr>
          <w:rFonts w:hint="eastAsia" w:ascii="宋体" w:hAnsi="宋体" w:eastAsia="宋体" w:cs="宋体"/>
          <w:b/>
          <w:bCs/>
          <w:color w:val="auto"/>
          <w:spacing w:val="6"/>
          <w:sz w:val="21"/>
          <w:szCs w:val="21"/>
          <w:highlight w:val="none"/>
        </w:rPr>
        <w:t>八、凡是对本次招标提出询问，请按照以下方式联系</w:t>
      </w:r>
      <w:bookmarkEnd w:id="61"/>
      <w:bookmarkEnd w:id="62"/>
      <w:bookmarkEnd w:id="63"/>
      <w:bookmarkEnd w:id="64"/>
      <w:bookmarkEnd w:id="65"/>
      <w:r>
        <w:rPr>
          <w:rFonts w:hint="eastAsia" w:ascii="宋体" w:hAnsi="宋体" w:eastAsia="宋体" w:cs="宋体"/>
          <w:b/>
          <w:bCs/>
          <w:color w:val="auto"/>
          <w:spacing w:val="6"/>
          <w:sz w:val="21"/>
          <w:szCs w:val="21"/>
          <w:highlight w:val="none"/>
          <w:lang w:val="en-US" w:eastAsia="zh-CN"/>
        </w:rPr>
        <w:t xml:space="preserve"> </w:t>
      </w:r>
    </w:p>
    <w:p w14:paraId="5C19061B">
      <w:pPr>
        <w:spacing w:line="420" w:lineRule="exact"/>
        <w:ind w:firstLine="422" w:firstLineChars="200"/>
        <w:rPr>
          <w:rFonts w:hint="eastAsia" w:ascii="宋体" w:hAnsi="宋体" w:eastAsia="宋体" w:cs="宋体"/>
          <w:color w:val="auto"/>
          <w:spacing w:val="6"/>
          <w:sz w:val="21"/>
          <w:szCs w:val="21"/>
          <w:highlight w:val="none"/>
        </w:rPr>
      </w:pPr>
      <w:bookmarkStart w:id="66" w:name="_Toc31059"/>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6"/>
          <w:sz w:val="21"/>
          <w:szCs w:val="21"/>
          <w:highlight w:val="none"/>
          <w:lang w:eastAsia="zh-CN"/>
        </w:rPr>
        <w:t>采购人</w:t>
      </w:r>
      <w:r>
        <w:rPr>
          <w:rFonts w:hint="eastAsia" w:ascii="宋体" w:hAnsi="宋体" w:eastAsia="宋体" w:cs="宋体"/>
          <w:color w:val="auto"/>
          <w:spacing w:val="6"/>
          <w:sz w:val="21"/>
          <w:szCs w:val="21"/>
          <w:highlight w:val="none"/>
        </w:rPr>
        <w:t>信息</w:t>
      </w:r>
      <w:bookmarkEnd w:id="66"/>
    </w:p>
    <w:p w14:paraId="7FEC75C1">
      <w:pPr>
        <w:spacing w:line="420" w:lineRule="exact"/>
        <w:ind w:firstLine="422" w:firstLineChars="200"/>
        <w:rPr>
          <w:rFonts w:hint="eastAsia" w:ascii="宋体" w:hAnsi="宋体" w:eastAsia="宋体" w:cs="宋体"/>
          <w:color w:val="auto"/>
          <w:spacing w:val="6"/>
          <w:sz w:val="21"/>
          <w:szCs w:val="21"/>
          <w:highlight w:val="none"/>
        </w:rPr>
      </w:pPr>
      <w:bookmarkStart w:id="67" w:name="_Toc14670"/>
      <w:r>
        <w:rPr>
          <w:rFonts w:hint="eastAsia" w:ascii="宋体" w:hAnsi="宋体" w:eastAsia="宋体" w:cs="宋体"/>
          <w:color w:val="auto"/>
          <w:spacing w:val="6"/>
          <w:sz w:val="21"/>
          <w:szCs w:val="21"/>
          <w:highlight w:val="none"/>
        </w:rPr>
        <w:t>名    称：河南科技大学第一附属医院</w:t>
      </w:r>
      <w:bookmarkEnd w:id="67"/>
    </w:p>
    <w:p w14:paraId="750282C3">
      <w:pPr>
        <w:spacing w:line="420" w:lineRule="exact"/>
        <w:ind w:firstLine="422" w:firstLineChars="200"/>
        <w:rPr>
          <w:rFonts w:hint="eastAsia" w:ascii="宋体" w:hAnsi="宋体" w:eastAsia="宋体" w:cs="宋体"/>
          <w:color w:val="auto"/>
          <w:spacing w:val="6"/>
          <w:sz w:val="21"/>
          <w:szCs w:val="21"/>
          <w:highlight w:val="none"/>
        </w:rPr>
      </w:pPr>
      <w:bookmarkStart w:id="68" w:name="_Toc20952"/>
      <w:r>
        <w:rPr>
          <w:rFonts w:hint="eastAsia" w:ascii="宋体" w:hAnsi="宋体" w:eastAsia="宋体" w:cs="宋体"/>
          <w:color w:val="auto"/>
          <w:spacing w:val="6"/>
          <w:sz w:val="21"/>
          <w:szCs w:val="21"/>
          <w:highlight w:val="none"/>
        </w:rPr>
        <w:t>地    址：洛阳市涧西区景华路24号</w:t>
      </w:r>
      <w:bookmarkEnd w:id="68"/>
    </w:p>
    <w:p w14:paraId="32C8A8D1">
      <w:pPr>
        <w:spacing w:line="420" w:lineRule="exact"/>
        <w:ind w:firstLine="422" w:firstLineChars="200"/>
        <w:rPr>
          <w:rFonts w:hint="eastAsia" w:ascii="宋体" w:hAnsi="宋体" w:eastAsia="宋体" w:cs="宋体"/>
          <w:color w:val="auto"/>
          <w:spacing w:val="6"/>
          <w:sz w:val="21"/>
          <w:szCs w:val="21"/>
          <w:highlight w:val="none"/>
          <w:lang w:eastAsia="zh-CN"/>
        </w:rPr>
      </w:pPr>
      <w:bookmarkStart w:id="69" w:name="_Toc28344"/>
      <w:r>
        <w:rPr>
          <w:rFonts w:hint="eastAsia" w:ascii="宋体" w:hAnsi="宋体" w:eastAsia="宋体" w:cs="宋体"/>
          <w:color w:val="auto"/>
          <w:spacing w:val="6"/>
          <w:sz w:val="21"/>
          <w:szCs w:val="21"/>
          <w:highlight w:val="none"/>
        </w:rPr>
        <w:t>联 系 人：</w:t>
      </w:r>
      <w:bookmarkEnd w:id="69"/>
      <w:r>
        <w:rPr>
          <w:rFonts w:hint="eastAsia" w:ascii="宋体" w:hAnsi="宋体" w:eastAsia="宋体" w:cs="宋体"/>
          <w:color w:val="auto"/>
          <w:spacing w:val="6"/>
          <w:sz w:val="21"/>
          <w:szCs w:val="21"/>
          <w:highlight w:val="none"/>
          <w:lang w:val="en-US" w:eastAsia="zh-CN"/>
        </w:rPr>
        <w:t>姜敏</w:t>
      </w:r>
    </w:p>
    <w:p w14:paraId="22CC17E7">
      <w:pPr>
        <w:spacing w:line="420" w:lineRule="exact"/>
        <w:ind w:firstLine="422" w:firstLineChars="200"/>
        <w:rPr>
          <w:rFonts w:hint="default" w:ascii="宋体" w:hAnsi="宋体" w:eastAsia="宋体" w:cs="宋体"/>
          <w:color w:val="auto"/>
          <w:spacing w:val="6"/>
          <w:sz w:val="21"/>
          <w:szCs w:val="21"/>
          <w:highlight w:val="none"/>
          <w:lang w:val="en-US" w:eastAsia="zh-CN"/>
        </w:rPr>
      </w:pPr>
      <w:bookmarkStart w:id="70" w:name="_Toc21709"/>
      <w:r>
        <w:rPr>
          <w:rFonts w:hint="eastAsia" w:ascii="宋体" w:hAnsi="宋体" w:eastAsia="宋体" w:cs="宋体"/>
          <w:color w:val="auto"/>
          <w:spacing w:val="6"/>
          <w:sz w:val="21"/>
          <w:szCs w:val="21"/>
          <w:highlight w:val="none"/>
        </w:rPr>
        <w:t>联系方式：</w:t>
      </w:r>
      <w:bookmarkEnd w:id="70"/>
      <w:r>
        <w:rPr>
          <w:rFonts w:hint="eastAsia" w:ascii="宋体" w:hAnsi="宋体" w:eastAsia="宋体" w:cs="宋体"/>
          <w:color w:val="auto"/>
          <w:spacing w:val="6"/>
          <w:sz w:val="21"/>
          <w:szCs w:val="21"/>
          <w:highlight w:val="none"/>
        </w:rPr>
        <w:t>0379-</w:t>
      </w:r>
      <w:r>
        <w:rPr>
          <w:rFonts w:hint="eastAsia" w:ascii="宋体" w:hAnsi="宋体" w:cs="宋体"/>
          <w:color w:val="auto"/>
          <w:spacing w:val="6"/>
          <w:sz w:val="21"/>
          <w:szCs w:val="21"/>
          <w:highlight w:val="none"/>
          <w:lang w:val="en-US" w:eastAsia="zh-CN"/>
        </w:rPr>
        <w:t>62218520</w:t>
      </w:r>
    </w:p>
    <w:p w14:paraId="2568A252">
      <w:pPr>
        <w:spacing w:line="420" w:lineRule="exact"/>
        <w:ind w:firstLine="422" w:firstLineChars="200"/>
        <w:rPr>
          <w:rFonts w:hint="eastAsia" w:ascii="宋体" w:hAnsi="宋体" w:eastAsia="宋体" w:cs="宋体"/>
          <w:color w:val="auto"/>
          <w:spacing w:val="6"/>
          <w:sz w:val="21"/>
          <w:szCs w:val="21"/>
          <w:highlight w:val="none"/>
        </w:rPr>
      </w:pPr>
      <w:bookmarkStart w:id="71" w:name="_Toc23519"/>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6"/>
          <w:sz w:val="21"/>
          <w:szCs w:val="21"/>
          <w:highlight w:val="none"/>
          <w:lang w:val="en-US" w:eastAsia="zh-CN"/>
        </w:rPr>
        <w:t>采购</w:t>
      </w:r>
      <w:r>
        <w:rPr>
          <w:rFonts w:hint="eastAsia" w:ascii="宋体" w:hAnsi="宋体" w:eastAsia="宋体" w:cs="宋体"/>
          <w:color w:val="auto"/>
          <w:spacing w:val="6"/>
          <w:sz w:val="21"/>
          <w:szCs w:val="21"/>
          <w:highlight w:val="none"/>
        </w:rPr>
        <w:t>代理机构信息</w:t>
      </w:r>
      <w:bookmarkEnd w:id="71"/>
    </w:p>
    <w:p w14:paraId="4D28CD45">
      <w:pPr>
        <w:spacing w:line="420" w:lineRule="exact"/>
        <w:ind w:firstLine="422" w:firstLineChars="200"/>
        <w:rPr>
          <w:rFonts w:hint="eastAsia" w:ascii="宋体" w:hAnsi="宋体" w:eastAsia="宋体" w:cs="宋体"/>
          <w:color w:val="auto"/>
          <w:spacing w:val="6"/>
          <w:sz w:val="21"/>
          <w:szCs w:val="21"/>
          <w:highlight w:val="none"/>
          <w:lang w:eastAsia="zh-CN"/>
        </w:rPr>
      </w:pPr>
      <w:bookmarkStart w:id="72" w:name="_Toc25535"/>
      <w:r>
        <w:rPr>
          <w:rFonts w:hint="eastAsia" w:ascii="宋体" w:hAnsi="宋体" w:eastAsia="宋体" w:cs="宋体"/>
          <w:color w:val="auto"/>
          <w:spacing w:val="6"/>
          <w:sz w:val="21"/>
          <w:szCs w:val="21"/>
          <w:highlight w:val="none"/>
        </w:rPr>
        <w:t>名    称：</w:t>
      </w:r>
      <w:r>
        <w:rPr>
          <w:rFonts w:hint="eastAsia" w:ascii="宋体" w:hAnsi="宋体" w:eastAsia="宋体" w:cs="宋体"/>
          <w:color w:val="auto"/>
          <w:spacing w:val="6"/>
          <w:sz w:val="21"/>
          <w:szCs w:val="21"/>
          <w:highlight w:val="none"/>
          <w:lang w:eastAsia="zh-CN"/>
        </w:rPr>
        <w:t>河南省伟信招标管理咨询有限公司</w:t>
      </w:r>
    </w:p>
    <w:p w14:paraId="434E9154">
      <w:pPr>
        <w:spacing w:line="420" w:lineRule="exact"/>
        <w:ind w:firstLine="422" w:firstLineChars="20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6"/>
          <w:sz w:val="21"/>
          <w:szCs w:val="21"/>
          <w:highlight w:val="none"/>
        </w:rPr>
        <w:t>地    址：</w:t>
      </w:r>
      <w:r>
        <w:rPr>
          <w:rFonts w:hint="eastAsia" w:ascii="宋体" w:hAnsi="宋体" w:eastAsia="宋体" w:cs="宋体"/>
          <w:color w:val="auto"/>
          <w:spacing w:val="-2"/>
          <w:sz w:val="21"/>
          <w:szCs w:val="21"/>
          <w:highlight w:val="none"/>
          <w:lang w:eastAsia="zh-CN"/>
        </w:rPr>
        <w:t xml:space="preserve">洛阳市洛龙区学子街东方今典天汇中心707室 </w:t>
      </w:r>
    </w:p>
    <w:p w14:paraId="5D31A7C8">
      <w:pPr>
        <w:spacing w:line="420" w:lineRule="exact"/>
        <w:ind w:firstLine="422" w:firstLineChars="200"/>
        <w:rPr>
          <w:rFonts w:hint="default" w:ascii="宋体" w:hAnsi="宋体" w:eastAsia="宋体" w:cs="宋体"/>
          <w:color w:val="auto"/>
          <w:spacing w:val="-2"/>
          <w:sz w:val="21"/>
          <w:szCs w:val="21"/>
          <w:highlight w:val="none"/>
          <w:lang w:val="en-US" w:eastAsia="zh-CN"/>
        </w:rPr>
      </w:pPr>
      <w:r>
        <w:rPr>
          <w:rFonts w:hint="eastAsia" w:ascii="宋体" w:hAnsi="宋体" w:eastAsia="宋体" w:cs="宋体"/>
          <w:color w:val="auto"/>
          <w:spacing w:val="6"/>
          <w:sz w:val="21"/>
          <w:szCs w:val="21"/>
          <w:highlight w:val="none"/>
        </w:rPr>
        <w:t>联 系 人：</w:t>
      </w:r>
      <w:r>
        <w:rPr>
          <w:rFonts w:hint="eastAsia" w:ascii="宋体" w:hAnsi="宋体" w:eastAsia="宋体" w:cs="宋体"/>
          <w:color w:val="auto"/>
          <w:spacing w:val="6"/>
          <w:sz w:val="21"/>
          <w:szCs w:val="21"/>
          <w:highlight w:val="none"/>
          <w:lang w:val="en-US" w:eastAsia="zh-CN"/>
        </w:rPr>
        <w:t>张艳艳</w:t>
      </w:r>
      <w:r>
        <w:rPr>
          <w:rFonts w:hint="eastAsia" w:ascii="宋体" w:hAnsi="宋体" w:cs="宋体"/>
          <w:color w:val="auto"/>
          <w:spacing w:val="6"/>
          <w:sz w:val="21"/>
          <w:szCs w:val="21"/>
          <w:highlight w:val="none"/>
          <w:lang w:val="en-US" w:eastAsia="zh-CN"/>
        </w:rPr>
        <w:t>、宁俊丽</w:t>
      </w:r>
    </w:p>
    <w:p w14:paraId="4F837808">
      <w:pPr>
        <w:spacing w:line="420" w:lineRule="exact"/>
        <w:ind w:firstLine="422"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联系方式：0379-80866707</w:t>
      </w:r>
    </w:p>
    <w:p w14:paraId="751C0069">
      <w:pPr>
        <w:spacing w:line="420" w:lineRule="exact"/>
        <w:ind w:firstLine="422"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3</w:t>
      </w:r>
      <w:r>
        <w:rPr>
          <w:rFonts w:hint="eastAsia" w:ascii="宋体" w:hAnsi="宋体" w:eastAsia="宋体" w:cs="宋体"/>
          <w:color w:val="auto"/>
          <w:spacing w:val="6"/>
          <w:sz w:val="21"/>
          <w:szCs w:val="21"/>
          <w:highlight w:val="none"/>
          <w:lang w:val="en-US" w:eastAsia="zh-CN"/>
        </w:rPr>
        <w:t>.</w:t>
      </w:r>
      <w:r>
        <w:rPr>
          <w:rFonts w:hint="eastAsia" w:ascii="宋体" w:hAnsi="宋体" w:eastAsia="宋体" w:cs="宋体"/>
          <w:color w:val="auto"/>
          <w:spacing w:val="6"/>
          <w:sz w:val="21"/>
          <w:szCs w:val="21"/>
          <w:highlight w:val="none"/>
        </w:rPr>
        <w:t>项目联系方式</w:t>
      </w:r>
      <w:bookmarkEnd w:id="72"/>
    </w:p>
    <w:p w14:paraId="4E190838">
      <w:pPr>
        <w:spacing w:line="420" w:lineRule="exact"/>
        <w:ind w:firstLine="422" w:firstLineChars="200"/>
        <w:rPr>
          <w:rFonts w:hint="eastAsia" w:ascii="宋体" w:hAnsi="宋体" w:eastAsia="宋体" w:cs="宋体"/>
          <w:color w:val="auto"/>
          <w:spacing w:val="-2"/>
          <w:sz w:val="21"/>
          <w:szCs w:val="21"/>
          <w:highlight w:val="none"/>
          <w:lang w:val="en-US" w:eastAsia="zh-CN"/>
        </w:rPr>
      </w:pPr>
      <w:bookmarkStart w:id="73" w:name="_Toc23305"/>
      <w:r>
        <w:rPr>
          <w:rFonts w:hint="eastAsia" w:ascii="宋体" w:hAnsi="宋体" w:eastAsia="宋体" w:cs="宋体"/>
          <w:color w:val="auto"/>
          <w:spacing w:val="6"/>
          <w:sz w:val="21"/>
          <w:szCs w:val="21"/>
          <w:highlight w:val="none"/>
        </w:rPr>
        <w:t>项目联系人：</w:t>
      </w:r>
      <w:bookmarkEnd w:id="73"/>
      <w:bookmarkStart w:id="74" w:name="_Toc17484"/>
      <w:r>
        <w:rPr>
          <w:rFonts w:hint="eastAsia" w:ascii="宋体" w:hAnsi="宋体" w:eastAsia="宋体" w:cs="宋体"/>
          <w:color w:val="auto"/>
          <w:spacing w:val="6"/>
          <w:sz w:val="21"/>
          <w:szCs w:val="21"/>
          <w:highlight w:val="none"/>
          <w:lang w:val="en-US" w:eastAsia="zh-CN"/>
        </w:rPr>
        <w:t>张艳艳</w:t>
      </w:r>
      <w:r>
        <w:rPr>
          <w:rFonts w:hint="eastAsia" w:ascii="宋体" w:hAnsi="宋体" w:cs="宋体"/>
          <w:color w:val="auto"/>
          <w:spacing w:val="6"/>
          <w:sz w:val="21"/>
          <w:szCs w:val="21"/>
          <w:highlight w:val="none"/>
          <w:lang w:val="en-US" w:eastAsia="zh-CN"/>
        </w:rPr>
        <w:t>、宁俊丽</w:t>
      </w:r>
    </w:p>
    <w:p w14:paraId="2480A513">
      <w:pPr>
        <w:spacing w:line="420" w:lineRule="exact"/>
        <w:ind w:firstLine="422"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联系方式：</w:t>
      </w:r>
      <w:bookmarkEnd w:id="74"/>
      <w:r>
        <w:rPr>
          <w:rFonts w:hint="eastAsia" w:ascii="宋体" w:hAnsi="宋体" w:eastAsia="宋体" w:cs="宋体"/>
          <w:color w:val="auto"/>
          <w:spacing w:val="6"/>
          <w:sz w:val="21"/>
          <w:szCs w:val="21"/>
          <w:highlight w:val="none"/>
        </w:rPr>
        <w:t>0379-80866707</w:t>
      </w:r>
    </w:p>
    <w:p w14:paraId="08B07DB9">
      <w:pPr>
        <w:spacing w:line="420" w:lineRule="exact"/>
        <w:ind w:firstLine="422" w:firstLineChars="200"/>
        <w:rPr>
          <w:rFonts w:hint="eastAsia" w:ascii="宋体" w:hAnsi="宋体" w:eastAsia="宋体" w:cs="宋体"/>
          <w:color w:val="auto"/>
          <w:spacing w:val="6"/>
          <w:sz w:val="21"/>
          <w:szCs w:val="21"/>
          <w:highlight w:val="none"/>
          <w:lang w:val="en-US" w:eastAsia="zh-CN"/>
        </w:rPr>
      </w:pPr>
    </w:p>
    <w:p w14:paraId="2CFF080A">
      <w:pPr>
        <w:pStyle w:val="60"/>
        <w:jc w:val="right"/>
        <w:rPr>
          <w:rFonts w:hint="eastAsia" w:ascii="宋体" w:hAnsi="宋体" w:eastAsia="宋体" w:cs="宋体"/>
          <w:color w:val="auto"/>
          <w:spacing w:val="14"/>
          <w:szCs w:val="21"/>
          <w:highlight w:val="none"/>
        </w:rPr>
      </w:pPr>
    </w:p>
    <w:p w14:paraId="3DD0418B">
      <w:pPr>
        <w:rPr>
          <w:rFonts w:hint="eastAsia" w:ascii="宋体" w:hAnsi="宋体" w:eastAsia="宋体" w:cs="宋体"/>
        </w:rPr>
      </w:pPr>
    </w:p>
    <w:p w14:paraId="2AC34780">
      <w:pPr>
        <w:rPr>
          <w:rFonts w:hint="eastAsia" w:ascii="宋体" w:hAnsi="宋体" w:eastAsia="宋体" w:cs="宋体"/>
          <w:color w:val="auto"/>
          <w:spacing w:val="6"/>
          <w:sz w:val="32"/>
          <w:szCs w:val="32"/>
          <w:highlight w:val="none"/>
        </w:rPr>
      </w:pPr>
      <w:r>
        <w:rPr>
          <w:rFonts w:hint="eastAsia" w:ascii="宋体" w:hAnsi="宋体" w:eastAsia="宋体" w:cs="宋体"/>
          <w:color w:val="auto"/>
          <w:spacing w:val="6"/>
          <w:sz w:val="32"/>
          <w:szCs w:val="32"/>
          <w:highlight w:val="none"/>
        </w:rPr>
        <w:br w:type="page"/>
      </w:r>
    </w:p>
    <w:p w14:paraId="0C1F659C">
      <w:pPr>
        <w:spacing w:line="560" w:lineRule="exact"/>
        <w:jc w:val="center"/>
        <w:rPr>
          <w:rFonts w:hint="eastAsia" w:ascii="宋体" w:hAnsi="宋体" w:eastAsia="宋体" w:cs="宋体"/>
          <w:b/>
          <w:color w:val="auto"/>
          <w:spacing w:val="6"/>
          <w:sz w:val="28"/>
          <w:szCs w:val="28"/>
          <w:highlight w:val="none"/>
          <w:lang w:val="en-US" w:eastAsia="zh-CN"/>
        </w:rPr>
      </w:pPr>
      <w:bookmarkStart w:id="75" w:name="_Toc267"/>
      <w:bookmarkStart w:id="76" w:name="_Toc24690"/>
      <w:bookmarkStart w:id="77" w:name="_Toc32504"/>
      <w:bookmarkStart w:id="78" w:name="_Toc17901"/>
      <w:r>
        <w:rPr>
          <w:rFonts w:hint="eastAsia" w:ascii="宋体" w:hAnsi="宋体" w:eastAsia="宋体" w:cs="宋体"/>
          <w:b/>
          <w:color w:val="auto"/>
          <w:spacing w:val="6"/>
          <w:sz w:val="28"/>
          <w:szCs w:val="28"/>
          <w:highlight w:val="none"/>
          <w:lang w:val="en-US" w:eastAsia="zh-CN"/>
        </w:rPr>
        <w:t>河南科技大学第一附属医院综合运营管理系统（一期）项目</w:t>
      </w:r>
    </w:p>
    <w:p w14:paraId="15DCFCFB">
      <w:pPr>
        <w:spacing w:line="560" w:lineRule="exact"/>
        <w:jc w:val="center"/>
        <w:rPr>
          <w:rFonts w:hint="eastAsia" w:ascii="宋体" w:hAnsi="宋体" w:eastAsia="宋体" w:cs="宋体"/>
          <w:b/>
          <w:color w:val="auto"/>
          <w:spacing w:val="6"/>
          <w:sz w:val="28"/>
          <w:szCs w:val="28"/>
          <w:highlight w:val="none"/>
          <w:lang w:eastAsia="zh-CN"/>
        </w:rPr>
      </w:pPr>
      <w:r>
        <w:rPr>
          <w:rFonts w:hint="eastAsia" w:ascii="宋体" w:hAnsi="宋体" w:eastAsia="宋体" w:cs="宋体"/>
          <w:b/>
          <w:color w:val="auto"/>
          <w:spacing w:val="6"/>
          <w:sz w:val="28"/>
          <w:szCs w:val="28"/>
          <w:highlight w:val="none"/>
          <w:lang w:val="en-US" w:eastAsia="zh-CN"/>
        </w:rPr>
        <w:t>更正</w:t>
      </w:r>
      <w:r>
        <w:rPr>
          <w:rFonts w:hint="eastAsia" w:ascii="宋体" w:hAnsi="宋体" w:eastAsia="宋体" w:cs="宋体"/>
          <w:b/>
          <w:color w:val="auto"/>
          <w:spacing w:val="6"/>
          <w:sz w:val="28"/>
          <w:szCs w:val="28"/>
          <w:highlight w:val="none"/>
          <w:lang w:eastAsia="zh-CN"/>
        </w:rPr>
        <w:t>公告</w:t>
      </w:r>
    </w:p>
    <w:p w14:paraId="24CDF346">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textAlignment w:val="auto"/>
        <w:rPr>
          <w:rFonts w:hint="default" w:eastAsiaTheme="minorEastAsia"/>
          <w:b/>
          <w:bCs/>
          <w:color w:val="auto"/>
          <w:spacing w:val="6"/>
          <w:sz w:val="21"/>
          <w:szCs w:val="21"/>
          <w:lang w:val="en-US" w:eastAsia="zh-CN"/>
        </w:rPr>
      </w:pPr>
      <w:r>
        <w:rPr>
          <w:rFonts w:hint="eastAsia" w:eastAsiaTheme="minorEastAsia"/>
          <w:b/>
          <w:bCs/>
          <w:color w:val="auto"/>
          <w:spacing w:val="6"/>
          <w:sz w:val="21"/>
          <w:szCs w:val="21"/>
          <w:lang w:val="en-US" w:eastAsia="zh-CN"/>
        </w:rPr>
        <w:t>一</w:t>
      </w:r>
      <w:r>
        <w:rPr>
          <w:rFonts w:eastAsiaTheme="minorEastAsia"/>
          <w:b/>
          <w:bCs/>
          <w:color w:val="auto"/>
          <w:spacing w:val="6"/>
          <w:sz w:val="21"/>
          <w:szCs w:val="21"/>
        </w:rPr>
        <w:t>、项目</w:t>
      </w:r>
      <w:r>
        <w:rPr>
          <w:rFonts w:hint="eastAsia" w:eastAsiaTheme="minorEastAsia"/>
          <w:b/>
          <w:bCs/>
          <w:color w:val="auto"/>
          <w:spacing w:val="6"/>
          <w:sz w:val="21"/>
          <w:szCs w:val="21"/>
          <w:lang w:val="en-US" w:eastAsia="zh-CN"/>
        </w:rPr>
        <w:t>基本情况</w:t>
      </w:r>
    </w:p>
    <w:p w14:paraId="77463D01">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textAlignment w:val="auto"/>
        <w:rPr>
          <w:rFonts w:hint="eastAsia" w:eastAsiaTheme="minorEastAsia"/>
          <w:color w:val="auto"/>
          <w:spacing w:val="6"/>
          <w:sz w:val="21"/>
          <w:szCs w:val="21"/>
          <w:lang w:val="en-US" w:eastAsia="zh-CN"/>
        </w:rPr>
      </w:pPr>
      <w:r>
        <w:rPr>
          <w:rFonts w:eastAsiaTheme="minorEastAsia"/>
          <w:color w:val="auto"/>
          <w:spacing w:val="6"/>
          <w:sz w:val="21"/>
          <w:szCs w:val="21"/>
        </w:rPr>
        <w:t>1</w:t>
      </w:r>
      <w:r>
        <w:rPr>
          <w:rFonts w:hint="eastAsia" w:eastAsiaTheme="minorEastAsia"/>
          <w:color w:val="auto"/>
          <w:spacing w:val="6"/>
          <w:sz w:val="21"/>
          <w:szCs w:val="21"/>
          <w:lang w:val="en-US" w:eastAsia="zh-CN"/>
        </w:rPr>
        <w:t>、</w:t>
      </w:r>
      <w:r>
        <w:rPr>
          <w:rFonts w:hint="eastAsia" w:eastAsiaTheme="minorEastAsia"/>
          <w:color w:val="auto"/>
          <w:spacing w:val="6"/>
          <w:sz w:val="21"/>
          <w:szCs w:val="21"/>
        </w:rPr>
        <w:t>原公告的采购项目编号：</w:t>
      </w:r>
      <w:r>
        <w:rPr>
          <w:rFonts w:hint="eastAsia" w:ascii="宋体" w:hAnsi="宋体" w:eastAsia="宋体" w:cs="宋体"/>
          <w:color w:val="auto"/>
          <w:spacing w:val="6"/>
          <w:sz w:val="21"/>
          <w:szCs w:val="21"/>
          <w:highlight w:val="none"/>
          <w:lang w:val="en-US" w:eastAsia="zh-CN"/>
        </w:rPr>
        <w:t>豫财招标采购-2025-1103</w:t>
      </w:r>
    </w:p>
    <w:p w14:paraId="539B1EDE">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textAlignment w:val="auto"/>
        <w:rPr>
          <w:rFonts w:hint="eastAsia" w:eastAsiaTheme="minorEastAsia"/>
          <w:color w:val="auto"/>
          <w:spacing w:val="6"/>
          <w:sz w:val="21"/>
          <w:szCs w:val="21"/>
          <w:lang w:eastAsia="zh-CN"/>
        </w:rPr>
      </w:pPr>
      <w:r>
        <w:rPr>
          <w:rFonts w:eastAsiaTheme="minorEastAsia"/>
          <w:color w:val="auto"/>
          <w:spacing w:val="6"/>
          <w:sz w:val="21"/>
          <w:szCs w:val="21"/>
        </w:rPr>
        <w:t>2</w:t>
      </w:r>
      <w:r>
        <w:rPr>
          <w:rFonts w:hint="eastAsia" w:eastAsiaTheme="minorEastAsia"/>
          <w:color w:val="auto"/>
          <w:spacing w:val="6"/>
          <w:sz w:val="21"/>
          <w:szCs w:val="21"/>
          <w:lang w:eastAsia="zh-CN"/>
        </w:rPr>
        <w:t>、</w:t>
      </w:r>
      <w:r>
        <w:rPr>
          <w:rFonts w:hint="eastAsia" w:eastAsiaTheme="minorEastAsia"/>
          <w:color w:val="auto"/>
          <w:spacing w:val="6"/>
          <w:sz w:val="21"/>
          <w:szCs w:val="21"/>
        </w:rPr>
        <w:t>原公告的采购项目名称：</w:t>
      </w:r>
      <w:r>
        <w:rPr>
          <w:rFonts w:hint="eastAsia" w:eastAsiaTheme="minorEastAsia"/>
          <w:color w:val="auto"/>
          <w:spacing w:val="6"/>
          <w:sz w:val="21"/>
          <w:szCs w:val="21"/>
          <w:lang w:eastAsia="zh-CN"/>
        </w:rPr>
        <w:t>河南科技大学第一附属医院综合运营管理系统（一期）项目</w:t>
      </w:r>
    </w:p>
    <w:p w14:paraId="111D24B0">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textAlignment w:val="auto"/>
        <w:rPr>
          <w:rFonts w:hint="eastAsia" w:eastAsiaTheme="minorEastAsia"/>
          <w:color w:val="auto"/>
          <w:spacing w:val="6"/>
          <w:sz w:val="21"/>
          <w:szCs w:val="21"/>
          <w:highlight w:val="none"/>
        </w:rPr>
      </w:pPr>
      <w:r>
        <w:rPr>
          <w:rFonts w:eastAsiaTheme="minorEastAsia"/>
          <w:color w:val="auto"/>
          <w:spacing w:val="6"/>
          <w:sz w:val="21"/>
          <w:szCs w:val="21"/>
        </w:rPr>
        <w:t>3</w:t>
      </w:r>
      <w:r>
        <w:rPr>
          <w:rFonts w:hint="eastAsia" w:eastAsiaTheme="minorEastAsia"/>
          <w:color w:val="auto"/>
          <w:spacing w:val="6"/>
          <w:sz w:val="21"/>
          <w:szCs w:val="21"/>
          <w:lang w:eastAsia="zh-CN"/>
        </w:rPr>
        <w:t>、</w:t>
      </w:r>
      <w:r>
        <w:rPr>
          <w:rFonts w:hint="eastAsia" w:eastAsiaTheme="minorEastAsia"/>
          <w:color w:val="auto"/>
          <w:spacing w:val="6"/>
          <w:sz w:val="21"/>
          <w:szCs w:val="21"/>
          <w:highlight w:val="none"/>
        </w:rPr>
        <w:t>首次公告日期及发布媒介：2025年0</w:t>
      </w:r>
      <w:r>
        <w:rPr>
          <w:rFonts w:hint="eastAsia" w:eastAsiaTheme="minorEastAsia"/>
          <w:color w:val="auto"/>
          <w:spacing w:val="6"/>
          <w:sz w:val="21"/>
          <w:szCs w:val="21"/>
          <w:highlight w:val="none"/>
          <w:lang w:val="en-US" w:eastAsia="zh-CN"/>
        </w:rPr>
        <w:t>9</w:t>
      </w:r>
      <w:r>
        <w:rPr>
          <w:rFonts w:hint="eastAsia" w:eastAsiaTheme="minorEastAsia"/>
          <w:color w:val="auto"/>
          <w:spacing w:val="6"/>
          <w:sz w:val="21"/>
          <w:szCs w:val="21"/>
          <w:highlight w:val="none"/>
        </w:rPr>
        <w:t>月</w:t>
      </w:r>
      <w:r>
        <w:rPr>
          <w:rFonts w:hint="eastAsia" w:eastAsiaTheme="minorEastAsia"/>
          <w:color w:val="auto"/>
          <w:spacing w:val="6"/>
          <w:sz w:val="21"/>
          <w:szCs w:val="21"/>
          <w:highlight w:val="none"/>
          <w:lang w:val="en-US" w:eastAsia="zh-CN"/>
        </w:rPr>
        <w:t>08</w:t>
      </w:r>
      <w:r>
        <w:rPr>
          <w:rFonts w:hint="eastAsia" w:eastAsiaTheme="minorEastAsia"/>
          <w:color w:val="auto"/>
          <w:spacing w:val="6"/>
          <w:sz w:val="21"/>
          <w:szCs w:val="21"/>
          <w:highlight w:val="none"/>
        </w:rPr>
        <w:t>日、《河南省政府采购网》《河南省公共资源交易中心网》及《河南科技大学第一附属医院官网》</w:t>
      </w:r>
    </w:p>
    <w:p w14:paraId="5A7DC301">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textAlignment w:val="auto"/>
        <w:rPr>
          <w:rFonts w:hint="eastAsia" w:eastAsiaTheme="minorEastAsia"/>
          <w:color w:val="auto"/>
          <w:spacing w:val="6"/>
          <w:sz w:val="21"/>
          <w:szCs w:val="21"/>
          <w:highlight w:val="none"/>
          <w:lang w:val="en-US" w:eastAsia="zh-CN"/>
        </w:rPr>
      </w:pPr>
      <w:r>
        <w:rPr>
          <w:rFonts w:hint="eastAsia" w:eastAsiaTheme="minorEastAsia"/>
          <w:color w:val="auto"/>
          <w:spacing w:val="6"/>
          <w:sz w:val="21"/>
          <w:szCs w:val="21"/>
          <w:highlight w:val="none"/>
          <w:lang w:val="en-US" w:eastAsia="zh-CN"/>
        </w:rPr>
        <w:t>4、原投标截止时间（投标文件递交截止时间）：2025年09月29日09时00分（北京时间）</w:t>
      </w:r>
    </w:p>
    <w:p w14:paraId="43148C2E">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textAlignment w:val="auto"/>
        <w:rPr>
          <w:rFonts w:hint="eastAsia" w:eastAsiaTheme="minorEastAsia"/>
          <w:b/>
          <w:bCs/>
          <w:color w:val="auto"/>
          <w:spacing w:val="6"/>
          <w:sz w:val="21"/>
          <w:szCs w:val="21"/>
          <w:lang w:val="en-US" w:eastAsia="zh-CN"/>
        </w:rPr>
      </w:pPr>
      <w:r>
        <w:rPr>
          <w:rFonts w:hint="eastAsia" w:eastAsiaTheme="minorEastAsia"/>
          <w:b/>
          <w:bCs/>
          <w:color w:val="auto"/>
          <w:spacing w:val="6"/>
          <w:sz w:val="21"/>
          <w:szCs w:val="21"/>
          <w:lang w:val="en-US" w:eastAsia="zh-CN"/>
        </w:rPr>
        <w:t>二、更正信息</w:t>
      </w:r>
    </w:p>
    <w:p w14:paraId="428DAB7B">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textAlignment w:val="auto"/>
        <w:rPr>
          <w:rFonts w:hint="eastAsia" w:eastAsiaTheme="minorEastAsia"/>
          <w:color w:val="auto"/>
          <w:spacing w:val="6"/>
          <w:sz w:val="21"/>
          <w:szCs w:val="21"/>
          <w:highlight w:val="none"/>
          <w:lang w:val="en-US" w:eastAsia="zh-CN"/>
        </w:rPr>
      </w:pPr>
      <w:r>
        <w:rPr>
          <w:rFonts w:hint="eastAsia" w:eastAsiaTheme="minorEastAsia"/>
          <w:color w:val="auto"/>
          <w:spacing w:val="6"/>
          <w:sz w:val="21"/>
          <w:szCs w:val="21"/>
          <w:highlight w:val="none"/>
          <w:lang w:val="en-US" w:eastAsia="zh-CN"/>
        </w:rPr>
        <w:t>1、公告类型：变更公告</w:t>
      </w:r>
    </w:p>
    <w:p w14:paraId="3F3F2B68">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textAlignment w:val="auto"/>
        <w:rPr>
          <w:rFonts w:hint="eastAsia" w:eastAsiaTheme="minorEastAsia"/>
          <w:color w:val="auto"/>
          <w:spacing w:val="6"/>
          <w:sz w:val="21"/>
          <w:szCs w:val="21"/>
          <w:highlight w:val="none"/>
          <w:lang w:val="en-US" w:eastAsia="zh-CN"/>
        </w:rPr>
      </w:pPr>
      <w:r>
        <w:rPr>
          <w:rFonts w:hint="eastAsia" w:eastAsiaTheme="minorEastAsia"/>
          <w:color w:val="auto"/>
          <w:spacing w:val="6"/>
          <w:sz w:val="21"/>
          <w:szCs w:val="21"/>
          <w:highlight w:val="none"/>
          <w:lang w:val="en-US" w:eastAsia="zh-CN"/>
        </w:rPr>
        <w:t>2、更正事项：采购文件</w:t>
      </w:r>
    </w:p>
    <w:p w14:paraId="1953A3BE">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textAlignment w:val="auto"/>
        <w:rPr>
          <w:rFonts w:hint="eastAsia" w:eastAsiaTheme="minorEastAsia"/>
          <w:color w:val="auto"/>
          <w:spacing w:val="6"/>
          <w:sz w:val="21"/>
          <w:szCs w:val="21"/>
          <w:highlight w:val="none"/>
          <w:lang w:val="en-US" w:eastAsia="zh-CN"/>
        </w:rPr>
      </w:pPr>
      <w:r>
        <w:rPr>
          <w:rFonts w:hint="eastAsia" w:eastAsiaTheme="minorEastAsia"/>
          <w:color w:val="auto"/>
          <w:spacing w:val="6"/>
          <w:sz w:val="21"/>
          <w:szCs w:val="21"/>
          <w:highlight w:val="none"/>
          <w:lang w:val="en-US" w:eastAsia="zh-CN"/>
        </w:rPr>
        <w:t>3、原文件获取时间：2025年09月08日 - 2025年09月15日（北京时间）</w:t>
      </w:r>
    </w:p>
    <w:p w14:paraId="39425D2B">
      <w:pPr>
        <w:keepNext w:val="0"/>
        <w:keepLines w:val="0"/>
        <w:pageBreakBefore w:val="0"/>
        <w:widowControl w:val="0"/>
        <w:kinsoku/>
        <w:wordWrap/>
        <w:overflowPunct/>
        <w:topLinePunct w:val="0"/>
        <w:autoSpaceDE/>
        <w:autoSpaceDN/>
        <w:bidi w:val="0"/>
        <w:adjustRightInd/>
        <w:snapToGrid/>
        <w:spacing w:line="460" w:lineRule="exact"/>
        <w:ind w:firstLine="633" w:firstLineChars="300"/>
        <w:textAlignment w:val="auto"/>
        <w:rPr>
          <w:rFonts w:hint="eastAsia" w:eastAsiaTheme="minorEastAsia"/>
          <w:color w:val="auto"/>
          <w:spacing w:val="6"/>
          <w:sz w:val="21"/>
          <w:szCs w:val="21"/>
          <w:highlight w:val="none"/>
          <w:lang w:val="en-US" w:eastAsia="zh-CN"/>
        </w:rPr>
      </w:pPr>
      <w:r>
        <w:rPr>
          <w:rFonts w:hint="eastAsia" w:eastAsiaTheme="minorEastAsia"/>
          <w:color w:val="auto"/>
          <w:spacing w:val="6"/>
          <w:sz w:val="21"/>
          <w:szCs w:val="21"/>
          <w:highlight w:val="none"/>
          <w:lang w:val="en-US" w:eastAsia="zh-CN"/>
        </w:rPr>
        <w:t xml:space="preserve">文件获取截至时间变更为：2025年09月15日23时59分（北京时间） </w:t>
      </w:r>
    </w:p>
    <w:p w14:paraId="2DD1F16C">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eastAsiaTheme="minorEastAsia"/>
          <w:color w:val="auto"/>
          <w:spacing w:val="6"/>
          <w:sz w:val="21"/>
          <w:szCs w:val="21"/>
          <w:highlight w:val="none"/>
          <w:lang w:val="en-US" w:eastAsia="zh-CN"/>
        </w:rPr>
      </w:pPr>
      <w:r>
        <w:rPr>
          <w:rFonts w:hint="eastAsia" w:eastAsiaTheme="minorEastAsia"/>
          <w:color w:val="auto"/>
          <w:spacing w:val="6"/>
          <w:sz w:val="21"/>
          <w:szCs w:val="21"/>
          <w:highlight w:val="none"/>
          <w:lang w:val="en-US" w:eastAsia="zh-CN"/>
        </w:rPr>
        <w:t>4、原开标时间：2025年09月29日09时00分（北京时间）</w:t>
      </w:r>
    </w:p>
    <w:p w14:paraId="797D19B5">
      <w:pPr>
        <w:keepNext w:val="0"/>
        <w:keepLines w:val="0"/>
        <w:pageBreakBefore w:val="0"/>
        <w:widowControl w:val="0"/>
        <w:kinsoku/>
        <w:wordWrap/>
        <w:overflowPunct/>
        <w:topLinePunct w:val="0"/>
        <w:autoSpaceDE/>
        <w:autoSpaceDN/>
        <w:bidi w:val="0"/>
        <w:adjustRightInd/>
        <w:snapToGrid/>
        <w:spacing w:line="460" w:lineRule="exact"/>
        <w:ind w:firstLine="633" w:firstLineChars="300"/>
        <w:textAlignment w:val="auto"/>
        <w:rPr>
          <w:rFonts w:hint="eastAsia" w:eastAsiaTheme="minorEastAsia"/>
          <w:color w:val="auto"/>
          <w:spacing w:val="6"/>
          <w:sz w:val="21"/>
          <w:szCs w:val="21"/>
          <w:highlight w:val="none"/>
          <w:lang w:val="en-US" w:eastAsia="zh-CN"/>
        </w:rPr>
      </w:pPr>
      <w:r>
        <w:rPr>
          <w:rFonts w:hint="eastAsia" w:eastAsiaTheme="minorEastAsia"/>
          <w:color w:val="auto"/>
          <w:spacing w:val="6"/>
          <w:sz w:val="21"/>
          <w:szCs w:val="21"/>
          <w:highlight w:val="none"/>
          <w:lang w:val="en-US" w:eastAsia="zh-CN"/>
        </w:rPr>
        <w:t>开标时间变更为：2025年09月29日09时00分（北京时间）</w:t>
      </w:r>
    </w:p>
    <w:p w14:paraId="7DF11D29">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firstLine="422" w:firstLineChars="200"/>
        <w:textAlignment w:val="auto"/>
        <w:rPr>
          <w:rFonts w:hint="eastAsia" w:eastAsiaTheme="minorEastAsia"/>
          <w:color w:val="auto"/>
          <w:spacing w:val="6"/>
          <w:sz w:val="21"/>
          <w:szCs w:val="21"/>
          <w:lang w:val="en-US" w:eastAsia="zh-CN"/>
        </w:rPr>
      </w:pPr>
      <w:r>
        <w:rPr>
          <w:rFonts w:hint="eastAsia" w:eastAsiaTheme="minorEastAsia"/>
          <w:color w:val="auto"/>
          <w:spacing w:val="6"/>
          <w:sz w:val="21"/>
          <w:szCs w:val="21"/>
          <w:lang w:val="en-US" w:eastAsia="zh-CN"/>
        </w:rPr>
        <w:t>原采购信息内容</w:t>
      </w:r>
    </w:p>
    <w:p w14:paraId="0F9FABBC">
      <w:pPr>
        <w:keepNext w:val="0"/>
        <w:keepLines w:val="0"/>
        <w:pageBreakBefore w:val="0"/>
        <w:widowControl w:val="0"/>
        <w:kinsoku/>
        <w:wordWrap/>
        <w:overflowPunct/>
        <w:topLinePunct w:val="0"/>
        <w:autoSpaceDE/>
        <w:autoSpaceDN/>
        <w:bidi w:val="0"/>
        <w:adjustRightInd/>
        <w:snapToGrid/>
        <w:spacing w:line="460" w:lineRule="exact"/>
        <w:ind w:left="393" w:leftChars="208" w:firstLine="0" w:firstLineChars="0"/>
        <w:textAlignment w:val="auto"/>
        <w:rPr>
          <w:rFonts w:hint="eastAsia" w:ascii="Times New Roman" w:hAnsi="Times New Roman" w:cs="Times New Roman" w:eastAsiaTheme="minorEastAsia"/>
          <w:color w:val="auto"/>
          <w:spacing w:val="6"/>
          <w:sz w:val="21"/>
          <w:szCs w:val="21"/>
          <w:highlight w:val="green"/>
          <w:lang w:val="en-US" w:eastAsia="zh-CN"/>
        </w:rPr>
      </w:pPr>
      <w:r>
        <w:rPr>
          <w:rFonts w:hint="eastAsia" w:ascii="Times New Roman" w:hAnsi="Times New Roman" w:cs="Times New Roman" w:eastAsiaTheme="minorEastAsia"/>
          <w:color w:val="auto"/>
          <w:spacing w:val="6"/>
          <w:sz w:val="21"/>
          <w:szCs w:val="21"/>
          <w:highlight w:val="none"/>
          <w:lang w:val="en-US" w:eastAsia="zh-CN"/>
        </w:rPr>
        <w:t>原招标文件第五章 评标办法部分</w:t>
      </w:r>
      <w:r>
        <w:rPr>
          <w:rFonts w:hint="eastAsia" w:eastAsiaTheme="minorEastAsia"/>
          <w:color w:val="auto"/>
          <w:spacing w:val="6"/>
          <w:sz w:val="21"/>
          <w:szCs w:val="21"/>
          <w:highlight w:val="none"/>
          <w:lang w:val="en-US" w:eastAsia="zh-CN"/>
        </w:rPr>
        <w:t>内容发生变更。</w:t>
      </w:r>
    </w:p>
    <w:p w14:paraId="383A68C0">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textAlignment w:val="auto"/>
        <w:rPr>
          <w:rFonts w:hint="eastAsia" w:eastAsiaTheme="minorEastAsia"/>
          <w:b/>
          <w:bCs/>
          <w:color w:val="auto"/>
          <w:spacing w:val="6"/>
          <w:sz w:val="21"/>
          <w:szCs w:val="21"/>
          <w:highlight w:val="green"/>
          <w:lang w:val="en-US" w:eastAsia="zh-CN"/>
        </w:rPr>
      </w:pPr>
      <w:r>
        <w:rPr>
          <w:rFonts w:hint="eastAsia" w:eastAsiaTheme="minorEastAsia"/>
          <w:b/>
          <w:bCs/>
          <w:color w:val="auto"/>
          <w:spacing w:val="6"/>
          <w:sz w:val="21"/>
          <w:szCs w:val="21"/>
          <w:highlight w:val="none"/>
          <w:lang w:val="en-US" w:eastAsia="zh-CN"/>
        </w:rPr>
        <w:t>变更为</w:t>
      </w:r>
    </w:p>
    <w:p w14:paraId="55654B02">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textAlignment w:val="auto"/>
        <w:rPr>
          <w:rFonts w:hint="default" w:eastAsiaTheme="minorEastAsia"/>
          <w:color w:val="auto"/>
          <w:spacing w:val="6"/>
          <w:sz w:val="21"/>
          <w:szCs w:val="21"/>
          <w:highlight w:val="none"/>
          <w:lang w:val="en-US" w:eastAsia="zh-CN"/>
        </w:rPr>
      </w:pPr>
      <w:r>
        <w:rPr>
          <w:rFonts w:hint="eastAsia" w:eastAsiaTheme="minorEastAsia"/>
          <w:color w:val="auto"/>
          <w:spacing w:val="6"/>
          <w:sz w:val="21"/>
          <w:szCs w:val="21"/>
          <w:highlight w:val="none"/>
          <w:lang w:val="en-US" w:eastAsia="zh-CN"/>
        </w:rPr>
        <w:t>详见澄清文件。</w:t>
      </w:r>
    </w:p>
    <w:p w14:paraId="36623313">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textAlignment w:val="auto"/>
        <w:rPr>
          <w:rFonts w:hint="eastAsia" w:eastAsiaTheme="minorEastAsia"/>
          <w:color w:val="auto"/>
          <w:spacing w:val="6"/>
          <w:sz w:val="21"/>
          <w:szCs w:val="21"/>
          <w:lang w:val="en-US" w:eastAsia="zh-CN"/>
        </w:rPr>
      </w:pPr>
      <w:r>
        <w:rPr>
          <w:rFonts w:hint="eastAsia" w:eastAsiaTheme="minorEastAsia"/>
          <w:color w:val="auto"/>
          <w:spacing w:val="6"/>
          <w:sz w:val="21"/>
          <w:szCs w:val="21"/>
          <w:lang w:val="en-US" w:eastAsia="zh-CN"/>
        </w:rPr>
        <w:t>6、更正日期：2025年09月17日</w:t>
      </w:r>
    </w:p>
    <w:p w14:paraId="6C8D8FA2">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textAlignment w:val="auto"/>
        <w:rPr>
          <w:rFonts w:hint="default" w:eastAsiaTheme="minorEastAsia"/>
          <w:b/>
          <w:bCs/>
          <w:color w:val="auto"/>
          <w:spacing w:val="6"/>
          <w:sz w:val="21"/>
          <w:szCs w:val="21"/>
          <w:lang w:val="en-US" w:eastAsia="zh-CN"/>
        </w:rPr>
      </w:pPr>
      <w:r>
        <w:rPr>
          <w:rFonts w:hint="eastAsia" w:eastAsiaTheme="minorEastAsia"/>
          <w:b/>
          <w:bCs/>
          <w:color w:val="auto"/>
          <w:spacing w:val="6"/>
          <w:sz w:val="21"/>
          <w:szCs w:val="21"/>
          <w:lang w:val="en-US" w:eastAsia="zh-CN"/>
        </w:rPr>
        <w:t>三、其他补充事宜：其他内容不变</w:t>
      </w:r>
    </w:p>
    <w:p w14:paraId="291AE745">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textAlignment w:val="auto"/>
        <w:rPr>
          <w:rFonts w:hint="eastAsia" w:eastAsiaTheme="minorEastAsia"/>
          <w:b/>
          <w:bCs/>
          <w:color w:val="auto"/>
          <w:spacing w:val="6"/>
          <w:sz w:val="21"/>
          <w:szCs w:val="21"/>
          <w:lang w:val="en-US" w:eastAsia="zh-CN"/>
        </w:rPr>
      </w:pPr>
      <w:r>
        <w:rPr>
          <w:rFonts w:hint="eastAsia" w:eastAsiaTheme="minorEastAsia"/>
          <w:b/>
          <w:bCs/>
          <w:color w:val="auto"/>
          <w:spacing w:val="6"/>
          <w:sz w:val="21"/>
          <w:szCs w:val="21"/>
          <w:lang w:val="en-US" w:eastAsia="zh-CN"/>
        </w:rPr>
        <w:t>四、凡对本次公告内容提出询问，请按以下方式联系</w:t>
      </w:r>
    </w:p>
    <w:p w14:paraId="4CC8594A">
      <w:pPr>
        <w:spacing w:line="420" w:lineRule="exact"/>
        <w:ind w:firstLine="422" w:firstLineChars="200"/>
        <w:rPr>
          <w:rFonts w:eastAsiaTheme="minorEastAsia"/>
          <w:spacing w:val="6"/>
          <w:sz w:val="21"/>
          <w:szCs w:val="21"/>
        </w:rPr>
      </w:pPr>
      <w:r>
        <w:rPr>
          <w:rFonts w:hint="eastAsia" w:eastAsiaTheme="minorEastAsia"/>
          <w:spacing w:val="6"/>
          <w:sz w:val="21"/>
          <w:szCs w:val="21"/>
        </w:rPr>
        <w:t>1.采购人信息</w:t>
      </w:r>
    </w:p>
    <w:p w14:paraId="00A7BA48">
      <w:pPr>
        <w:spacing w:line="420" w:lineRule="exact"/>
        <w:ind w:firstLine="422" w:firstLineChars="200"/>
        <w:rPr>
          <w:rFonts w:eastAsiaTheme="minorEastAsia"/>
          <w:spacing w:val="6"/>
          <w:sz w:val="21"/>
          <w:szCs w:val="21"/>
        </w:rPr>
      </w:pPr>
      <w:r>
        <w:rPr>
          <w:rFonts w:hint="eastAsia" w:eastAsiaTheme="minorEastAsia"/>
          <w:spacing w:val="6"/>
          <w:sz w:val="21"/>
          <w:szCs w:val="21"/>
        </w:rPr>
        <w:t xml:space="preserve">名    称：河南科技大学第一附属医院 </w:t>
      </w:r>
    </w:p>
    <w:p w14:paraId="5AF696E4">
      <w:pPr>
        <w:spacing w:line="420" w:lineRule="exact"/>
        <w:ind w:firstLine="422" w:firstLineChars="200"/>
        <w:rPr>
          <w:rFonts w:eastAsiaTheme="minorEastAsia"/>
          <w:spacing w:val="6"/>
          <w:sz w:val="21"/>
          <w:szCs w:val="21"/>
        </w:rPr>
      </w:pPr>
      <w:r>
        <w:rPr>
          <w:rFonts w:hint="eastAsia" w:eastAsiaTheme="minorEastAsia"/>
          <w:spacing w:val="6"/>
          <w:sz w:val="21"/>
          <w:szCs w:val="21"/>
        </w:rPr>
        <w:t xml:space="preserve">地    址：洛阳市涧西区景华路24号 </w:t>
      </w:r>
    </w:p>
    <w:p w14:paraId="3D8A1DCA">
      <w:pPr>
        <w:spacing w:line="420" w:lineRule="exact"/>
        <w:ind w:firstLine="422" w:firstLineChars="200"/>
        <w:rPr>
          <w:rFonts w:hint="eastAsia" w:eastAsiaTheme="minorEastAsia"/>
          <w:spacing w:val="6"/>
          <w:sz w:val="21"/>
          <w:szCs w:val="21"/>
          <w:lang w:val="en-US" w:eastAsia="zh-CN"/>
        </w:rPr>
      </w:pPr>
      <w:r>
        <w:rPr>
          <w:rFonts w:hint="eastAsia" w:eastAsiaTheme="minorEastAsia"/>
          <w:spacing w:val="6"/>
          <w:sz w:val="21"/>
          <w:szCs w:val="21"/>
        </w:rPr>
        <w:t>联 系 人：</w:t>
      </w:r>
      <w:r>
        <w:rPr>
          <w:rFonts w:hint="eastAsia" w:eastAsiaTheme="minorEastAsia"/>
          <w:spacing w:val="6"/>
          <w:sz w:val="21"/>
          <w:szCs w:val="21"/>
          <w:highlight w:val="none"/>
          <w:lang w:val="en-US" w:eastAsia="zh-CN"/>
        </w:rPr>
        <w:t>姜敏</w:t>
      </w:r>
    </w:p>
    <w:p w14:paraId="239F2B50">
      <w:pPr>
        <w:spacing w:line="420" w:lineRule="exact"/>
        <w:ind w:firstLine="422" w:firstLineChars="200"/>
        <w:rPr>
          <w:rFonts w:eastAsiaTheme="minorEastAsia"/>
          <w:spacing w:val="6"/>
          <w:sz w:val="21"/>
          <w:szCs w:val="21"/>
        </w:rPr>
      </w:pPr>
      <w:r>
        <w:rPr>
          <w:rFonts w:hint="eastAsia" w:eastAsiaTheme="minorEastAsia"/>
          <w:spacing w:val="6"/>
          <w:sz w:val="21"/>
          <w:szCs w:val="21"/>
        </w:rPr>
        <w:t xml:space="preserve">联系方式：0379-62218520 </w:t>
      </w:r>
    </w:p>
    <w:p w14:paraId="6F15118A">
      <w:pPr>
        <w:spacing w:line="420" w:lineRule="exact"/>
        <w:ind w:firstLine="422" w:firstLineChars="200"/>
        <w:rPr>
          <w:rFonts w:eastAsiaTheme="minorEastAsia"/>
          <w:spacing w:val="6"/>
          <w:sz w:val="21"/>
          <w:szCs w:val="21"/>
        </w:rPr>
      </w:pPr>
      <w:r>
        <w:rPr>
          <w:rFonts w:hint="eastAsia" w:eastAsiaTheme="minorEastAsia"/>
          <w:spacing w:val="6"/>
          <w:sz w:val="21"/>
          <w:szCs w:val="21"/>
        </w:rPr>
        <w:t>2.采购代理机构信息</w:t>
      </w:r>
    </w:p>
    <w:p w14:paraId="686BB1E7">
      <w:pPr>
        <w:spacing w:line="420" w:lineRule="exact"/>
        <w:ind w:firstLine="422" w:firstLineChars="200"/>
        <w:rPr>
          <w:rFonts w:eastAsiaTheme="minorEastAsia"/>
          <w:spacing w:val="6"/>
          <w:sz w:val="21"/>
          <w:szCs w:val="21"/>
        </w:rPr>
      </w:pPr>
      <w:bookmarkStart w:id="79" w:name="_Toc3175"/>
      <w:r>
        <w:rPr>
          <w:rFonts w:hint="eastAsia" w:eastAsiaTheme="minorEastAsia"/>
          <w:spacing w:val="6"/>
          <w:sz w:val="21"/>
          <w:szCs w:val="21"/>
        </w:rPr>
        <w:t>名    称：河南省伟信招标管理咨询有限公司</w:t>
      </w:r>
      <w:bookmarkEnd w:id="79"/>
    </w:p>
    <w:p w14:paraId="7E9453AB">
      <w:pPr>
        <w:spacing w:line="420" w:lineRule="exact"/>
        <w:ind w:firstLine="422" w:firstLineChars="200"/>
        <w:rPr>
          <w:rFonts w:eastAsiaTheme="minorEastAsia"/>
          <w:spacing w:val="6"/>
          <w:sz w:val="21"/>
          <w:szCs w:val="21"/>
        </w:rPr>
      </w:pPr>
      <w:bookmarkStart w:id="80" w:name="_Toc5253"/>
      <w:r>
        <w:rPr>
          <w:rFonts w:hint="eastAsia" w:eastAsiaTheme="minorEastAsia"/>
          <w:spacing w:val="6"/>
          <w:sz w:val="21"/>
          <w:szCs w:val="21"/>
        </w:rPr>
        <w:t>地    址：洛阳市洛龙区学子街东方今典天汇中心707室</w:t>
      </w:r>
      <w:bookmarkEnd w:id="80"/>
    </w:p>
    <w:p w14:paraId="0F6827E2">
      <w:pPr>
        <w:spacing w:line="420" w:lineRule="exact"/>
        <w:ind w:firstLine="422" w:firstLineChars="200"/>
        <w:rPr>
          <w:rFonts w:hint="eastAsia" w:eastAsiaTheme="minorEastAsia"/>
          <w:spacing w:val="6"/>
          <w:sz w:val="21"/>
          <w:szCs w:val="21"/>
          <w:lang w:val="en-US" w:eastAsia="zh-CN"/>
        </w:rPr>
      </w:pPr>
      <w:bookmarkStart w:id="81" w:name="_Toc11833"/>
      <w:r>
        <w:rPr>
          <w:rFonts w:hint="eastAsia" w:eastAsiaTheme="minorEastAsia"/>
          <w:spacing w:val="6"/>
          <w:sz w:val="21"/>
          <w:szCs w:val="21"/>
        </w:rPr>
        <w:t>联 系 人：张</w:t>
      </w:r>
      <w:r>
        <w:rPr>
          <w:rFonts w:hint="eastAsia" w:eastAsiaTheme="minorEastAsia"/>
          <w:spacing w:val="6"/>
          <w:sz w:val="21"/>
          <w:szCs w:val="21"/>
          <w:lang w:val="en-US" w:eastAsia="zh-CN"/>
        </w:rPr>
        <w:t>艳艳</w:t>
      </w:r>
      <w:r>
        <w:rPr>
          <w:rFonts w:hint="eastAsia" w:eastAsiaTheme="minorEastAsia"/>
          <w:spacing w:val="6"/>
          <w:sz w:val="21"/>
          <w:szCs w:val="21"/>
        </w:rPr>
        <w:t>、</w:t>
      </w:r>
      <w:bookmarkEnd w:id="81"/>
      <w:r>
        <w:rPr>
          <w:rFonts w:hint="eastAsia" w:eastAsiaTheme="minorEastAsia"/>
          <w:spacing w:val="6"/>
          <w:sz w:val="21"/>
          <w:szCs w:val="21"/>
        </w:rPr>
        <w:t>宁</w:t>
      </w:r>
      <w:r>
        <w:rPr>
          <w:rFonts w:hint="eastAsia" w:eastAsiaTheme="minorEastAsia"/>
          <w:spacing w:val="6"/>
          <w:sz w:val="21"/>
          <w:szCs w:val="21"/>
          <w:lang w:val="en-US" w:eastAsia="zh-CN"/>
        </w:rPr>
        <w:t>俊丽</w:t>
      </w:r>
    </w:p>
    <w:p w14:paraId="2876A2B9">
      <w:pPr>
        <w:spacing w:line="420" w:lineRule="exact"/>
        <w:ind w:firstLine="422" w:firstLineChars="200"/>
        <w:rPr>
          <w:rFonts w:eastAsiaTheme="minorEastAsia"/>
          <w:spacing w:val="6"/>
          <w:sz w:val="21"/>
          <w:szCs w:val="21"/>
        </w:rPr>
      </w:pPr>
      <w:bookmarkStart w:id="82" w:name="_Toc3428"/>
      <w:r>
        <w:rPr>
          <w:rFonts w:hint="eastAsia" w:eastAsiaTheme="minorEastAsia"/>
          <w:spacing w:val="6"/>
          <w:sz w:val="21"/>
          <w:szCs w:val="21"/>
        </w:rPr>
        <w:t>联系方式：</w:t>
      </w:r>
      <w:bookmarkEnd w:id="82"/>
      <w:r>
        <w:rPr>
          <w:rFonts w:hint="eastAsia" w:eastAsiaTheme="minorEastAsia"/>
          <w:spacing w:val="6"/>
          <w:sz w:val="21"/>
          <w:szCs w:val="21"/>
        </w:rPr>
        <w:t xml:space="preserve">0379-80866707  </w:t>
      </w:r>
    </w:p>
    <w:p w14:paraId="48C99EA1">
      <w:pPr>
        <w:spacing w:line="420" w:lineRule="exact"/>
        <w:ind w:firstLine="422" w:firstLineChars="200"/>
        <w:rPr>
          <w:rFonts w:eastAsiaTheme="minorEastAsia"/>
          <w:spacing w:val="6"/>
          <w:sz w:val="21"/>
          <w:szCs w:val="21"/>
        </w:rPr>
      </w:pPr>
      <w:r>
        <w:rPr>
          <w:rFonts w:hint="eastAsia" w:eastAsiaTheme="minorEastAsia"/>
          <w:spacing w:val="6"/>
          <w:sz w:val="21"/>
          <w:szCs w:val="21"/>
        </w:rPr>
        <w:t>3</w:t>
      </w:r>
      <w:r>
        <w:rPr>
          <w:rFonts w:hint="eastAsia" w:eastAsiaTheme="minorEastAsia"/>
          <w:spacing w:val="6"/>
          <w:sz w:val="21"/>
          <w:szCs w:val="21"/>
          <w:lang w:val="en-US" w:eastAsia="zh-CN"/>
        </w:rPr>
        <w:t>.</w:t>
      </w:r>
      <w:r>
        <w:rPr>
          <w:rFonts w:hint="eastAsia" w:eastAsiaTheme="minorEastAsia"/>
          <w:spacing w:val="6"/>
          <w:sz w:val="21"/>
          <w:szCs w:val="21"/>
        </w:rPr>
        <w:t>项目联系方式</w:t>
      </w:r>
    </w:p>
    <w:p w14:paraId="090B2CFE">
      <w:pPr>
        <w:spacing w:line="420" w:lineRule="exact"/>
        <w:ind w:firstLine="422" w:firstLineChars="200"/>
        <w:rPr>
          <w:rFonts w:eastAsiaTheme="minorEastAsia"/>
          <w:spacing w:val="6"/>
          <w:sz w:val="21"/>
          <w:szCs w:val="21"/>
        </w:rPr>
      </w:pPr>
      <w:r>
        <w:rPr>
          <w:rFonts w:hint="eastAsia" w:eastAsiaTheme="minorEastAsia"/>
          <w:spacing w:val="6"/>
          <w:sz w:val="21"/>
          <w:szCs w:val="21"/>
        </w:rPr>
        <w:t>项目联系人：张</w:t>
      </w:r>
      <w:r>
        <w:rPr>
          <w:rFonts w:hint="eastAsia" w:eastAsiaTheme="minorEastAsia"/>
          <w:spacing w:val="6"/>
          <w:sz w:val="21"/>
          <w:szCs w:val="21"/>
          <w:lang w:val="en-US" w:eastAsia="zh-CN"/>
        </w:rPr>
        <w:t>艳艳</w:t>
      </w:r>
      <w:r>
        <w:rPr>
          <w:rFonts w:hint="eastAsia" w:eastAsiaTheme="minorEastAsia"/>
          <w:spacing w:val="6"/>
          <w:sz w:val="21"/>
          <w:szCs w:val="21"/>
        </w:rPr>
        <w:t>、宁</w:t>
      </w:r>
      <w:r>
        <w:rPr>
          <w:rFonts w:hint="eastAsia" w:eastAsiaTheme="minorEastAsia"/>
          <w:spacing w:val="6"/>
          <w:sz w:val="21"/>
          <w:szCs w:val="21"/>
          <w:lang w:val="en-US" w:eastAsia="zh-CN"/>
        </w:rPr>
        <w:t>俊丽</w:t>
      </w:r>
    </w:p>
    <w:p w14:paraId="757C9135">
      <w:pPr>
        <w:spacing w:line="420" w:lineRule="exact"/>
        <w:ind w:firstLine="422" w:firstLineChars="200"/>
        <w:rPr>
          <w:rFonts w:eastAsiaTheme="minorEastAsia"/>
          <w:spacing w:val="6"/>
          <w:sz w:val="21"/>
          <w:szCs w:val="21"/>
        </w:rPr>
      </w:pPr>
      <w:r>
        <w:rPr>
          <w:rFonts w:hint="eastAsia" w:eastAsiaTheme="minorEastAsia"/>
          <w:spacing w:val="6"/>
          <w:sz w:val="21"/>
          <w:szCs w:val="21"/>
        </w:rPr>
        <w:t xml:space="preserve">联系方式：0379-80866707  </w:t>
      </w:r>
    </w:p>
    <w:p w14:paraId="429EED1E"/>
    <w:p w14:paraId="29565542">
      <w:pPr>
        <w:keepNext w:val="0"/>
        <w:keepLines w:val="0"/>
        <w:pageBreakBefore w:val="0"/>
        <w:widowControl w:val="0"/>
        <w:kinsoku/>
        <w:wordWrap/>
        <w:overflowPunct/>
        <w:topLinePunct w:val="0"/>
        <w:autoSpaceDE/>
        <w:autoSpaceDN/>
        <w:bidi w:val="0"/>
        <w:adjustRightInd/>
        <w:snapToGrid/>
        <w:spacing w:line="460" w:lineRule="exact"/>
        <w:ind w:left="0" w:firstLine="5486" w:firstLineChars="2600"/>
        <w:textAlignment w:val="auto"/>
        <w:rPr>
          <w:rFonts w:hint="eastAsia" w:eastAsiaTheme="minorEastAsia"/>
          <w:spacing w:val="6"/>
          <w:sz w:val="21"/>
          <w:szCs w:val="21"/>
          <w:lang w:val="en-US" w:eastAsia="zh-CN"/>
        </w:rPr>
      </w:pPr>
    </w:p>
    <w:p w14:paraId="468FA7A2">
      <w:pPr>
        <w:pStyle w:val="8"/>
        <w:ind w:firstLine="538" w:firstLineChars="200"/>
        <w:rPr>
          <w:rFonts w:hint="default" w:eastAsia="宋体"/>
          <w:b/>
          <w:bCs/>
          <w:sz w:val="28"/>
          <w:szCs w:val="28"/>
          <w:highlight w:val="yellow"/>
          <w:lang w:val="en-US" w:eastAsia="zh-CN"/>
        </w:rPr>
      </w:pPr>
    </w:p>
    <w:p w14:paraId="702F9913">
      <w:pPr>
        <w:rPr>
          <w:rFonts w:hint="eastAsia" w:ascii="宋体" w:hAnsi="宋体" w:eastAsia="宋体" w:cs="宋体"/>
        </w:rPr>
      </w:pPr>
      <w:r>
        <w:rPr>
          <w:rFonts w:hint="eastAsia" w:ascii="宋体" w:hAnsi="宋体" w:eastAsia="宋体" w:cs="宋体"/>
        </w:rPr>
        <w:br w:type="page"/>
      </w:r>
    </w:p>
    <w:p w14:paraId="63CD3F3D">
      <w:pPr>
        <w:pStyle w:val="111"/>
        <w:bidi w:val="0"/>
        <w:rPr>
          <w:rFonts w:hint="eastAsia" w:ascii="宋体" w:hAnsi="宋体" w:eastAsia="宋体" w:cs="宋体"/>
        </w:rPr>
      </w:pPr>
      <w:r>
        <w:rPr>
          <w:rFonts w:hint="eastAsia" w:ascii="宋体" w:hAnsi="宋体" w:eastAsia="宋体" w:cs="宋体"/>
        </w:rPr>
        <w:t>第二章投标人须知</w:t>
      </w:r>
      <w:bookmarkEnd w:id="17"/>
      <w:bookmarkEnd w:id="18"/>
      <w:bookmarkEnd w:id="75"/>
      <w:bookmarkEnd w:id="76"/>
      <w:bookmarkEnd w:id="77"/>
      <w:bookmarkEnd w:id="78"/>
    </w:p>
    <w:p w14:paraId="6BA5B2B9">
      <w:pPr>
        <w:pStyle w:val="2"/>
        <w:outlineLvl w:val="1"/>
        <w:rPr>
          <w:rFonts w:hint="eastAsia" w:ascii="宋体" w:hAnsi="宋体" w:eastAsia="宋体" w:cs="宋体"/>
          <w:color w:val="auto"/>
          <w:sz w:val="30"/>
          <w:szCs w:val="30"/>
          <w:highlight w:val="none"/>
        </w:rPr>
      </w:pPr>
      <w:bookmarkStart w:id="83" w:name="_Toc26990"/>
      <w:bookmarkStart w:id="84" w:name="_Toc4167"/>
      <w:bookmarkStart w:id="85" w:name="_Toc30794"/>
      <w:bookmarkStart w:id="86" w:name="_Toc1901"/>
      <w:r>
        <w:rPr>
          <w:rFonts w:hint="eastAsia" w:ascii="宋体" w:hAnsi="宋体" w:eastAsia="宋体" w:cs="宋体"/>
          <w:color w:val="auto"/>
          <w:sz w:val="30"/>
          <w:szCs w:val="30"/>
          <w:highlight w:val="none"/>
        </w:rPr>
        <w:t>投标人须知前附表</w:t>
      </w:r>
      <w:bookmarkEnd w:id="83"/>
      <w:bookmarkEnd w:id="84"/>
      <w:bookmarkEnd w:id="85"/>
      <w:bookmarkEnd w:id="86"/>
    </w:p>
    <w:tbl>
      <w:tblPr>
        <w:tblStyle w:val="26"/>
        <w:tblW w:w="10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53"/>
        <w:gridCol w:w="6302"/>
      </w:tblGrid>
      <w:tr w14:paraId="398A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4CF7244A">
            <w:pPr>
              <w:pStyle w:val="112"/>
              <w:spacing w:line="320" w:lineRule="exact"/>
              <w:ind w:firstLine="0"/>
              <w:jc w:val="center"/>
              <w:rPr>
                <w:rFonts w:hint="eastAsia" w:ascii="宋体" w:hAnsi="宋体" w:eastAsia="宋体" w:cs="宋体"/>
                <w:b/>
                <w:bCs/>
                <w:color w:val="auto"/>
                <w:spacing w:val="6"/>
                <w:szCs w:val="21"/>
                <w:highlight w:val="none"/>
              </w:rPr>
            </w:pPr>
            <w:r>
              <w:rPr>
                <w:rFonts w:hint="eastAsia" w:ascii="宋体" w:hAnsi="宋体" w:eastAsia="宋体" w:cs="宋体"/>
                <w:b/>
                <w:bCs/>
                <w:color w:val="auto"/>
                <w:spacing w:val="6"/>
                <w:szCs w:val="21"/>
                <w:highlight w:val="none"/>
              </w:rPr>
              <w:t>条款号</w:t>
            </w:r>
          </w:p>
        </w:tc>
        <w:tc>
          <w:tcPr>
            <w:tcW w:w="3053" w:type="dxa"/>
            <w:tcBorders>
              <w:top w:val="single" w:color="auto" w:sz="4" w:space="0"/>
              <w:left w:val="single" w:color="auto" w:sz="4" w:space="0"/>
              <w:bottom w:val="single" w:color="auto" w:sz="4" w:space="0"/>
              <w:right w:val="single" w:color="auto" w:sz="4" w:space="0"/>
            </w:tcBorders>
            <w:vAlign w:val="center"/>
          </w:tcPr>
          <w:p w14:paraId="1B215B93">
            <w:pPr>
              <w:pStyle w:val="112"/>
              <w:spacing w:line="320" w:lineRule="exact"/>
              <w:ind w:firstLine="0"/>
              <w:jc w:val="center"/>
              <w:rPr>
                <w:rFonts w:hint="eastAsia" w:ascii="宋体" w:hAnsi="宋体" w:eastAsia="宋体" w:cs="宋体"/>
                <w:b/>
                <w:bCs/>
                <w:color w:val="auto"/>
                <w:spacing w:val="6"/>
                <w:szCs w:val="21"/>
                <w:highlight w:val="none"/>
              </w:rPr>
            </w:pPr>
            <w:r>
              <w:rPr>
                <w:rFonts w:hint="eastAsia" w:ascii="宋体" w:hAnsi="宋体" w:eastAsia="宋体" w:cs="宋体"/>
                <w:b/>
                <w:bCs/>
                <w:color w:val="auto"/>
                <w:spacing w:val="6"/>
                <w:szCs w:val="21"/>
                <w:highlight w:val="none"/>
              </w:rPr>
              <w:t>名 称</w:t>
            </w:r>
          </w:p>
        </w:tc>
        <w:tc>
          <w:tcPr>
            <w:tcW w:w="6302" w:type="dxa"/>
            <w:tcBorders>
              <w:top w:val="single" w:color="auto" w:sz="4" w:space="0"/>
              <w:left w:val="single" w:color="auto" w:sz="4" w:space="0"/>
              <w:bottom w:val="single" w:color="auto" w:sz="4" w:space="0"/>
              <w:right w:val="single" w:color="auto" w:sz="4" w:space="0"/>
            </w:tcBorders>
            <w:vAlign w:val="center"/>
          </w:tcPr>
          <w:p w14:paraId="1F330A6B">
            <w:pPr>
              <w:pStyle w:val="112"/>
              <w:spacing w:line="320" w:lineRule="exact"/>
              <w:ind w:firstLine="0"/>
              <w:jc w:val="center"/>
              <w:rPr>
                <w:rFonts w:hint="eastAsia" w:ascii="宋体" w:hAnsi="宋体" w:eastAsia="宋体" w:cs="宋体"/>
                <w:b/>
                <w:bCs/>
                <w:color w:val="auto"/>
                <w:spacing w:val="6"/>
                <w:szCs w:val="21"/>
                <w:highlight w:val="none"/>
              </w:rPr>
            </w:pPr>
            <w:r>
              <w:rPr>
                <w:rFonts w:hint="eastAsia" w:ascii="宋体" w:hAnsi="宋体" w:eastAsia="宋体" w:cs="宋体"/>
                <w:b/>
                <w:bCs/>
                <w:color w:val="auto"/>
                <w:spacing w:val="6"/>
                <w:szCs w:val="21"/>
                <w:highlight w:val="none"/>
              </w:rPr>
              <w:t>内   容</w:t>
            </w:r>
          </w:p>
        </w:tc>
      </w:tr>
      <w:tr w14:paraId="534D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539E5C94">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1.1.2</w:t>
            </w:r>
          </w:p>
        </w:tc>
        <w:tc>
          <w:tcPr>
            <w:tcW w:w="3053" w:type="dxa"/>
            <w:tcBorders>
              <w:top w:val="single" w:color="auto" w:sz="4" w:space="0"/>
              <w:left w:val="single" w:color="auto" w:sz="4" w:space="0"/>
              <w:bottom w:val="single" w:color="auto" w:sz="4" w:space="0"/>
              <w:right w:val="single" w:color="auto" w:sz="4" w:space="0"/>
            </w:tcBorders>
            <w:vAlign w:val="center"/>
          </w:tcPr>
          <w:p w14:paraId="6336ED0A">
            <w:pPr>
              <w:pStyle w:val="112"/>
              <w:spacing w:line="320" w:lineRule="exact"/>
              <w:ind w:firstLine="0"/>
              <w:jc w:val="center"/>
              <w:rPr>
                <w:rFonts w:hint="eastAsia" w:ascii="宋体" w:hAnsi="宋体" w:eastAsia="宋体" w:cs="宋体"/>
                <w:color w:val="auto"/>
                <w:spacing w:val="6"/>
                <w:szCs w:val="21"/>
                <w:highlight w:val="none"/>
                <w:lang w:eastAsia="zh-CN"/>
              </w:rPr>
            </w:pPr>
            <w:r>
              <w:rPr>
                <w:rFonts w:hint="eastAsia" w:ascii="宋体" w:hAnsi="宋体" w:eastAsia="宋体" w:cs="宋体"/>
                <w:color w:val="auto"/>
                <w:spacing w:val="6"/>
                <w:szCs w:val="21"/>
                <w:highlight w:val="none"/>
                <w:lang w:eastAsia="zh-CN"/>
              </w:rPr>
              <w:t>采购人</w:t>
            </w:r>
          </w:p>
        </w:tc>
        <w:tc>
          <w:tcPr>
            <w:tcW w:w="6302" w:type="dxa"/>
            <w:tcBorders>
              <w:top w:val="single" w:color="auto" w:sz="4" w:space="0"/>
              <w:left w:val="single" w:color="auto" w:sz="4" w:space="0"/>
              <w:bottom w:val="single" w:color="auto" w:sz="4" w:space="0"/>
              <w:right w:val="single" w:color="auto" w:sz="4" w:space="0"/>
            </w:tcBorders>
            <w:vAlign w:val="center"/>
          </w:tcPr>
          <w:p w14:paraId="096BEAF0">
            <w:pPr>
              <w:pStyle w:val="112"/>
              <w:spacing w:line="320" w:lineRule="exact"/>
              <w:ind w:firstLine="0" w:firstLineChars="0"/>
              <w:jc w:val="both"/>
              <w:rPr>
                <w:rFonts w:hint="eastAsia" w:ascii="宋体" w:hAnsi="宋体" w:eastAsia="宋体" w:cs="宋体"/>
                <w:color w:val="auto"/>
                <w:spacing w:val="6"/>
                <w:szCs w:val="21"/>
                <w:highlight w:val="none"/>
              </w:rPr>
            </w:pPr>
            <w:r>
              <w:rPr>
                <w:rFonts w:hint="default" w:ascii="Times New Roman" w:hAnsi="Times New Roman" w:cs="Times New Roman" w:eastAsiaTheme="minorEastAsia"/>
                <w:spacing w:val="6"/>
                <w:sz w:val="21"/>
                <w:szCs w:val="21"/>
                <w:lang w:val="en-US" w:eastAsia="zh-CN"/>
              </w:rPr>
              <w:t>见第一章招标公告</w:t>
            </w:r>
          </w:p>
        </w:tc>
      </w:tr>
      <w:tr w14:paraId="455C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49A02490">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1.1.3</w:t>
            </w:r>
          </w:p>
        </w:tc>
        <w:tc>
          <w:tcPr>
            <w:tcW w:w="3053" w:type="dxa"/>
            <w:tcBorders>
              <w:top w:val="single" w:color="auto" w:sz="4" w:space="0"/>
              <w:left w:val="single" w:color="auto" w:sz="4" w:space="0"/>
              <w:bottom w:val="single" w:color="auto" w:sz="4" w:space="0"/>
              <w:right w:val="single" w:color="auto" w:sz="4" w:space="0"/>
            </w:tcBorders>
            <w:vAlign w:val="center"/>
          </w:tcPr>
          <w:p w14:paraId="0A5875F0">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eastAsia="zh-CN"/>
              </w:rPr>
              <w:t>采购</w:t>
            </w:r>
            <w:r>
              <w:rPr>
                <w:rFonts w:hint="eastAsia" w:ascii="宋体" w:hAnsi="宋体" w:eastAsia="宋体" w:cs="宋体"/>
                <w:color w:val="auto"/>
                <w:spacing w:val="6"/>
                <w:szCs w:val="21"/>
                <w:highlight w:val="none"/>
              </w:rPr>
              <w:t>代理机构</w:t>
            </w:r>
          </w:p>
        </w:tc>
        <w:tc>
          <w:tcPr>
            <w:tcW w:w="6302" w:type="dxa"/>
            <w:tcBorders>
              <w:top w:val="single" w:color="auto" w:sz="4" w:space="0"/>
              <w:left w:val="single" w:color="auto" w:sz="4" w:space="0"/>
              <w:bottom w:val="single" w:color="auto" w:sz="4" w:space="0"/>
              <w:right w:val="single" w:color="auto" w:sz="4" w:space="0"/>
            </w:tcBorders>
            <w:vAlign w:val="center"/>
          </w:tcPr>
          <w:p w14:paraId="2AD23B26">
            <w:pPr>
              <w:pStyle w:val="112"/>
              <w:spacing w:line="320" w:lineRule="exact"/>
              <w:ind w:firstLine="0" w:firstLineChars="0"/>
              <w:jc w:val="both"/>
              <w:rPr>
                <w:rFonts w:hint="eastAsia" w:ascii="宋体" w:hAnsi="宋体" w:eastAsia="宋体" w:cs="宋体"/>
                <w:color w:val="auto"/>
                <w:highlight w:val="none"/>
              </w:rPr>
            </w:pPr>
            <w:r>
              <w:rPr>
                <w:rFonts w:hint="default" w:ascii="Times New Roman" w:hAnsi="Times New Roman" w:cs="Times New Roman" w:eastAsiaTheme="minorEastAsia"/>
                <w:spacing w:val="6"/>
                <w:sz w:val="21"/>
                <w:szCs w:val="21"/>
                <w:lang w:val="en-US" w:eastAsia="zh-CN"/>
              </w:rPr>
              <w:t>见第一章招标公告</w:t>
            </w:r>
          </w:p>
        </w:tc>
      </w:tr>
      <w:tr w14:paraId="1203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4C9D3A30">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1.1.4</w:t>
            </w:r>
          </w:p>
        </w:tc>
        <w:tc>
          <w:tcPr>
            <w:tcW w:w="3053" w:type="dxa"/>
            <w:tcBorders>
              <w:top w:val="single" w:color="auto" w:sz="4" w:space="0"/>
              <w:left w:val="single" w:color="auto" w:sz="4" w:space="0"/>
              <w:bottom w:val="single" w:color="auto" w:sz="4" w:space="0"/>
              <w:right w:val="single" w:color="auto" w:sz="4" w:space="0"/>
            </w:tcBorders>
            <w:vAlign w:val="center"/>
          </w:tcPr>
          <w:p w14:paraId="1C5D4BD1">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项目名称</w:t>
            </w:r>
          </w:p>
        </w:tc>
        <w:tc>
          <w:tcPr>
            <w:tcW w:w="6302" w:type="dxa"/>
            <w:tcBorders>
              <w:top w:val="single" w:color="auto" w:sz="4" w:space="0"/>
              <w:left w:val="single" w:color="auto" w:sz="4" w:space="0"/>
              <w:bottom w:val="single" w:color="auto" w:sz="4" w:space="0"/>
              <w:right w:val="single" w:color="auto" w:sz="4" w:space="0"/>
            </w:tcBorders>
            <w:vAlign w:val="center"/>
          </w:tcPr>
          <w:p w14:paraId="74B39965">
            <w:pPr>
              <w:spacing w:line="320" w:lineRule="exact"/>
              <w:jc w:val="left"/>
              <w:rPr>
                <w:rFonts w:hint="eastAsia" w:ascii="宋体" w:hAnsi="宋体" w:eastAsia="宋体" w:cs="宋体"/>
                <w:color w:val="auto"/>
                <w:spacing w:val="6"/>
                <w:szCs w:val="21"/>
                <w:highlight w:val="none"/>
                <w:lang w:eastAsia="zh-CN"/>
              </w:rPr>
            </w:pPr>
            <w:r>
              <w:rPr>
                <w:rFonts w:hint="default" w:ascii="Times New Roman" w:hAnsi="Times New Roman" w:cs="Times New Roman" w:eastAsiaTheme="minorEastAsia"/>
                <w:spacing w:val="6"/>
                <w:sz w:val="21"/>
                <w:szCs w:val="21"/>
                <w:lang w:val="en-US" w:eastAsia="zh-CN"/>
              </w:rPr>
              <w:t>见第一章招标公告</w:t>
            </w:r>
          </w:p>
        </w:tc>
      </w:tr>
      <w:tr w14:paraId="5A36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57285660">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1.1.5</w:t>
            </w:r>
          </w:p>
        </w:tc>
        <w:tc>
          <w:tcPr>
            <w:tcW w:w="3053" w:type="dxa"/>
            <w:tcBorders>
              <w:top w:val="single" w:color="auto" w:sz="4" w:space="0"/>
              <w:left w:val="single" w:color="auto" w:sz="4" w:space="0"/>
              <w:bottom w:val="single" w:color="auto" w:sz="4" w:space="0"/>
              <w:right w:val="single" w:color="auto" w:sz="4" w:space="0"/>
            </w:tcBorders>
            <w:vAlign w:val="center"/>
          </w:tcPr>
          <w:p w14:paraId="0CA6BAA3">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落实政府采购政策要求</w:t>
            </w:r>
          </w:p>
        </w:tc>
        <w:tc>
          <w:tcPr>
            <w:tcW w:w="6302" w:type="dxa"/>
            <w:tcBorders>
              <w:top w:val="single" w:color="auto" w:sz="4" w:space="0"/>
              <w:left w:val="single" w:color="auto" w:sz="4" w:space="0"/>
              <w:bottom w:val="single" w:color="auto" w:sz="4" w:space="0"/>
              <w:right w:val="single" w:color="auto" w:sz="4" w:space="0"/>
            </w:tcBorders>
            <w:vAlign w:val="center"/>
          </w:tcPr>
          <w:p w14:paraId="64C2EBE5">
            <w:pPr>
              <w:spacing w:line="320" w:lineRule="exact"/>
              <w:jc w:val="left"/>
              <w:rPr>
                <w:rFonts w:eastAsiaTheme="minorEastAsia"/>
                <w:spacing w:val="6"/>
                <w:sz w:val="21"/>
                <w:szCs w:val="21"/>
                <w:highlight w:val="none"/>
              </w:rPr>
            </w:pPr>
            <w:r>
              <w:rPr>
                <w:rFonts w:hint="eastAsia" w:eastAsiaTheme="minorEastAsia"/>
                <w:spacing w:val="6"/>
                <w:sz w:val="21"/>
                <w:szCs w:val="21"/>
                <w:highlight w:val="none"/>
              </w:rPr>
              <w:t>支持中小企业（含监狱企业、残疾人福利性单位）发展。</w:t>
            </w:r>
          </w:p>
          <w:p w14:paraId="1E74457D">
            <w:pPr>
              <w:spacing w:line="320" w:lineRule="exact"/>
              <w:jc w:val="left"/>
              <w:rPr>
                <w:rFonts w:ascii="Times New Roman" w:hAnsi="Times New Roman" w:cs="Times New Roman" w:eastAsiaTheme="minorEastAsia"/>
                <w:spacing w:val="6"/>
                <w:sz w:val="21"/>
                <w:szCs w:val="21"/>
                <w:highlight w:val="none"/>
              </w:rPr>
            </w:pPr>
            <w:r>
              <w:rPr>
                <w:rFonts w:eastAsiaTheme="minorEastAsia"/>
                <w:spacing w:val="6"/>
                <w:sz w:val="21"/>
                <w:szCs w:val="21"/>
                <w:highlight w:val="none"/>
              </w:rPr>
              <w:t>①涉及</w:t>
            </w:r>
            <w:r>
              <w:rPr>
                <w:rFonts w:hint="eastAsia" w:eastAsiaTheme="minorEastAsia"/>
                <w:spacing w:val="6"/>
                <w:sz w:val="21"/>
                <w:szCs w:val="21"/>
                <w:highlight w:val="none"/>
              </w:rPr>
              <w:t>价格评审优惠</w:t>
            </w:r>
            <w:r>
              <w:rPr>
                <w:rFonts w:ascii="Times New Roman" w:hAnsi="Times New Roman" w:cs="Times New Roman" w:eastAsiaTheme="minorEastAsia"/>
                <w:spacing w:val="6"/>
                <w:sz w:val="21"/>
                <w:szCs w:val="21"/>
                <w:highlight w:val="none"/>
              </w:rPr>
              <w:t>的相关单位应出具《中小企业声明函》</w:t>
            </w:r>
            <w:r>
              <w:rPr>
                <w:rFonts w:hint="eastAsia" w:ascii="Times New Roman" w:hAnsi="Times New Roman" w:cs="Times New Roman" w:eastAsiaTheme="minorEastAsia"/>
                <w:spacing w:val="6"/>
                <w:sz w:val="21"/>
                <w:szCs w:val="21"/>
                <w:highlight w:val="none"/>
              </w:rPr>
              <w:t>（</w:t>
            </w:r>
            <w:r>
              <w:rPr>
                <w:rFonts w:ascii="Times New Roman" w:hAnsi="Times New Roman" w:cs="Times New Roman" w:eastAsiaTheme="minorEastAsia"/>
                <w:spacing w:val="6"/>
                <w:sz w:val="21"/>
                <w:szCs w:val="21"/>
                <w:highlight w:val="none"/>
              </w:rPr>
              <w:t>或《残疾人福利性单位声明函》或监狱企业证明文件）</w:t>
            </w:r>
            <w:r>
              <w:rPr>
                <w:rFonts w:hint="eastAsia" w:ascii="Times New Roman" w:hAnsi="Times New Roman" w:cs="Times New Roman" w:eastAsiaTheme="minorEastAsia"/>
                <w:spacing w:val="6"/>
                <w:sz w:val="21"/>
                <w:szCs w:val="21"/>
                <w:highlight w:val="none"/>
              </w:rPr>
              <w:t>。</w:t>
            </w:r>
          </w:p>
          <w:p w14:paraId="7D72DB6E">
            <w:pPr>
              <w:spacing w:line="320" w:lineRule="exact"/>
              <w:jc w:val="left"/>
              <w:rPr>
                <w:rFonts w:ascii="Times New Roman" w:hAnsi="Times New Roman" w:cs="Times New Roman" w:eastAsiaTheme="minorEastAsia"/>
                <w:spacing w:val="6"/>
                <w:sz w:val="21"/>
                <w:szCs w:val="21"/>
                <w:highlight w:val="none"/>
              </w:rPr>
            </w:pPr>
            <w:r>
              <w:rPr>
                <w:rFonts w:ascii="Times New Roman" w:hAnsi="Times New Roman" w:cs="Times New Roman" w:eastAsiaTheme="minorEastAsia"/>
                <w:spacing w:val="6"/>
                <w:sz w:val="21"/>
                <w:szCs w:val="21"/>
                <w:highlight w:val="none"/>
              </w:rPr>
              <w:t>②</w:t>
            </w:r>
            <w:r>
              <w:rPr>
                <w:rFonts w:hint="eastAsia" w:ascii="Times New Roman" w:hAnsi="Times New Roman" w:cs="Times New Roman" w:eastAsiaTheme="minorEastAsia"/>
                <w:spacing w:val="6"/>
                <w:sz w:val="21"/>
                <w:szCs w:val="21"/>
                <w:highlight w:val="none"/>
              </w:rPr>
              <w:t>服务</w:t>
            </w:r>
            <w:r>
              <w:rPr>
                <w:rFonts w:hint="eastAsia" w:ascii="Times New Roman" w:hAnsi="Times New Roman" w:cs="Times New Roman" w:eastAsiaTheme="minorEastAsia"/>
                <w:spacing w:val="6"/>
                <w:sz w:val="21"/>
                <w:szCs w:val="21"/>
                <w:highlight w:val="none"/>
                <w:lang w:val="en-US" w:eastAsia="zh-CN"/>
              </w:rPr>
              <w:t>全部</w:t>
            </w:r>
            <w:r>
              <w:rPr>
                <w:rFonts w:hint="eastAsia" w:ascii="Times New Roman" w:hAnsi="Times New Roman" w:cs="Times New Roman" w:eastAsiaTheme="minorEastAsia"/>
                <w:spacing w:val="6"/>
                <w:sz w:val="21"/>
                <w:szCs w:val="21"/>
                <w:highlight w:val="none"/>
              </w:rPr>
              <w:t>由小微企业承接的，对符合《政府采购促进中小企业发展管理办法》规定的供应商报价给予10%的价格扣除，用扣除后的价格参加评审。</w:t>
            </w:r>
          </w:p>
          <w:p w14:paraId="40ADEF78">
            <w:pPr>
              <w:spacing w:line="320" w:lineRule="exact"/>
              <w:jc w:val="left"/>
              <w:rPr>
                <w:rFonts w:eastAsiaTheme="minorEastAsia"/>
                <w:spacing w:val="6"/>
                <w:sz w:val="21"/>
                <w:szCs w:val="21"/>
                <w:highlight w:val="none"/>
              </w:rPr>
            </w:pPr>
            <w:r>
              <w:rPr>
                <w:rFonts w:ascii="Times New Roman" w:hAnsi="Times New Roman" w:cs="Times New Roman" w:eastAsiaTheme="minorEastAsia"/>
                <w:spacing w:val="6"/>
                <w:sz w:val="21"/>
                <w:szCs w:val="21"/>
                <w:highlight w:val="none"/>
              </w:rPr>
              <w:t>③</w:t>
            </w:r>
            <w:r>
              <w:rPr>
                <w:rFonts w:hint="eastAsia" w:ascii="Times New Roman" w:hAnsi="Times New Roman" w:cs="Times New Roman" w:eastAsiaTheme="minorEastAsia"/>
                <w:spacing w:val="6"/>
                <w:sz w:val="21"/>
                <w:szCs w:val="21"/>
                <w:highlight w:val="none"/>
              </w:rPr>
              <w:t>大中型企业与小微企业组成联合体或者大中型企业向一家或者多家小微企业分包的采购项目，对于联合协议或者分包意向协议约定小微企业的合同份额占到合同总金额30%以上的，对供应商的报价给予4%的价格扣除，用扣除后的价格参加评审</w:t>
            </w:r>
            <w:r>
              <w:rPr>
                <w:rFonts w:hint="eastAsia" w:eastAsiaTheme="minorEastAsia"/>
                <w:spacing w:val="6"/>
                <w:sz w:val="21"/>
                <w:szCs w:val="21"/>
                <w:highlight w:val="none"/>
              </w:rPr>
              <w:t>。</w:t>
            </w:r>
          </w:p>
          <w:p w14:paraId="7DEF64C3">
            <w:pPr>
              <w:spacing w:line="320" w:lineRule="exact"/>
              <w:jc w:val="left"/>
              <w:rPr>
                <w:rFonts w:eastAsiaTheme="minorEastAsia"/>
                <w:spacing w:val="6"/>
                <w:sz w:val="21"/>
                <w:szCs w:val="21"/>
                <w:highlight w:val="none"/>
              </w:rPr>
            </w:pPr>
            <w:r>
              <w:rPr>
                <w:rFonts w:hint="eastAsia" w:eastAsiaTheme="minorEastAsia"/>
                <w:spacing w:val="6"/>
                <w:sz w:val="21"/>
                <w:szCs w:val="21"/>
                <w:highlight w:val="none"/>
              </w:rPr>
              <w:t>④依法享受扶持政策获得政府采购合同的，小微企业不得将合同分包给大中型企业，中型企业不得将合同分包给大型企业。</w:t>
            </w:r>
          </w:p>
          <w:p w14:paraId="603EA3A8">
            <w:pPr>
              <w:spacing w:line="320" w:lineRule="exact"/>
              <w:jc w:val="left"/>
              <w:rPr>
                <w:rFonts w:eastAsiaTheme="minorEastAsia"/>
                <w:spacing w:val="6"/>
                <w:sz w:val="21"/>
                <w:szCs w:val="21"/>
                <w:highlight w:val="none"/>
              </w:rPr>
            </w:pPr>
            <w:r>
              <w:rPr>
                <w:rFonts w:hint="eastAsia" w:eastAsiaTheme="minorEastAsia"/>
                <w:spacing w:val="6"/>
                <w:sz w:val="21"/>
                <w:szCs w:val="21"/>
                <w:highlight w:val="none"/>
              </w:rPr>
              <w:t>⑤采购人在相关条件具备时，优先对中小企业在资金支付期限、预付款比例方面给予优惠措施。</w:t>
            </w:r>
          </w:p>
          <w:p w14:paraId="63711B08">
            <w:pPr>
              <w:spacing w:line="320" w:lineRule="exact"/>
              <w:jc w:val="left"/>
              <w:rPr>
                <w:rFonts w:eastAsiaTheme="minorEastAsia"/>
                <w:spacing w:val="6"/>
                <w:sz w:val="21"/>
                <w:szCs w:val="21"/>
                <w:highlight w:val="none"/>
              </w:rPr>
            </w:pPr>
            <w:r>
              <w:rPr>
                <w:rFonts w:hint="eastAsia" w:eastAsiaTheme="minorEastAsia"/>
                <w:spacing w:val="6"/>
                <w:sz w:val="21"/>
                <w:szCs w:val="21"/>
                <w:highlight w:val="none"/>
              </w:rPr>
              <w:t>⑥本次招标项目对应的中小</w:t>
            </w:r>
            <w:r>
              <w:rPr>
                <w:rFonts w:hint="eastAsia" w:eastAsiaTheme="minorEastAsia"/>
                <w:color w:val="000000" w:themeColor="text1"/>
                <w:spacing w:val="6"/>
                <w:sz w:val="21"/>
                <w:szCs w:val="21"/>
                <w:highlight w:val="none"/>
                <w14:textFill>
                  <w14:solidFill>
                    <w14:schemeClr w14:val="tx1"/>
                  </w14:solidFill>
                </w14:textFill>
              </w:rPr>
              <w:t>企业划分标准所属行业：</w:t>
            </w:r>
            <w:r>
              <w:rPr>
                <w:rFonts w:hint="eastAsia" w:eastAsiaTheme="minorEastAsia"/>
                <w:color w:val="000000" w:themeColor="text1"/>
                <w:spacing w:val="6"/>
                <w:sz w:val="21"/>
                <w:szCs w:val="21"/>
                <w:highlight w:val="none"/>
                <w:u w:val="single"/>
                <w14:textFill>
                  <w14:solidFill>
                    <w14:schemeClr w14:val="tx1"/>
                  </w14:solidFill>
                </w14:textFill>
              </w:rPr>
              <w:t>软件和信息技术服务业</w:t>
            </w:r>
            <w:r>
              <w:rPr>
                <w:rFonts w:hint="eastAsia" w:eastAsiaTheme="minorEastAsia"/>
                <w:color w:val="000000" w:themeColor="text1"/>
                <w:spacing w:val="6"/>
                <w:sz w:val="21"/>
                <w:szCs w:val="21"/>
                <w:highlight w:val="none"/>
                <w14:textFill>
                  <w14:solidFill>
                    <w14:schemeClr w14:val="tx1"/>
                  </w14:solidFill>
                </w14:textFill>
              </w:rPr>
              <w:t>。</w:t>
            </w:r>
          </w:p>
          <w:p w14:paraId="635598DB">
            <w:pPr>
              <w:pStyle w:val="112"/>
              <w:spacing w:line="320" w:lineRule="exact"/>
              <w:ind w:firstLine="0"/>
              <w:jc w:val="left"/>
              <w:rPr>
                <w:rFonts w:hint="eastAsia" w:ascii="宋体" w:hAnsi="宋体" w:eastAsia="宋体" w:cs="宋体"/>
                <w:color w:val="auto"/>
                <w:spacing w:val="6"/>
                <w:szCs w:val="21"/>
                <w:highlight w:val="none"/>
              </w:rPr>
            </w:pPr>
            <w:r>
              <w:rPr>
                <w:rFonts w:hint="eastAsia" w:eastAsiaTheme="minorEastAsia"/>
                <w:b/>
                <w:bCs/>
                <w:spacing w:val="6"/>
                <w:sz w:val="21"/>
                <w:szCs w:val="21"/>
                <w:highlight w:val="none"/>
              </w:rPr>
              <w:t>注：投标人应当根据所投产品制造商的实际状况，审慎出具声明函，声明函内容不实的，属于提供虚假材料谋取中标，依照国家有关规定追究其相应责任。</w:t>
            </w:r>
          </w:p>
        </w:tc>
      </w:tr>
      <w:tr w14:paraId="1512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3657E2AD">
            <w:pPr>
              <w:pStyle w:val="112"/>
              <w:spacing w:line="320" w:lineRule="exact"/>
              <w:ind w:firstLine="0"/>
              <w:jc w:val="center"/>
              <w:rPr>
                <w:rFonts w:hint="eastAsia" w:ascii="宋体" w:hAnsi="宋体" w:eastAsia="宋体" w:cs="宋体"/>
                <w:color w:val="auto"/>
                <w:spacing w:val="6"/>
                <w:szCs w:val="21"/>
                <w:highlight w:val="none"/>
                <w:lang w:eastAsia="zh-CN"/>
              </w:rPr>
            </w:pPr>
            <w:r>
              <w:rPr>
                <w:rFonts w:hint="eastAsia" w:ascii="宋体" w:hAnsi="宋体" w:eastAsia="宋体" w:cs="宋体"/>
                <w:color w:val="auto"/>
                <w:spacing w:val="6"/>
                <w:szCs w:val="21"/>
                <w:highlight w:val="none"/>
              </w:rPr>
              <w:t>1.1.</w:t>
            </w:r>
            <w:r>
              <w:rPr>
                <w:rFonts w:hint="eastAsia" w:ascii="宋体" w:hAnsi="宋体" w:eastAsia="宋体" w:cs="宋体"/>
                <w:color w:val="auto"/>
                <w:spacing w:val="6"/>
                <w:szCs w:val="21"/>
                <w:highlight w:val="none"/>
                <w:lang w:val="en-US" w:eastAsia="zh-CN"/>
              </w:rPr>
              <w:t>6</w:t>
            </w:r>
          </w:p>
        </w:tc>
        <w:tc>
          <w:tcPr>
            <w:tcW w:w="3053" w:type="dxa"/>
            <w:tcBorders>
              <w:top w:val="single" w:color="auto" w:sz="4" w:space="0"/>
              <w:left w:val="single" w:color="auto" w:sz="4" w:space="0"/>
              <w:bottom w:val="single" w:color="auto" w:sz="4" w:space="0"/>
              <w:right w:val="single" w:color="auto" w:sz="4" w:space="0"/>
            </w:tcBorders>
            <w:vAlign w:val="center"/>
          </w:tcPr>
          <w:p w14:paraId="05B3F94D">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eastAsia="zh-CN"/>
              </w:rPr>
              <w:t>项目</w:t>
            </w:r>
            <w:r>
              <w:rPr>
                <w:rFonts w:hint="eastAsia" w:ascii="宋体" w:hAnsi="宋体" w:eastAsia="宋体" w:cs="宋体"/>
                <w:color w:val="auto"/>
                <w:spacing w:val="6"/>
                <w:szCs w:val="21"/>
                <w:highlight w:val="none"/>
              </w:rPr>
              <w:t>编号</w:t>
            </w:r>
          </w:p>
        </w:tc>
        <w:tc>
          <w:tcPr>
            <w:tcW w:w="6302" w:type="dxa"/>
            <w:tcBorders>
              <w:top w:val="single" w:color="auto" w:sz="4" w:space="0"/>
              <w:left w:val="single" w:color="auto" w:sz="4" w:space="0"/>
              <w:bottom w:val="single" w:color="auto" w:sz="4" w:space="0"/>
              <w:right w:val="single" w:color="auto" w:sz="4" w:space="0"/>
            </w:tcBorders>
            <w:vAlign w:val="center"/>
          </w:tcPr>
          <w:p w14:paraId="67B74389">
            <w:pPr>
              <w:spacing w:line="320" w:lineRule="exact"/>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见第一章招标公告</w:t>
            </w:r>
          </w:p>
        </w:tc>
      </w:tr>
      <w:tr w14:paraId="6ED8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38DAB539">
            <w:pPr>
              <w:pStyle w:val="112"/>
              <w:spacing w:line="320" w:lineRule="exact"/>
              <w:ind w:firstLine="0"/>
              <w:jc w:val="center"/>
              <w:rPr>
                <w:rFonts w:hint="eastAsia" w:ascii="宋体" w:hAnsi="宋体" w:eastAsia="宋体" w:cs="宋体"/>
                <w:color w:val="auto"/>
                <w:spacing w:val="6"/>
                <w:szCs w:val="21"/>
                <w:highlight w:val="none"/>
                <w:lang w:eastAsia="zh-CN"/>
              </w:rPr>
            </w:pPr>
            <w:r>
              <w:rPr>
                <w:rFonts w:hint="eastAsia" w:ascii="宋体" w:hAnsi="宋体" w:eastAsia="宋体" w:cs="宋体"/>
                <w:color w:val="auto"/>
                <w:spacing w:val="6"/>
                <w:szCs w:val="21"/>
                <w:highlight w:val="none"/>
              </w:rPr>
              <w:t>1.1.</w:t>
            </w:r>
            <w:r>
              <w:rPr>
                <w:rFonts w:hint="eastAsia" w:ascii="宋体" w:hAnsi="宋体" w:eastAsia="宋体" w:cs="宋体"/>
                <w:color w:val="auto"/>
                <w:spacing w:val="6"/>
                <w:szCs w:val="21"/>
                <w:highlight w:val="none"/>
                <w:lang w:val="en-US" w:eastAsia="zh-CN"/>
              </w:rPr>
              <w:t>7</w:t>
            </w:r>
          </w:p>
        </w:tc>
        <w:tc>
          <w:tcPr>
            <w:tcW w:w="3053" w:type="dxa"/>
            <w:tcBorders>
              <w:top w:val="single" w:color="auto" w:sz="4" w:space="0"/>
              <w:left w:val="single" w:color="auto" w:sz="4" w:space="0"/>
              <w:bottom w:val="single" w:color="auto" w:sz="4" w:space="0"/>
              <w:right w:val="single" w:color="auto" w:sz="4" w:space="0"/>
            </w:tcBorders>
            <w:vAlign w:val="center"/>
          </w:tcPr>
          <w:p w14:paraId="1F9329B7">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标段（包）划分</w:t>
            </w:r>
          </w:p>
        </w:tc>
        <w:tc>
          <w:tcPr>
            <w:tcW w:w="6302" w:type="dxa"/>
            <w:tcBorders>
              <w:top w:val="single" w:color="auto" w:sz="4" w:space="0"/>
              <w:left w:val="single" w:color="auto" w:sz="4" w:space="0"/>
              <w:bottom w:val="single" w:color="auto" w:sz="4" w:space="0"/>
              <w:right w:val="single" w:color="auto" w:sz="4" w:space="0"/>
            </w:tcBorders>
            <w:vAlign w:val="center"/>
          </w:tcPr>
          <w:p w14:paraId="1267CB14">
            <w:pPr>
              <w:spacing w:line="320" w:lineRule="exact"/>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见第一章招标公告</w:t>
            </w:r>
          </w:p>
        </w:tc>
      </w:tr>
      <w:tr w14:paraId="1886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7923E7EF">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1.2.1</w:t>
            </w:r>
          </w:p>
        </w:tc>
        <w:tc>
          <w:tcPr>
            <w:tcW w:w="3053" w:type="dxa"/>
            <w:tcBorders>
              <w:top w:val="single" w:color="auto" w:sz="4" w:space="0"/>
              <w:left w:val="single" w:color="auto" w:sz="4" w:space="0"/>
              <w:bottom w:val="single" w:color="auto" w:sz="4" w:space="0"/>
              <w:right w:val="single" w:color="auto" w:sz="4" w:space="0"/>
            </w:tcBorders>
            <w:vAlign w:val="center"/>
          </w:tcPr>
          <w:p w14:paraId="63A8B997">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资金来源</w:t>
            </w:r>
          </w:p>
        </w:tc>
        <w:tc>
          <w:tcPr>
            <w:tcW w:w="6302" w:type="dxa"/>
            <w:tcBorders>
              <w:top w:val="single" w:color="auto" w:sz="4" w:space="0"/>
              <w:left w:val="single" w:color="auto" w:sz="4" w:space="0"/>
              <w:bottom w:val="single" w:color="auto" w:sz="4" w:space="0"/>
              <w:right w:val="single" w:color="auto" w:sz="4" w:space="0"/>
            </w:tcBorders>
            <w:vAlign w:val="center"/>
          </w:tcPr>
          <w:p w14:paraId="2AB2C710">
            <w:pPr>
              <w:spacing w:line="320" w:lineRule="exact"/>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 w:val="21"/>
                <w:szCs w:val="21"/>
                <w:highlight w:val="none"/>
                <w:lang w:val="en-US" w:eastAsia="zh-CN"/>
              </w:rPr>
              <w:t>自筹资金</w:t>
            </w:r>
          </w:p>
        </w:tc>
      </w:tr>
      <w:tr w14:paraId="4CAF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5C02B3B3">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1.2.2</w:t>
            </w:r>
          </w:p>
        </w:tc>
        <w:tc>
          <w:tcPr>
            <w:tcW w:w="3053" w:type="dxa"/>
            <w:tcBorders>
              <w:top w:val="single" w:color="auto" w:sz="4" w:space="0"/>
              <w:left w:val="single" w:color="auto" w:sz="4" w:space="0"/>
              <w:bottom w:val="single" w:color="auto" w:sz="4" w:space="0"/>
              <w:right w:val="single" w:color="auto" w:sz="4" w:space="0"/>
            </w:tcBorders>
            <w:vAlign w:val="center"/>
          </w:tcPr>
          <w:p w14:paraId="3F1F58C3">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付款方式</w:t>
            </w:r>
          </w:p>
        </w:tc>
        <w:tc>
          <w:tcPr>
            <w:tcW w:w="6302" w:type="dxa"/>
            <w:tcBorders>
              <w:top w:val="single" w:color="auto" w:sz="4" w:space="0"/>
              <w:left w:val="single" w:color="auto" w:sz="4" w:space="0"/>
              <w:bottom w:val="single" w:color="auto" w:sz="4" w:space="0"/>
              <w:right w:val="single" w:color="auto" w:sz="4" w:space="0"/>
            </w:tcBorders>
            <w:vAlign w:val="center"/>
          </w:tcPr>
          <w:p w14:paraId="49BF47A5">
            <w:pPr>
              <w:pStyle w:val="112"/>
              <w:spacing w:line="320" w:lineRule="exact"/>
              <w:ind w:firstLine="0"/>
              <w:jc w:val="left"/>
              <w:rPr>
                <w:rFonts w:hint="eastAsia" w:ascii="Times New Roman" w:hAnsi="Times New Roman" w:eastAsia="宋体" w:cs="Times New Roman"/>
                <w:sz w:val="21"/>
                <w:szCs w:val="21"/>
                <w:highlight w:val="none"/>
                <w:vertAlign w:val="baseline"/>
                <w:lang w:val="en-US" w:eastAsia="zh-CN"/>
              </w:rPr>
            </w:pPr>
            <w:r>
              <w:rPr>
                <w:rFonts w:hint="eastAsia" w:ascii="Times New Roman" w:hAnsi="Times New Roman" w:eastAsia="宋体" w:cs="Times New Roman"/>
                <w:sz w:val="21"/>
                <w:szCs w:val="21"/>
                <w:highlight w:val="none"/>
                <w:vertAlign w:val="baseline"/>
                <w:lang w:val="en-US" w:eastAsia="zh-CN"/>
              </w:rPr>
              <w:t>1、合同签订后，乙方完成实施准备及系统模拟调试，双方确定人员进场并签订进场确认书后，付合同总金额的30%；</w:t>
            </w:r>
          </w:p>
          <w:p w14:paraId="541BAE02">
            <w:pPr>
              <w:pStyle w:val="112"/>
              <w:spacing w:line="320" w:lineRule="exact"/>
              <w:ind w:firstLine="0"/>
              <w:jc w:val="left"/>
              <w:rPr>
                <w:rFonts w:hint="eastAsia" w:ascii="Times New Roman" w:hAnsi="Times New Roman" w:eastAsia="宋体" w:cs="Times New Roman"/>
                <w:sz w:val="21"/>
                <w:szCs w:val="21"/>
                <w:highlight w:val="none"/>
                <w:vertAlign w:val="baseline"/>
                <w:lang w:val="en-US" w:eastAsia="zh-CN"/>
              </w:rPr>
            </w:pPr>
            <w:r>
              <w:rPr>
                <w:rFonts w:hint="eastAsia" w:ascii="Times New Roman" w:hAnsi="Times New Roman" w:eastAsia="宋体" w:cs="Times New Roman"/>
                <w:sz w:val="21"/>
                <w:szCs w:val="21"/>
                <w:highlight w:val="none"/>
                <w:vertAlign w:val="baseline"/>
                <w:lang w:val="en-US" w:eastAsia="zh-CN"/>
              </w:rPr>
              <w:t>2、项目验收合格后，付合同总金额的60%；</w:t>
            </w:r>
          </w:p>
          <w:p w14:paraId="24E9C47A">
            <w:pPr>
              <w:spacing w:line="320" w:lineRule="exact"/>
              <w:jc w:val="left"/>
              <w:rPr>
                <w:rFonts w:hint="eastAsia" w:ascii="宋体" w:hAnsi="宋体" w:eastAsia="宋体" w:cs="宋体"/>
                <w:color w:val="auto"/>
                <w:spacing w:val="6"/>
                <w:sz w:val="21"/>
                <w:szCs w:val="21"/>
                <w:highlight w:val="none"/>
              </w:rPr>
            </w:pPr>
            <w:r>
              <w:rPr>
                <w:rFonts w:hint="eastAsia" w:ascii="Times New Roman" w:hAnsi="Times New Roman" w:eastAsia="宋体" w:cs="Times New Roman"/>
                <w:sz w:val="21"/>
                <w:szCs w:val="21"/>
                <w:highlight w:val="none"/>
                <w:vertAlign w:val="baseline"/>
                <w:lang w:val="en-US" w:eastAsia="zh-CN"/>
              </w:rPr>
              <w:t>3、质保期满后，付合同总金额的10%。</w:t>
            </w:r>
          </w:p>
        </w:tc>
      </w:tr>
      <w:tr w14:paraId="333F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0649316E">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1.3.1</w:t>
            </w:r>
          </w:p>
        </w:tc>
        <w:tc>
          <w:tcPr>
            <w:tcW w:w="3053" w:type="dxa"/>
            <w:tcBorders>
              <w:top w:val="single" w:color="auto" w:sz="4" w:space="0"/>
              <w:left w:val="single" w:color="auto" w:sz="4" w:space="0"/>
              <w:bottom w:val="single" w:color="auto" w:sz="4" w:space="0"/>
              <w:right w:val="single" w:color="auto" w:sz="4" w:space="0"/>
            </w:tcBorders>
            <w:vAlign w:val="center"/>
          </w:tcPr>
          <w:p w14:paraId="69DF4898">
            <w:pPr>
              <w:pStyle w:val="112"/>
              <w:spacing w:line="320" w:lineRule="exact"/>
              <w:ind w:firstLine="0"/>
              <w:jc w:val="center"/>
              <w:rPr>
                <w:rFonts w:hint="eastAsia" w:ascii="宋体" w:hAnsi="宋体" w:eastAsia="宋体" w:cs="宋体"/>
                <w:color w:val="auto"/>
                <w:spacing w:val="6"/>
                <w:szCs w:val="21"/>
                <w:highlight w:val="none"/>
                <w:lang w:eastAsia="zh-CN"/>
              </w:rPr>
            </w:pPr>
            <w:r>
              <w:rPr>
                <w:rFonts w:hint="eastAsia" w:ascii="宋体" w:hAnsi="宋体" w:eastAsia="宋体" w:cs="宋体"/>
                <w:color w:val="auto"/>
                <w:spacing w:val="6"/>
                <w:szCs w:val="21"/>
                <w:highlight w:val="none"/>
                <w:lang w:val="en-US" w:eastAsia="zh-CN"/>
              </w:rPr>
              <w:t>项目工期</w:t>
            </w:r>
          </w:p>
        </w:tc>
        <w:tc>
          <w:tcPr>
            <w:tcW w:w="6302" w:type="dxa"/>
            <w:tcBorders>
              <w:top w:val="single" w:color="auto" w:sz="4" w:space="0"/>
              <w:left w:val="single" w:color="auto" w:sz="4" w:space="0"/>
              <w:bottom w:val="single" w:color="auto" w:sz="4" w:space="0"/>
              <w:right w:val="single" w:color="auto" w:sz="4" w:space="0"/>
            </w:tcBorders>
            <w:vAlign w:val="center"/>
          </w:tcPr>
          <w:p w14:paraId="6BC19DD4">
            <w:pPr>
              <w:spacing w:line="320" w:lineRule="exact"/>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见第一章招标公告</w:t>
            </w:r>
          </w:p>
        </w:tc>
      </w:tr>
      <w:tr w14:paraId="5B6A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6B8510D5">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1.3.2</w:t>
            </w:r>
          </w:p>
        </w:tc>
        <w:tc>
          <w:tcPr>
            <w:tcW w:w="3053" w:type="dxa"/>
            <w:tcBorders>
              <w:top w:val="single" w:color="auto" w:sz="4" w:space="0"/>
              <w:left w:val="single" w:color="auto" w:sz="4" w:space="0"/>
              <w:bottom w:val="single" w:color="auto" w:sz="4" w:space="0"/>
              <w:right w:val="single" w:color="auto" w:sz="4" w:space="0"/>
            </w:tcBorders>
            <w:vAlign w:val="center"/>
          </w:tcPr>
          <w:p w14:paraId="31EFD689">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eastAsia="zh-CN"/>
              </w:rPr>
              <w:t>项目</w:t>
            </w:r>
            <w:r>
              <w:rPr>
                <w:rFonts w:hint="eastAsia" w:ascii="宋体" w:hAnsi="宋体" w:eastAsia="宋体" w:cs="宋体"/>
                <w:color w:val="auto"/>
                <w:spacing w:val="6"/>
                <w:szCs w:val="21"/>
                <w:highlight w:val="none"/>
              </w:rPr>
              <w:t>地点</w:t>
            </w:r>
          </w:p>
        </w:tc>
        <w:tc>
          <w:tcPr>
            <w:tcW w:w="6302" w:type="dxa"/>
            <w:tcBorders>
              <w:top w:val="single" w:color="auto" w:sz="4" w:space="0"/>
              <w:left w:val="single" w:color="auto" w:sz="4" w:space="0"/>
              <w:bottom w:val="single" w:color="auto" w:sz="4" w:space="0"/>
              <w:right w:val="single" w:color="auto" w:sz="4" w:space="0"/>
            </w:tcBorders>
            <w:vAlign w:val="center"/>
          </w:tcPr>
          <w:p w14:paraId="367A003A">
            <w:pPr>
              <w:spacing w:line="320" w:lineRule="exact"/>
              <w:jc w:val="left"/>
              <w:rPr>
                <w:rFonts w:hint="eastAsia" w:ascii="宋体" w:hAnsi="宋体" w:eastAsia="宋体" w:cs="宋体"/>
                <w:color w:val="auto"/>
                <w:spacing w:val="6"/>
                <w:szCs w:val="21"/>
                <w:highlight w:val="none"/>
              </w:rPr>
            </w:pPr>
            <w:r>
              <w:rPr>
                <w:rFonts w:hint="eastAsia" w:ascii="宋体" w:hAnsi="宋体" w:eastAsia="宋体" w:cs="宋体"/>
                <w:spacing w:val="6"/>
                <w:sz w:val="21"/>
                <w:szCs w:val="21"/>
                <w:highlight w:val="none"/>
              </w:rPr>
              <w:t>见第一章招标公告</w:t>
            </w:r>
          </w:p>
        </w:tc>
      </w:tr>
      <w:tr w14:paraId="0D90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016C9A02">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1.3.3</w:t>
            </w:r>
          </w:p>
        </w:tc>
        <w:tc>
          <w:tcPr>
            <w:tcW w:w="3053" w:type="dxa"/>
            <w:tcBorders>
              <w:top w:val="single" w:color="auto" w:sz="4" w:space="0"/>
              <w:left w:val="single" w:color="auto" w:sz="4" w:space="0"/>
              <w:bottom w:val="single" w:color="auto" w:sz="4" w:space="0"/>
              <w:right w:val="single" w:color="auto" w:sz="4" w:space="0"/>
            </w:tcBorders>
            <w:vAlign w:val="center"/>
          </w:tcPr>
          <w:p w14:paraId="325BF31D">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履约验收</w:t>
            </w:r>
          </w:p>
        </w:tc>
        <w:tc>
          <w:tcPr>
            <w:tcW w:w="6302" w:type="dxa"/>
            <w:tcBorders>
              <w:top w:val="single" w:color="auto" w:sz="4" w:space="0"/>
              <w:left w:val="single" w:color="auto" w:sz="4" w:space="0"/>
              <w:bottom w:val="single" w:color="auto" w:sz="4" w:space="0"/>
              <w:right w:val="single" w:color="auto" w:sz="4" w:space="0"/>
            </w:tcBorders>
            <w:vAlign w:val="center"/>
          </w:tcPr>
          <w:p w14:paraId="2B414EB7">
            <w:pPr>
              <w:pStyle w:val="110"/>
              <w:spacing w:line="320" w:lineRule="exact"/>
              <w:ind w:firstLine="0"/>
              <w:jc w:val="left"/>
              <w:rPr>
                <w:rFonts w:hint="eastAsia" w:ascii="宋体" w:hAnsi="宋体" w:eastAsia="宋体" w:cs="宋体"/>
                <w:color w:val="auto"/>
                <w:spacing w:val="6"/>
                <w:kern w:val="0"/>
                <w:szCs w:val="21"/>
                <w:highlight w:val="none"/>
                <w:lang w:val="en-US"/>
              </w:rPr>
            </w:pPr>
            <w:r>
              <w:rPr>
                <w:rFonts w:hint="eastAsia" w:ascii="宋体" w:hAnsi="宋体" w:eastAsia="宋体" w:cs="宋体"/>
                <w:color w:val="auto"/>
                <w:spacing w:val="6"/>
                <w:kern w:val="0"/>
                <w:szCs w:val="21"/>
                <w:highlight w:val="none"/>
                <w:lang w:val="en-US"/>
              </w:rPr>
              <w:t>履约验收主体：</w:t>
            </w:r>
            <w:r>
              <w:rPr>
                <w:rFonts w:hint="eastAsia" w:ascii="宋体" w:hAnsi="宋体" w:eastAsia="宋体" w:cs="宋体"/>
                <w:color w:val="auto"/>
                <w:spacing w:val="6"/>
                <w:kern w:val="0"/>
                <w:szCs w:val="21"/>
                <w:highlight w:val="none"/>
                <w:lang w:val="en-US" w:eastAsia="zh-CN"/>
              </w:rPr>
              <w:t>采购</w:t>
            </w:r>
            <w:r>
              <w:rPr>
                <w:rFonts w:hint="eastAsia" w:ascii="宋体" w:hAnsi="宋体" w:eastAsia="宋体" w:cs="宋体"/>
                <w:color w:val="auto"/>
                <w:spacing w:val="6"/>
                <w:kern w:val="0"/>
                <w:szCs w:val="21"/>
                <w:highlight w:val="none"/>
                <w:lang w:val="en-US"/>
              </w:rPr>
              <w:t>人自行组织项目验收。</w:t>
            </w:r>
          </w:p>
          <w:p w14:paraId="6D772247">
            <w:pPr>
              <w:pStyle w:val="110"/>
              <w:spacing w:line="320" w:lineRule="exact"/>
              <w:ind w:firstLine="0"/>
              <w:jc w:val="left"/>
              <w:rPr>
                <w:rFonts w:hint="eastAsia" w:ascii="宋体" w:hAnsi="宋体" w:eastAsia="宋体" w:cs="宋体"/>
                <w:color w:val="auto"/>
                <w:spacing w:val="6"/>
                <w:kern w:val="0"/>
                <w:szCs w:val="21"/>
                <w:highlight w:val="none"/>
                <w:lang w:val="en-US"/>
              </w:rPr>
            </w:pPr>
            <w:r>
              <w:rPr>
                <w:rFonts w:hint="eastAsia" w:ascii="宋体" w:hAnsi="宋体" w:eastAsia="宋体" w:cs="宋体"/>
                <w:color w:val="auto"/>
                <w:spacing w:val="6"/>
                <w:kern w:val="0"/>
                <w:szCs w:val="21"/>
                <w:highlight w:val="none"/>
                <w:lang w:val="en-US"/>
              </w:rPr>
              <w:t>履约验收时间：按采购合同约定执行。</w:t>
            </w:r>
          </w:p>
          <w:p w14:paraId="337CF3C0">
            <w:pPr>
              <w:pStyle w:val="110"/>
              <w:spacing w:line="320" w:lineRule="exact"/>
              <w:ind w:firstLine="0"/>
              <w:jc w:val="left"/>
              <w:rPr>
                <w:rFonts w:hint="eastAsia" w:ascii="宋体" w:hAnsi="宋体" w:eastAsia="宋体" w:cs="宋体"/>
                <w:color w:val="auto"/>
                <w:spacing w:val="6"/>
                <w:kern w:val="0"/>
                <w:szCs w:val="21"/>
                <w:highlight w:val="none"/>
                <w:lang w:val="en-US"/>
              </w:rPr>
            </w:pPr>
            <w:r>
              <w:rPr>
                <w:rFonts w:hint="eastAsia" w:ascii="宋体" w:hAnsi="宋体" w:eastAsia="宋体" w:cs="宋体"/>
                <w:color w:val="auto"/>
                <w:spacing w:val="6"/>
                <w:kern w:val="0"/>
                <w:szCs w:val="21"/>
                <w:highlight w:val="none"/>
                <w:lang w:val="en-US"/>
              </w:rPr>
              <w:t>履约验收方式：联合验收，验收工作由各主管职能科室牵头组成联合验收小组共同验收，签字确认。</w:t>
            </w:r>
          </w:p>
          <w:p w14:paraId="7BA67EE7">
            <w:pPr>
              <w:pStyle w:val="110"/>
              <w:spacing w:line="320" w:lineRule="exact"/>
              <w:ind w:firstLine="0"/>
              <w:jc w:val="left"/>
              <w:rPr>
                <w:rFonts w:hint="eastAsia" w:ascii="宋体" w:hAnsi="宋体" w:eastAsia="宋体" w:cs="宋体"/>
                <w:color w:val="auto"/>
                <w:spacing w:val="6"/>
                <w:kern w:val="0"/>
                <w:szCs w:val="21"/>
                <w:highlight w:val="none"/>
                <w:lang w:val="en-US"/>
              </w:rPr>
            </w:pPr>
            <w:r>
              <w:rPr>
                <w:rFonts w:hint="eastAsia" w:ascii="宋体" w:hAnsi="宋体" w:eastAsia="宋体" w:cs="宋体"/>
                <w:color w:val="auto"/>
                <w:spacing w:val="6"/>
                <w:kern w:val="0"/>
                <w:szCs w:val="21"/>
                <w:highlight w:val="none"/>
                <w:lang w:val="en-US"/>
              </w:rPr>
              <w:t>履约验收程序：由供应商提出申请，</w:t>
            </w:r>
            <w:r>
              <w:rPr>
                <w:rFonts w:hint="eastAsia" w:ascii="宋体" w:hAnsi="宋体" w:eastAsia="宋体" w:cs="宋体"/>
                <w:color w:val="auto"/>
                <w:spacing w:val="6"/>
                <w:kern w:val="0"/>
                <w:szCs w:val="21"/>
                <w:highlight w:val="none"/>
                <w:lang w:val="en-US" w:eastAsia="zh-CN"/>
              </w:rPr>
              <w:t>采购人</w:t>
            </w:r>
            <w:r>
              <w:rPr>
                <w:rFonts w:hint="eastAsia" w:ascii="宋体" w:hAnsi="宋体" w:eastAsia="宋体" w:cs="宋体"/>
                <w:color w:val="auto"/>
                <w:spacing w:val="6"/>
                <w:kern w:val="0"/>
                <w:szCs w:val="21"/>
                <w:highlight w:val="none"/>
                <w:lang w:val="en-US"/>
              </w:rPr>
              <w:t>组织相关部门进行验收。</w:t>
            </w:r>
          </w:p>
          <w:p w14:paraId="6E0D694B">
            <w:pPr>
              <w:pStyle w:val="110"/>
              <w:spacing w:line="320" w:lineRule="exact"/>
              <w:ind w:firstLine="0"/>
              <w:jc w:val="left"/>
              <w:rPr>
                <w:rFonts w:hint="eastAsia" w:ascii="宋体" w:hAnsi="宋体" w:eastAsia="宋体" w:cs="宋体"/>
                <w:color w:val="auto"/>
                <w:spacing w:val="6"/>
                <w:kern w:val="0"/>
                <w:szCs w:val="21"/>
                <w:highlight w:val="none"/>
                <w:lang w:val="en-US"/>
              </w:rPr>
            </w:pPr>
            <w:r>
              <w:rPr>
                <w:rFonts w:hint="eastAsia" w:ascii="宋体" w:hAnsi="宋体" w:eastAsia="宋体" w:cs="宋体"/>
                <w:color w:val="auto"/>
                <w:spacing w:val="6"/>
                <w:kern w:val="0"/>
                <w:szCs w:val="21"/>
                <w:highlight w:val="none"/>
                <w:lang w:val="en-US"/>
              </w:rPr>
              <w:t>履约验收内容：依据本项目招标文件和中标供应商投标文件对技术和商务条款履约情况逐条验收。</w:t>
            </w:r>
          </w:p>
          <w:p w14:paraId="7E4B6858">
            <w:pPr>
              <w:pStyle w:val="110"/>
              <w:spacing w:line="320" w:lineRule="exact"/>
              <w:ind w:firstLine="0"/>
              <w:jc w:val="left"/>
              <w:rPr>
                <w:rFonts w:hint="eastAsia" w:ascii="宋体" w:hAnsi="宋体" w:eastAsia="宋体" w:cs="宋体"/>
                <w:color w:val="auto"/>
                <w:spacing w:val="6"/>
                <w:kern w:val="0"/>
                <w:szCs w:val="21"/>
                <w:highlight w:val="none"/>
                <w:lang w:val="en-US"/>
              </w:rPr>
            </w:pPr>
            <w:r>
              <w:rPr>
                <w:rFonts w:hint="eastAsia" w:ascii="宋体" w:hAnsi="宋体" w:eastAsia="宋体" w:cs="宋体"/>
                <w:color w:val="auto"/>
                <w:spacing w:val="6"/>
                <w:kern w:val="0"/>
                <w:szCs w:val="21"/>
                <w:highlight w:val="none"/>
                <w:lang w:val="en-US"/>
              </w:rPr>
              <w:t>履约验收标准：</w:t>
            </w:r>
            <w:r>
              <w:rPr>
                <w:rFonts w:hint="eastAsia" w:ascii="宋体" w:hAnsi="宋体" w:eastAsia="宋体" w:cs="宋体"/>
                <w:color w:val="auto"/>
                <w:spacing w:val="6"/>
                <w:kern w:val="0"/>
                <w:szCs w:val="21"/>
                <w:highlight w:val="none"/>
                <w:lang w:val="en-US" w:eastAsia="zh-CN"/>
              </w:rPr>
              <w:t>采购人</w:t>
            </w:r>
            <w:r>
              <w:rPr>
                <w:rFonts w:hint="eastAsia" w:ascii="宋体" w:hAnsi="宋体" w:eastAsia="宋体" w:cs="宋体"/>
                <w:color w:val="auto"/>
                <w:spacing w:val="6"/>
                <w:kern w:val="0"/>
                <w:szCs w:val="21"/>
                <w:highlight w:val="none"/>
                <w:lang w:val="en-US"/>
              </w:rPr>
              <w:t>根据国家有关规定、招标文件、中标人的投标文件进行验收。</w:t>
            </w:r>
          </w:p>
          <w:p w14:paraId="0D16DD2D">
            <w:pPr>
              <w:pStyle w:val="110"/>
              <w:spacing w:line="320" w:lineRule="exact"/>
              <w:ind w:firstLine="0"/>
              <w:jc w:val="left"/>
              <w:rPr>
                <w:rFonts w:hint="eastAsia" w:ascii="宋体" w:hAnsi="宋体" w:eastAsia="宋体" w:cs="宋体"/>
                <w:color w:val="auto"/>
                <w:spacing w:val="6"/>
                <w:kern w:val="0"/>
                <w:szCs w:val="21"/>
                <w:highlight w:val="none"/>
                <w:lang w:val="en-US"/>
              </w:rPr>
            </w:pPr>
            <w:r>
              <w:rPr>
                <w:rFonts w:hint="eastAsia" w:ascii="宋体" w:hAnsi="宋体" w:eastAsia="宋体" w:cs="宋体"/>
                <w:color w:val="auto"/>
                <w:spacing w:val="6"/>
                <w:kern w:val="0"/>
                <w:szCs w:val="21"/>
                <w:highlight w:val="none"/>
                <w:lang w:val="en-US"/>
              </w:rPr>
              <w:t>验收情况作为支付货款的依据。如有异议，以相关质量技术检验检测机构的检验结果为准，如产生检验检测费用，则该费用由过失方承担。</w:t>
            </w:r>
          </w:p>
        </w:tc>
      </w:tr>
      <w:tr w14:paraId="31DB6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6AD07686">
            <w:pPr>
              <w:pStyle w:val="112"/>
              <w:spacing w:line="320" w:lineRule="exact"/>
              <w:ind w:firstLine="0"/>
              <w:jc w:val="center"/>
              <w:rPr>
                <w:rFonts w:hint="default"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t>1.3.4</w:t>
            </w:r>
          </w:p>
        </w:tc>
        <w:tc>
          <w:tcPr>
            <w:tcW w:w="3053" w:type="dxa"/>
            <w:tcBorders>
              <w:top w:val="single" w:color="auto" w:sz="4" w:space="0"/>
              <w:left w:val="single" w:color="auto" w:sz="4" w:space="0"/>
              <w:bottom w:val="single" w:color="auto" w:sz="4" w:space="0"/>
              <w:right w:val="single" w:color="auto" w:sz="4" w:space="0"/>
            </w:tcBorders>
            <w:vAlign w:val="center"/>
          </w:tcPr>
          <w:p w14:paraId="0E166CDF">
            <w:pPr>
              <w:pStyle w:val="112"/>
              <w:spacing w:line="320" w:lineRule="exact"/>
              <w:ind w:firstLine="0"/>
              <w:jc w:val="center"/>
              <w:rPr>
                <w:rFonts w:hint="eastAsia" w:ascii="宋体" w:hAnsi="宋体" w:eastAsia="宋体" w:cs="宋体"/>
                <w:color w:val="auto"/>
                <w:spacing w:val="6"/>
                <w:szCs w:val="21"/>
                <w:highlight w:val="none"/>
              </w:rPr>
            </w:pPr>
            <w:r>
              <w:rPr>
                <w:rFonts w:hint="eastAsia" w:ascii="Times New Roman" w:hAnsi="Times New Roman" w:eastAsiaTheme="minorEastAsia"/>
                <w:spacing w:val="0"/>
                <w:szCs w:val="21"/>
                <w:highlight w:val="none"/>
                <w:lang w:val="en-US" w:eastAsia="zh-CN"/>
              </w:rPr>
              <w:t>质保期</w:t>
            </w:r>
          </w:p>
        </w:tc>
        <w:tc>
          <w:tcPr>
            <w:tcW w:w="6302" w:type="dxa"/>
            <w:tcBorders>
              <w:top w:val="single" w:color="auto" w:sz="4" w:space="0"/>
              <w:left w:val="single" w:color="auto" w:sz="4" w:space="0"/>
              <w:bottom w:val="single" w:color="auto" w:sz="4" w:space="0"/>
              <w:right w:val="single" w:color="auto" w:sz="4" w:space="0"/>
            </w:tcBorders>
            <w:vAlign w:val="center"/>
          </w:tcPr>
          <w:p w14:paraId="12B26213">
            <w:pPr>
              <w:pStyle w:val="110"/>
              <w:spacing w:line="320" w:lineRule="exact"/>
              <w:ind w:firstLine="0"/>
              <w:jc w:val="left"/>
              <w:rPr>
                <w:rFonts w:hint="eastAsia" w:ascii="宋体" w:hAnsi="宋体" w:eastAsia="宋体" w:cs="宋体"/>
                <w:color w:val="auto"/>
                <w:spacing w:val="6"/>
                <w:kern w:val="0"/>
                <w:szCs w:val="21"/>
                <w:highlight w:val="none"/>
                <w:lang w:val="en-US"/>
              </w:rPr>
            </w:pPr>
            <w:r>
              <w:rPr>
                <w:rFonts w:hint="eastAsia" w:ascii="Times New Roman" w:hAnsi="Times New Roman" w:eastAsiaTheme="minorEastAsia"/>
                <w:spacing w:val="0"/>
                <w:szCs w:val="21"/>
                <w:lang w:val="en-US" w:eastAsia="zh-CN"/>
              </w:rPr>
              <w:t>自项目验收合格之日起，提供不少于3年的软件系统及相关数据库、操作系统等质保。</w:t>
            </w:r>
          </w:p>
        </w:tc>
      </w:tr>
      <w:tr w14:paraId="4FDC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53B12216">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1.4.1</w:t>
            </w:r>
          </w:p>
        </w:tc>
        <w:tc>
          <w:tcPr>
            <w:tcW w:w="3053" w:type="dxa"/>
            <w:tcBorders>
              <w:top w:val="single" w:color="auto" w:sz="4" w:space="0"/>
              <w:left w:val="single" w:color="auto" w:sz="4" w:space="0"/>
              <w:bottom w:val="single" w:color="auto" w:sz="4" w:space="0"/>
              <w:right w:val="single" w:color="auto" w:sz="4" w:space="0"/>
            </w:tcBorders>
            <w:vAlign w:val="center"/>
          </w:tcPr>
          <w:p w14:paraId="3027BF9A">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投标人资格要求</w:t>
            </w:r>
          </w:p>
        </w:tc>
        <w:tc>
          <w:tcPr>
            <w:tcW w:w="6302" w:type="dxa"/>
            <w:tcBorders>
              <w:top w:val="single" w:color="auto" w:sz="4" w:space="0"/>
              <w:left w:val="single" w:color="auto" w:sz="4" w:space="0"/>
              <w:bottom w:val="single" w:color="auto" w:sz="4" w:space="0"/>
              <w:right w:val="single" w:color="auto" w:sz="4" w:space="0"/>
            </w:tcBorders>
            <w:vAlign w:val="center"/>
          </w:tcPr>
          <w:p w14:paraId="69BABEB0">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见第一章招标公告，应提供相关资料的要求见本章第3.5.3项</w:t>
            </w:r>
          </w:p>
        </w:tc>
      </w:tr>
      <w:tr w14:paraId="512A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3091D056">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1.4.2</w:t>
            </w:r>
          </w:p>
        </w:tc>
        <w:tc>
          <w:tcPr>
            <w:tcW w:w="3053" w:type="dxa"/>
            <w:tcBorders>
              <w:top w:val="single" w:color="auto" w:sz="4" w:space="0"/>
              <w:left w:val="single" w:color="auto" w:sz="4" w:space="0"/>
              <w:bottom w:val="single" w:color="auto" w:sz="4" w:space="0"/>
              <w:right w:val="single" w:color="auto" w:sz="4" w:space="0"/>
            </w:tcBorders>
            <w:vAlign w:val="center"/>
          </w:tcPr>
          <w:p w14:paraId="25FD3E2F">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是否接受联合体投标</w:t>
            </w:r>
          </w:p>
        </w:tc>
        <w:tc>
          <w:tcPr>
            <w:tcW w:w="6302" w:type="dxa"/>
            <w:tcBorders>
              <w:top w:val="single" w:color="auto" w:sz="4" w:space="0"/>
              <w:left w:val="single" w:color="auto" w:sz="4" w:space="0"/>
              <w:bottom w:val="single" w:color="auto" w:sz="4" w:space="0"/>
              <w:right w:val="single" w:color="auto" w:sz="4" w:space="0"/>
            </w:tcBorders>
            <w:vAlign w:val="center"/>
          </w:tcPr>
          <w:p w14:paraId="73852627">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见第一章招标公告</w:t>
            </w:r>
          </w:p>
        </w:tc>
      </w:tr>
      <w:tr w14:paraId="39F6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592E0126">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1.4.3</w:t>
            </w:r>
          </w:p>
        </w:tc>
        <w:tc>
          <w:tcPr>
            <w:tcW w:w="3053" w:type="dxa"/>
            <w:tcBorders>
              <w:top w:val="single" w:color="auto" w:sz="4" w:space="0"/>
              <w:left w:val="single" w:color="auto" w:sz="4" w:space="0"/>
              <w:bottom w:val="single" w:color="auto" w:sz="4" w:space="0"/>
              <w:right w:val="single" w:color="auto" w:sz="4" w:space="0"/>
            </w:tcBorders>
            <w:vAlign w:val="center"/>
          </w:tcPr>
          <w:p w14:paraId="39EBA635">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投标人不得存在的其他情形</w:t>
            </w:r>
          </w:p>
        </w:tc>
        <w:tc>
          <w:tcPr>
            <w:tcW w:w="6302" w:type="dxa"/>
            <w:tcBorders>
              <w:top w:val="single" w:color="auto" w:sz="4" w:space="0"/>
              <w:left w:val="single" w:color="auto" w:sz="4" w:space="0"/>
              <w:bottom w:val="single" w:color="auto" w:sz="4" w:space="0"/>
              <w:right w:val="single" w:color="auto" w:sz="4" w:space="0"/>
            </w:tcBorders>
            <w:vAlign w:val="center"/>
          </w:tcPr>
          <w:p w14:paraId="4997FA48">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p>
        </w:tc>
      </w:tr>
      <w:tr w14:paraId="0EE7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1D993276">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1.9</w:t>
            </w:r>
          </w:p>
        </w:tc>
        <w:tc>
          <w:tcPr>
            <w:tcW w:w="3053" w:type="dxa"/>
            <w:tcBorders>
              <w:top w:val="single" w:color="auto" w:sz="4" w:space="0"/>
              <w:left w:val="single" w:color="auto" w:sz="4" w:space="0"/>
              <w:bottom w:val="single" w:color="auto" w:sz="4" w:space="0"/>
              <w:right w:val="single" w:color="auto" w:sz="4" w:space="0"/>
            </w:tcBorders>
            <w:vAlign w:val="center"/>
          </w:tcPr>
          <w:p w14:paraId="470C6C18">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投标预备会</w:t>
            </w:r>
          </w:p>
        </w:tc>
        <w:tc>
          <w:tcPr>
            <w:tcW w:w="6302" w:type="dxa"/>
            <w:tcBorders>
              <w:top w:val="single" w:color="auto" w:sz="4" w:space="0"/>
              <w:left w:val="single" w:color="auto" w:sz="4" w:space="0"/>
              <w:bottom w:val="single" w:color="auto" w:sz="4" w:space="0"/>
              <w:right w:val="single" w:color="auto" w:sz="4" w:space="0"/>
            </w:tcBorders>
            <w:vAlign w:val="center"/>
          </w:tcPr>
          <w:p w14:paraId="102F2713">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不召开</w:t>
            </w:r>
          </w:p>
        </w:tc>
      </w:tr>
      <w:tr w14:paraId="283B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0165B3A5">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1.9.2</w:t>
            </w:r>
          </w:p>
        </w:tc>
        <w:tc>
          <w:tcPr>
            <w:tcW w:w="3053" w:type="dxa"/>
            <w:tcBorders>
              <w:top w:val="single" w:color="auto" w:sz="4" w:space="0"/>
              <w:left w:val="single" w:color="auto" w:sz="4" w:space="0"/>
              <w:bottom w:val="single" w:color="auto" w:sz="4" w:space="0"/>
              <w:right w:val="single" w:color="auto" w:sz="4" w:space="0"/>
            </w:tcBorders>
            <w:vAlign w:val="center"/>
          </w:tcPr>
          <w:p w14:paraId="2D1E3899">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投标人在投标预备会前提出问题</w:t>
            </w:r>
          </w:p>
        </w:tc>
        <w:tc>
          <w:tcPr>
            <w:tcW w:w="6302" w:type="dxa"/>
            <w:tcBorders>
              <w:top w:val="single" w:color="auto" w:sz="4" w:space="0"/>
              <w:left w:val="single" w:color="auto" w:sz="4" w:space="0"/>
              <w:bottom w:val="single" w:color="auto" w:sz="4" w:space="0"/>
              <w:right w:val="single" w:color="auto" w:sz="4" w:space="0"/>
            </w:tcBorders>
            <w:vAlign w:val="center"/>
          </w:tcPr>
          <w:p w14:paraId="25DA6DC2">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时间：/</w:t>
            </w:r>
          </w:p>
          <w:p w14:paraId="0396F750">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形式：/</w:t>
            </w:r>
          </w:p>
        </w:tc>
      </w:tr>
      <w:tr w14:paraId="308A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58DF1906">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1.10.1</w:t>
            </w:r>
          </w:p>
        </w:tc>
        <w:tc>
          <w:tcPr>
            <w:tcW w:w="3053" w:type="dxa"/>
            <w:tcBorders>
              <w:top w:val="single" w:color="auto" w:sz="4" w:space="0"/>
              <w:left w:val="single" w:color="auto" w:sz="4" w:space="0"/>
              <w:bottom w:val="single" w:color="auto" w:sz="4" w:space="0"/>
              <w:right w:val="single" w:color="auto" w:sz="4" w:space="0"/>
            </w:tcBorders>
            <w:vAlign w:val="center"/>
          </w:tcPr>
          <w:p w14:paraId="2CA6C656">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分包</w:t>
            </w:r>
          </w:p>
        </w:tc>
        <w:tc>
          <w:tcPr>
            <w:tcW w:w="6302" w:type="dxa"/>
            <w:tcBorders>
              <w:top w:val="single" w:color="auto" w:sz="4" w:space="0"/>
              <w:left w:val="single" w:color="auto" w:sz="4" w:space="0"/>
              <w:bottom w:val="single" w:color="auto" w:sz="4" w:space="0"/>
              <w:right w:val="single" w:color="auto" w:sz="4" w:space="0"/>
            </w:tcBorders>
            <w:vAlign w:val="center"/>
          </w:tcPr>
          <w:p w14:paraId="3155828B">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不允许</w:t>
            </w:r>
          </w:p>
        </w:tc>
      </w:tr>
      <w:tr w14:paraId="7D64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27B9DCEA">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1.11.1</w:t>
            </w:r>
          </w:p>
        </w:tc>
        <w:tc>
          <w:tcPr>
            <w:tcW w:w="3053" w:type="dxa"/>
            <w:tcBorders>
              <w:top w:val="single" w:color="auto" w:sz="4" w:space="0"/>
              <w:left w:val="single" w:color="auto" w:sz="4" w:space="0"/>
              <w:bottom w:val="single" w:color="auto" w:sz="4" w:space="0"/>
              <w:right w:val="single" w:color="auto" w:sz="4" w:space="0"/>
            </w:tcBorders>
            <w:vAlign w:val="center"/>
          </w:tcPr>
          <w:p w14:paraId="69DBA969">
            <w:pPr>
              <w:pStyle w:val="112"/>
              <w:spacing w:line="320" w:lineRule="exact"/>
              <w:ind w:firstLine="0"/>
              <w:jc w:val="center"/>
              <w:rPr>
                <w:rFonts w:hint="eastAsia" w:ascii="宋体" w:hAnsi="宋体" w:eastAsia="宋体" w:cs="宋体"/>
                <w:b/>
                <w:bCs/>
                <w:color w:val="auto"/>
                <w:spacing w:val="6"/>
                <w:szCs w:val="21"/>
                <w:highlight w:val="none"/>
              </w:rPr>
            </w:pPr>
            <w:r>
              <w:rPr>
                <w:rFonts w:hint="eastAsia" w:ascii="宋体" w:hAnsi="宋体" w:eastAsia="宋体" w:cs="宋体"/>
                <w:b/>
                <w:bCs/>
                <w:color w:val="auto"/>
                <w:spacing w:val="6"/>
                <w:szCs w:val="21"/>
                <w:highlight w:val="none"/>
              </w:rPr>
              <w:t>实质性要求和条件</w:t>
            </w:r>
          </w:p>
        </w:tc>
        <w:tc>
          <w:tcPr>
            <w:tcW w:w="6302" w:type="dxa"/>
            <w:tcBorders>
              <w:top w:val="single" w:color="auto" w:sz="4" w:space="0"/>
              <w:left w:val="single" w:color="auto" w:sz="4" w:space="0"/>
              <w:bottom w:val="single" w:color="auto" w:sz="4" w:space="0"/>
              <w:right w:val="single" w:color="auto" w:sz="4" w:space="0"/>
            </w:tcBorders>
            <w:vAlign w:val="center"/>
          </w:tcPr>
          <w:p w14:paraId="0CC0B53B">
            <w:pPr>
              <w:pStyle w:val="112"/>
              <w:spacing w:line="300" w:lineRule="exact"/>
              <w:ind w:firstLine="0"/>
              <w:jc w:val="left"/>
              <w:rPr>
                <w:rFonts w:hint="eastAsia" w:asciiTheme="minorEastAsia" w:hAnsiTheme="minorEastAsia" w:eastAsiaTheme="minorEastAsia" w:cstheme="minorEastAsia"/>
                <w:b/>
                <w:bCs/>
                <w:spacing w:val="0"/>
                <w:szCs w:val="21"/>
                <w:lang w:val="en-US" w:eastAsia="zh-CN"/>
              </w:rPr>
            </w:pPr>
            <w:r>
              <w:rPr>
                <w:rFonts w:hint="eastAsia" w:asciiTheme="minorEastAsia" w:hAnsiTheme="minorEastAsia" w:eastAsiaTheme="minorEastAsia" w:cstheme="minorEastAsia"/>
                <w:b/>
                <w:bCs/>
                <w:spacing w:val="0"/>
                <w:szCs w:val="21"/>
                <w:lang w:val="en-US" w:eastAsia="zh-CN"/>
              </w:rPr>
              <w:t>项目工期；</w:t>
            </w:r>
          </w:p>
          <w:p w14:paraId="2C2F0284">
            <w:pPr>
              <w:pStyle w:val="112"/>
              <w:spacing w:line="300" w:lineRule="exact"/>
              <w:ind w:firstLine="0"/>
              <w:jc w:val="left"/>
              <w:rPr>
                <w:rFonts w:hint="eastAsia" w:asciiTheme="minorEastAsia" w:hAnsiTheme="minorEastAsia" w:eastAsiaTheme="minorEastAsia" w:cstheme="minorEastAsia"/>
                <w:b/>
                <w:bCs/>
                <w:spacing w:val="0"/>
                <w:szCs w:val="21"/>
                <w:lang w:val="en-US" w:eastAsia="zh-CN"/>
              </w:rPr>
            </w:pPr>
            <w:r>
              <w:rPr>
                <w:rFonts w:hint="eastAsia" w:asciiTheme="minorEastAsia" w:hAnsiTheme="minorEastAsia" w:eastAsiaTheme="minorEastAsia" w:cstheme="minorEastAsia"/>
                <w:b/>
                <w:bCs/>
                <w:spacing w:val="0"/>
                <w:szCs w:val="21"/>
                <w:lang w:val="en-US" w:eastAsia="zh-CN"/>
              </w:rPr>
              <w:t>项目地点；</w:t>
            </w:r>
          </w:p>
          <w:p w14:paraId="6078BB41">
            <w:pPr>
              <w:pStyle w:val="112"/>
              <w:spacing w:line="300" w:lineRule="exact"/>
              <w:ind w:firstLine="0"/>
              <w:jc w:val="left"/>
              <w:rPr>
                <w:rFonts w:hint="default" w:asciiTheme="minorEastAsia" w:hAnsiTheme="minorEastAsia" w:eastAsiaTheme="minorEastAsia" w:cstheme="minorEastAsia"/>
                <w:b/>
                <w:bCs/>
                <w:spacing w:val="0"/>
                <w:szCs w:val="21"/>
                <w:lang w:val="en-US" w:eastAsia="zh-CN"/>
              </w:rPr>
            </w:pPr>
            <w:r>
              <w:rPr>
                <w:rFonts w:hint="eastAsia" w:asciiTheme="minorEastAsia" w:hAnsiTheme="minorEastAsia" w:eastAsiaTheme="minorEastAsia" w:cstheme="minorEastAsia"/>
                <w:b/>
                <w:bCs/>
                <w:spacing w:val="0"/>
                <w:szCs w:val="21"/>
                <w:lang w:val="en-US" w:eastAsia="zh-CN"/>
              </w:rPr>
              <w:t>质保期；</w:t>
            </w:r>
          </w:p>
          <w:p w14:paraId="7B3B4FB9">
            <w:pPr>
              <w:pStyle w:val="112"/>
              <w:spacing w:line="300" w:lineRule="exact"/>
              <w:ind w:firstLine="0"/>
              <w:jc w:val="left"/>
              <w:rPr>
                <w:rFonts w:hint="eastAsia" w:asciiTheme="minorEastAsia" w:hAnsiTheme="minorEastAsia" w:eastAsiaTheme="minorEastAsia" w:cstheme="minorEastAsia"/>
                <w:b/>
                <w:bCs/>
                <w:spacing w:val="0"/>
                <w:szCs w:val="21"/>
                <w:lang w:val="en-US" w:eastAsia="zh-CN"/>
              </w:rPr>
            </w:pPr>
            <w:r>
              <w:rPr>
                <w:rFonts w:hint="eastAsia" w:asciiTheme="minorEastAsia" w:hAnsiTheme="minorEastAsia" w:eastAsiaTheme="minorEastAsia" w:cstheme="minorEastAsia"/>
                <w:b/>
                <w:bCs/>
                <w:spacing w:val="0"/>
                <w:szCs w:val="21"/>
                <w:lang w:val="en-US" w:eastAsia="zh-CN"/>
              </w:rPr>
              <w:t>服务质量；</w:t>
            </w:r>
          </w:p>
          <w:p w14:paraId="28FDB623">
            <w:pPr>
              <w:pStyle w:val="112"/>
              <w:spacing w:line="300" w:lineRule="exact"/>
              <w:ind w:firstLine="0"/>
              <w:jc w:val="left"/>
              <w:rPr>
                <w:rFonts w:hint="eastAsia" w:asciiTheme="minorEastAsia" w:hAnsiTheme="minorEastAsia" w:eastAsiaTheme="minorEastAsia" w:cstheme="minorEastAsia"/>
                <w:b/>
                <w:bCs/>
                <w:spacing w:val="0"/>
                <w:szCs w:val="21"/>
                <w:lang w:val="en-US" w:eastAsia="zh-CN"/>
              </w:rPr>
            </w:pPr>
            <w:r>
              <w:rPr>
                <w:rFonts w:hint="eastAsia" w:asciiTheme="minorEastAsia" w:hAnsiTheme="minorEastAsia" w:eastAsiaTheme="minorEastAsia" w:cstheme="minorEastAsia"/>
                <w:b/>
                <w:bCs/>
                <w:spacing w:val="0"/>
                <w:szCs w:val="21"/>
                <w:lang w:val="en-US" w:eastAsia="zh-CN"/>
              </w:rPr>
              <w:t>付款方式；</w:t>
            </w:r>
          </w:p>
          <w:p w14:paraId="00CB56BB">
            <w:pPr>
              <w:pStyle w:val="112"/>
              <w:spacing w:line="300" w:lineRule="exact"/>
              <w:ind w:firstLine="0"/>
              <w:jc w:val="left"/>
              <w:rPr>
                <w:rFonts w:hint="eastAsia" w:asciiTheme="minorEastAsia" w:hAnsiTheme="minorEastAsia" w:eastAsiaTheme="minorEastAsia" w:cstheme="minorEastAsia"/>
                <w:b/>
                <w:bCs/>
                <w:spacing w:val="0"/>
                <w:szCs w:val="21"/>
                <w:lang w:val="en-US" w:eastAsia="zh-CN"/>
              </w:rPr>
            </w:pPr>
            <w:r>
              <w:rPr>
                <w:rFonts w:hint="eastAsia" w:asciiTheme="minorEastAsia" w:hAnsiTheme="minorEastAsia" w:eastAsiaTheme="minorEastAsia" w:cstheme="minorEastAsia"/>
                <w:b/>
                <w:bCs/>
                <w:spacing w:val="0"/>
                <w:szCs w:val="21"/>
                <w:lang w:val="en-US" w:eastAsia="zh-CN"/>
              </w:rPr>
              <w:t>投标有效期；</w:t>
            </w:r>
          </w:p>
          <w:p w14:paraId="72803182">
            <w:pPr>
              <w:pStyle w:val="112"/>
              <w:spacing w:line="300" w:lineRule="exact"/>
              <w:ind w:firstLine="0"/>
              <w:jc w:val="left"/>
              <w:rPr>
                <w:rFonts w:hint="eastAsia" w:ascii="宋体" w:hAnsi="宋体" w:eastAsia="宋体" w:cs="宋体"/>
                <w:b/>
                <w:bCs/>
                <w:color w:val="auto"/>
                <w:spacing w:val="6"/>
                <w:kern w:val="0"/>
                <w:szCs w:val="21"/>
                <w:highlight w:val="none"/>
                <w:lang w:val="en-US"/>
              </w:rPr>
            </w:pPr>
            <w:r>
              <w:rPr>
                <w:rFonts w:hint="eastAsia" w:asciiTheme="minorEastAsia" w:hAnsiTheme="minorEastAsia" w:eastAsiaTheme="minorEastAsia" w:cstheme="minorEastAsia"/>
                <w:b/>
                <w:bCs/>
                <w:spacing w:val="0"/>
                <w:szCs w:val="21"/>
                <w:lang w:val="en-US" w:eastAsia="zh-CN"/>
              </w:rPr>
              <w:t>其他：/。</w:t>
            </w:r>
          </w:p>
        </w:tc>
      </w:tr>
      <w:tr w14:paraId="62BE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0FA145A5">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1.11.3</w:t>
            </w:r>
          </w:p>
        </w:tc>
        <w:tc>
          <w:tcPr>
            <w:tcW w:w="3053" w:type="dxa"/>
            <w:tcBorders>
              <w:top w:val="single" w:color="auto" w:sz="4" w:space="0"/>
              <w:left w:val="single" w:color="auto" w:sz="4" w:space="0"/>
              <w:bottom w:val="single" w:color="auto" w:sz="4" w:space="0"/>
              <w:right w:val="single" w:color="auto" w:sz="4" w:space="0"/>
            </w:tcBorders>
            <w:vAlign w:val="center"/>
          </w:tcPr>
          <w:p w14:paraId="6202733A">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其他可以被接受的技术支持资料</w:t>
            </w:r>
          </w:p>
        </w:tc>
        <w:tc>
          <w:tcPr>
            <w:tcW w:w="6302" w:type="dxa"/>
            <w:tcBorders>
              <w:top w:val="single" w:color="auto" w:sz="4" w:space="0"/>
              <w:left w:val="single" w:color="auto" w:sz="4" w:space="0"/>
              <w:bottom w:val="single" w:color="auto" w:sz="4" w:space="0"/>
              <w:right w:val="single" w:color="auto" w:sz="4" w:space="0"/>
            </w:tcBorders>
            <w:vAlign w:val="center"/>
          </w:tcPr>
          <w:p w14:paraId="78D595ED">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p>
        </w:tc>
      </w:tr>
      <w:tr w14:paraId="48B8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33EC4BC3">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1.11.4</w:t>
            </w:r>
          </w:p>
        </w:tc>
        <w:tc>
          <w:tcPr>
            <w:tcW w:w="3053" w:type="dxa"/>
            <w:tcBorders>
              <w:top w:val="single" w:color="auto" w:sz="4" w:space="0"/>
              <w:left w:val="single" w:color="auto" w:sz="4" w:space="0"/>
              <w:bottom w:val="single" w:color="auto" w:sz="4" w:space="0"/>
              <w:right w:val="single" w:color="auto" w:sz="4" w:space="0"/>
            </w:tcBorders>
            <w:vAlign w:val="center"/>
          </w:tcPr>
          <w:p w14:paraId="1B0540D2">
            <w:pPr>
              <w:pStyle w:val="110"/>
              <w:spacing w:line="320" w:lineRule="exact"/>
              <w:ind w:firstLine="0"/>
              <w:jc w:val="center"/>
              <w:rPr>
                <w:rFonts w:hint="eastAsia" w:ascii="宋体" w:hAnsi="宋体" w:eastAsia="宋体" w:cs="宋体"/>
                <w:color w:val="auto"/>
                <w:spacing w:val="6"/>
                <w:kern w:val="0"/>
                <w:szCs w:val="21"/>
                <w:highlight w:val="none"/>
                <w:lang w:val="en-US"/>
              </w:rPr>
            </w:pPr>
            <w:r>
              <w:rPr>
                <w:rFonts w:hint="eastAsia" w:ascii="宋体" w:hAnsi="宋体" w:eastAsia="宋体" w:cs="宋体"/>
                <w:color w:val="auto"/>
                <w:spacing w:val="6"/>
                <w:kern w:val="0"/>
                <w:szCs w:val="21"/>
                <w:highlight w:val="none"/>
                <w:lang w:val="en-US"/>
              </w:rPr>
              <w:t>偏差</w:t>
            </w:r>
          </w:p>
        </w:tc>
        <w:tc>
          <w:tcPr>
            <w:tcW w:w="6302" w:type="dxa"/>
            <w:tcBorders>
              <w:top w:val="single" w:color="auto" w:sz="4" w:space="0"/>
              <w:left w:val="single" w:color="auto" w:sz="4" w:space="0"/>
              <w:bottom w:val="single" w:color="auto" w:sz="4" w:space="0"/>
              <w:right w:val="single" w:color="auto" w:sz="4" w:space="0"/>
            </w:tcBorders>
            <w:vAlign w:val="center"/>
          </w:tcPr>
          <w:p w14:paraId="2F6E7369">
            <w:pPr>
              <w:pStyle w:val="110"/>
              <w:spacing w:line="320" w:lineRule="exact"/>
              <w:ind w:firstLine="0"/>
              <w:jc w:val="left"/>
              <w:rPr>
                <w:rFonts w:hint="eastAsia" w:ascii="宋体" w:hAnsi="宋体" w:eastAsia="宋体" w:cs="宋体"/>
                <w:b/>
                <w:bCs/>
                <w:color w:val="auto"/>
                <w:spacing w:val="6"/>
                <w:kern w:val="0"/>
                <w:szCs w:val="21"/>
                <w:highlight w:val="none"/>
                <w:lang w:val="en-US" w:eastAsia="zh-CN"/>
              </w:rPr>
            </w:pPr>
            <w:r>
              <w:rPr>
                <w:rFonts w:hint="eastAsia" w:ascii="宋体" w:hAnsi="宋体" w:eastAsia="宋体" w:cs="宋体"/>
                <w:b/>
                <w:bCs/>
                <w:spacing w:val="6"/>
                <w:kern w:val="0"/>
                <w:szCs w:val="21"/>
                <w:highlight w:val="none"/>
                <w:lang w:val="en-US"/>
              </w:rPr>
              <w:t>1.11.1项“实质性要求和条件”不允许负偏差</w:t>
            </w:r>
            <w:r>
              <w:rPr>
                <w:rFonts w:hint="eastAsia" w:ascii="宋体" w:hAnsi="宋体" w:eastAsia="宋体" w:cs="宋体"/>
                <w:b/>
                <w:bCs/>
                <w:spacing w:val="6"/>
                <w:kern w:val="0"/>
                <w:szCs w:val="21"/>
                <w:highlight w:val="none"/>
                <w:lang w:val="en-US" w:eastAsia="zh-CN"/>
              </w:rPr>
              <w:t>。</w:t>
            </w:r>
          </w:p>
        </w:tc>
      </w:tr>
      <w:tr w14:paraId="194C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43A07B77">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2.1</w:t>
            </w:r>
          </w:p>
        </w:tc>
        <w:tc>
          <w:tcPr>
            <w:tcW w:w="3053" w:type="dxa"/>
            <w:tcBorders>
              <w:top w:val="single" w:color="auto" w:sz="4" w:space="0"/>
              <w:left w:val="single" w:color="auto" w:sz="4" w:space="0"/>
              <w:bottom w:val="single" w:color="auto" w:sz="4" w:space="0"/>
              <w:right w:val="single" w:color="auto" w:sz="4" w:space="0"/>
            </w:tcBorders>
            <w:vAlign w:val="center"/>
          </w:tcPr>
          <w:p w14:paraId="686BDC99">
            <w:pPr>
              <w:pStyle w:val="110"/>
              <w:spacing w:line="320" w:lineRule="exact"/>
              <w:ind w:firstLine="0"/>
              <w:jc w:val="center"/>
              <w:rPr>
                <w:rFonts w:hint="eastAsia" w:ascii="宋体" w:hAnsi="宋体" w:eastAsia="宋体" w:cs="宋体"/>
                <w:color w:val="auto"/>
                <w:spacing w:val="6"/>
                <w:kern w:val="0"/>
                <w:szCs w:val="21"/>
                <w:highlight w:val="none"/>
                <w:lang w:val="en-US"/>
              </w:rPr>
            </w:pPr>
            <w:r>
              <w:rPr>
                <w:rFonts w:hint="eastAsia" w:ascii="宋体" w:hAnsi="宋体" w:eastAsia="宋体" w:cs="宋体"/>
                <w:color w:val="auto"/>
                <w:spacing w:val="6"/>
                <w:kern w:val="0"/>
                <w:szCs w:val="21"/>
                <w:highlight w:val="none"/>
                <w:lang w:val="en-US"/>
              </w:rPr>
              <w:t>构成招标文件的其他资料</w:t>
            </w:r>
          </w:p>
        </w:tc>
        <w:tc>
          <w:tcPr>
            <w:tcW w:w="6302" w:type="dxa"/>
            <w:tcBorders>
              <w:top w:val="single" w:color="auto" w:sz="4" w:space="0"/>
              <w:left w:val="single" w:color="auto" w:sz="4" w:space="0"/>
              <w:bottom w:val="single" w:color="auto" w:sz="4" w:space="0"/>
              <w:right w:val="single" w:color="auto" w:sz="4" w:space="0"/>
            </w:tcBorders>
            <w:vAlign w:val="center"/>
          </w:tcPr>
          <w:p w14:paraId="4A3C299B">
            <w:pPr>
              <w:pStyle w:val="110"/>
              <w:spacing w:line="320" w:lineRule="exact"/>
              <w:ind w:firstLine="0"/>
              <w:jc w:val="left"/>
              <w:rPr>
                <w:rFonts w:hint="eastAsia" w:ascii="宋体" w:hAnsi="宋体" w:eastAsia="宋体" w:cs="宋体"/>
                <w:color w:val="auto"/>
                <w:spacing w:val="6"/>
                <w:kern w:val="0"/>
                <w:szCs w:val="21"/>
                <w:highlight w:val="none"/>
                <w:lang w:val="en-US"/>
              </w:rPr>
            </w:pPr>
            <w:r>
              <w:rPr>
                <w:rFonts w:hint="eastAsia" w:ascii="宋体" w:hAnsi="宋体" w:eastAsia="宋体" w:cs="宋体"/>
                <w:color w:val="auto"/>
                <w:spacing w:val="6"/>
                <w:kern w:val="0"/>
                <w:szCs w:val="21"/>
                <w:highlight w:val="none"/>
                <w:lang w:val="en-US"/>
              </w:rPr>
              <w:t>澄清、修改等。</w:t>
            </w:r>
          </w:p>
        </w:tc>
      </w:tr>
      <w:tr w14:paraId="48F8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7B8E5331">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2.2.1</w:t>
            </w:r>
          </w:p>
        </w:tc>
        <w:tc>
          <w:tcPr>
            <w:tcW w:w="3053" w:type="dxa"/>
            <w:tcBorders>
              <w:top w:val="single" w:color="auto" w:sz="4" w:space="0"/>
              <w:left w:val="single" w:color="auto" w:sz="4" w:space="0"/>
              <w:bottom w:val="single" w:color="auto" w:sz="4" w:space="0"/>
              <w:right w:val="single" w:color="auto" w:sz="4" w:space="0"/>
            </w:tcBorders>
            <w:vAlign w:val="center"/>
          </w:tcPr>
          <w:p w14:paraId="5904AF50">
            <w:pPr>
              <w:pStyle w:val="110"/>
              <w:spacing w:line="320" w:lineRule="exact"/>
              <w:ind w:firstLine="0"/>
              <w:jc w:val="center"/>
              <w:rPr>
                <w:rFonts w:hint="eastAsia" w:ascii="宋体" w:hAnsi="宋体" w:eastAsia="宋体" w:cs="宋体"/>
                <w:color w:val="auto"/>
                <w:spacing w:val="6"/>
                <w:kern w:val="0"/>
                <w:szCs w:val="21"/>
                <w:highlight w:val="none"/>
                <w:lang w:val="en-US"/>
              </w:rPr>
            </w:pPr>
            <w:r>
              <w:rPr>
                <w:rFonts w:hint="eastAsia" w:ascii="宋体" w:hAnsi="宋体" w:eastAsia="宋体" w:cs="宋体"/>
                <w:color w:val="auto"/>
                <w:spacing w:val="6"/>
                <w:kern w:val="0"/>
                <w:szCs w:val="21"/>
                <w:highlight w:val="none"/>
                <w:lang w:val="en-US"/>
              </w:rPr>
              <w:t>投标人提出问题或</w:t>
            </w:r>
          </w:p>
          <w:p w14:paraId="703EF5F1">
            <w:pPr>
              <w:pStyle w:val="110"/>
              <w:spacing w:line="320" w:lineRule="exact"/>
              <w:ind w:firstLine="0"/>
              <w:jc w:val="center"/>
              <w:rPr>
                <w:rFonts w:hint="eastAsia" w:ascii="宋体" w:hAnsi="宋体" w:eastAsia="宋体" w:cs="宋体"/>
                <w:color w:val="auto"/>
                <w:spacing w:val="6"/>
                <w:kern w:val="0"/>
                <w:szCs w:val="21"/>
                <w:highlight w:val="none"/>
                <w:lang w:val="en-US"/>
              </w:rPr>
            </w:pPr>
            <w:r>
              <w:rPr>
                <w:rFonts w:hint="eastAsia" w:ascii="宋体" w:hAnsi="宋体" w:eastAsia="宋体" w:cs="宋体"/>
                <w:color w:val="auto"/>
                <w:spacing w:val="6"/>
                <w:kern w:val="0"/>
                <w:szCs w:val="21"/>
                <w:highlight w:val="none"/>
                <w:lang w:val="en-US"/>
              </w:rPr>
              <w:t>要求澄清招标文件的截止时间</w:t>
            </w:r>
          </w:p>
        </w:tc>
        <w:tc>
          <w:tcPr>
            <w:tcW w:w="6302" w:type="dxa"/>
            <w:tcBorders>
              <w:top w:val="single" w:color="auto" w:sz="4" w:space="0"/>
              <w:left w:val="single" w:color="auto" w:sz="4" w:space="0"/>
              <w:bottom w:val="single" w:color="auto" w:sz="4" w:space="0"/>
              <w:right w:val="single" w:color="auto" w:sz="4" w:space="0"/>
            </w:tcBorders>
            <w:vAlign w:val="center"/>
          </w:tcPr>
          <w:p w14:paraId="35B3992C">
            <w:pPr>
              <w:pStyle w:val="110"/>
              <w:spacing w:line="320" w:lineRule="exact"/>
              <w:ind w:firstLine="0"/>
              <w:jc w:val="left"/>
              <w:rPr>
                <w:rFonts w:hint="eastAsia" w:ascii="宋体" w:hAnsi="宋体" w:eastAsia="宋体" w:cs="宋体"/>
                <w:color w:val="auto"/>
                <w:spacing w:val="6"/>
                <w:kern w:val="0"/>
                <w:szCs w:val="21"/>
                <w:highlight w:val="none"/>
                <w:lang w:val="en-US"/>
              </w:rPr>
            </w:pPr>
            <w:r>
              <w:rPr>
                <w:rFonts w:hint="eastAsia" w:ascii="宋体" w:hAnsi="宋体" w:eastAsia="宋体" w:cs="宋体"/>
                <w:color w:val="auto"/>
                <w:spacing w:val="6"/>
                <w:kern w:val="0"/>
                <w:szCs w:val="21"/>
                <w:highlight w:val="none"/>
                <w:lang w:val="en-US"/>
              </w:rPr>
              <w:t>投标截止时间10日前在河南省公共资源交易平台上提出；同时将问题的纸质原件递交至</w:t>
            </w:r>
            <w:r>
              <w:rPr>
                <w:rFonts w:hint="eastAsia" w:ascii="宋体" w:hAnsi="宋体" w:eastAsia="宋体" w:cs="宋体"/>
                <w:color w:val="auto"/>
                <w:spacing w:val="6"/>
                <w:kern w:val="0"/>
                <w:szCs w:val="21"/>
                <w:highlight w:val="none"/>
                <w:lang w:val="en-US" w:eastAsia="zh-CN"/>
              </w:rPr>
              <w:t>采购人</w:t>
            </w:r>
            <w:r>
              <w:rPr>
                <w:rFonts w:hint="eastAsia" w:ascii="宋体" w:hAnsi="宋体" w:eastAsia="宋体" w:cs="宋体"/>
                <w:color w:val="auto"/>
                <w:spacing w:val="6"/>
                <w:kern w:val="0"/>
                <w:szCs w:val="21"/>
                <w:highlight w:val="none"/>
                <w:lang w:val="en-US"/>
              </w:rPr>
              <w:t>、招标代理机构。</w:t>
            </w:r>
          </w:p>
        </w:tc>
      </w:tr>
      <w:tr w14:paraId="631E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4F84DC67">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2.2.2</w:t>
            </w:r>
          </w:p>
        </w:tc>
        <w:tc>
          <w:tcPr>
            <w:tcW w:w="3053" w:type="dxa"/>
            <w:tcBorders>
              <w:top w:val="single" w:color="auto" w:sz="4" w:space="0"/>
              <w:left w:val="single" w:color="auto" w:sz="4" w:space="0"/>
              <w:bottom w:val="single" w:color="auto" w:sz="4" w:space="0"/>
              <w:right w:val="single" w:color="auto" w:sz="4" w:space="0"/>
            </w:tcBorders>
            <w:vAlign w:val="center"/>
          </w:tcPr>
          <w:p w14:paraId="14D66586">
            <w:pPr>
              <w:pStyle w:val="110"/>
              <w:spacing w:line="320" w:lineRule="exact"/>
              <w:ind w:firstLine="0"/>
              <w:jc w:val="center"/>
              <w:rPr>
                <w:rFonts w:hint="eastAsia" w:ascii="宋体" w:hAnsi="宋体" w:eastAsia="宋体" w:cs="宋体"/>
                <w:color w:val="auto"/>
                <w:spacing w:val="6"/>
                <w:kern w:val="0"/>
                <w:szCs w:val="21"/>
                <w:highlight w:val="none"/>
                <w:lang w:val="en-US"/>
              </w:rPr>
            </w:pPr>
            <w:r>
              <w:rPr>
                <w:rFonts w:hint="eastAsia" w:ascii="宋体" w:hAnsi="宋体" w:eastAsia="宋体" w:cs="宋体"/>
                <w:color w:val="auto"/>
                <w:spacing w:val="6"/>
                <w:kern w:val="0"/>
                <w:szCs w:val="21"/>
                <w:highlight w:val="none"/>
                <w:lang w:val="en-US"/>
              </w:rPr>
              <w:t>投标截止时间</w:t>
            </w:r>
          </w:p>
        </w:tc>
        <w:tc>
          <w:tcPr>
            <w:tcW w:w="6302" w:type="dxa"/>
            <w:tcBorders>
              <w:top w:val="single" w:color="auto" w:sz="4" w:space="0"/>
              <w:left w:val="single" w:color="auto" w:sz="4" w:space="0"/>
              <w:bottom w:val="single" w:color="auto" w:sz="4" w:space="0"/>
              <w:right w:val="single" w:color="auto" w:sz="4" w:space="0"/>
            </w:tcBorders>
            <w:vAlign w:val="center"/>
          </w:tcPr>
          <w:p w14:paraId="1B52DFDB">
            <w:pPr>
              <w:pStyle w:val="110"/>
              <w:spacing w:line="320" w:lineRule="exact"/>
              <w:ind w:firstLine="0"/>
              <w:jc w:val="left"/>
              <w:rPr>
                <w:rFonts w:hint="eastAsia" w:ascii="宋体" w:hAnsi="宋体" w:eastAsia="宋体" w:cs="宋体"/>
                <w:color w:val="auto"/>
                <w:spacing w:val="6"/>
                <w:kern w:val="0"/>
                <w:szCs w:val="21"/>
                <w:highlight w:val="none"/>
                <w:lang w:val="en-US"/>
              </w:rPr>
            </w:pPr>
            <w:r>
              <w:rPr>
                <w:rFonts w:hint="eastAsia" w:ascii="宋体" w:hAnsi="宋体" w:eastAsia="宋体" w:cs="宋体"/>
                <w:color w:val="auto"/>
                <w:spacing w:val="6"/>
                <w:kern w:val="0"/>
                <w:szCs w:val="21"/>
                <w:highlight w:val="none"/>
                <w:lang w:val="en-US"/>
              </w:rPr>
              <w:t>见第一章招标公告</w:t>
            </w:r>
          </w:p>
        </w:tc>
      </w:tr>
      <w:tr w14:paraId="4B97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00CE775B">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2.2.3</w:t>
            </w:r>
          </w:p>
        </w:tc>
        <w:tc>
          <w:tcPr>
            <w:tcW w:w="3053" w:type="dxa"/>
            <w:tcBorders>
              <w:top w:val="single" w:color="auto" w:sz="4" w:space="0"/>
              <w:left w:val="single" w:color="auto" w:sz="4" w:space="0"/>
              <w:bottom w:val="single" w:color="auto" w:sz="4" w:space="0"/>
              <w:right w:val="single" w:color="auto" w:sz="4" w:space="0"/>
            </w:tcBorders>
            <w:vAlign w:val="center"/>
          </w:tcPr>
          <w:p w14:paraId="63252D85">
            <w:pPr>
              <w:pStyle w:val="110"/>
              <w:spacing w:line="320" w:lineRule="exact"/>
              <w:ind w:firstLine="0"/>
              <w:jc w:val="center"/>
              <w:rPr>
                <w:rFonts w:hint="eastAsia" w:ascii="宋体" w:hAnsi="宋体" w:eastAsia="宋体" w:cs="宋体"/>
                <w:color w:val="auto"/>
                <w:spacing w:val="6"/>
                <w:kern w:val="0"/>
                <w:szCs w:val="21"/>
                <w:highlight w:val="none"/>
                <w:lang w:val="en-US"/>
              </w:rPr>
            </w:pPr>
            <w:r>
              <w:rPr>
                <w:rFonts w:hint="eastAsia" w:ascii="宋体" w:hAnsi="宋体" w:eastAsia="宋体" w:cs="宋体"/>
                <w:color w:val="auto"/>
                <w:spacing w:val="6"/>
                <w:kern w:val="0"/>
                <w:szCs w:val="21"/>
                <w:highlight w:val="none"/>
                <w:lang w:val="en-US"/>
              </w:rPr>
              <w:t>招标文件澄清、修改发出的形式</w:t>
            </w:r>
          </w:p>
        </w:tc>
        <w:tc>
          <w:tcPr>
            <w:tcW w:w="6302" w:type="dxa"/>
            <w:tcBorders>
              <w:top w:val="single" w:color="auto" w:sz="4" w:space="0"/>
              <w:left w:val="single" w:color="auto" w:sz="4" w:space="0"/>
              <w:bottom w:val="single" w:color="auto" w:sz="4" w:space="0"/>
              <w:right w:val="single" w:color="auto" w:sz="4" w:space="0"/>
            </w:tcBorders>
            <w:vAlign w:val="center"/>
          </w:tcPr>
          <w:p w14:paraId="3239E78D">
            <w:pPr>
              <w:pStyle w:val="110"/>
              <w:spacing w:line="320" w:lineRule="exact"/>
              <w:ind w:firstLine="0"/>
              <w:jc w:val="left"/>
              <w:rPr>
                <w:rFonts w:hint="eastAsia" w:ascii="宋体" w:hAnsi="宋体" w:eastAsia="宋体" w:cs="宋体"/>
                <w:color w:val="auto"/>
                <w:spacing w:val="6"/>
                <w:kern w:val="0"/>
                <w:szCs w:val="21"/>
                <w:highlight w:val="none"/>
                <w:lang w:val="en-US"/>
              </w:rPr>
            </w:pPr>
            <w:r>
              <w:rPr>
                <w:rFonts w:hint="eastAsia" w:ascii="宋体" w:hAnsi="宋体" w:eastAsia="宋体" w:cs="宋体"/>
                <w:color w:val="auto"/>
                <w:spacing w:val="6"/>
                <w:kern w:val="0"/>
                <w:szCs w:val="21"/>
                <w:highlight w:val="none"/>
                <w:lang w:val="en-US"/>
              </w:rPr>
              <w:t>招标文件的澄清、修改将在河南省电子招投标交易平台发布“答疑文件”（答疑文件指修改后最新的招标文件）。对于各项目中下载招标文件的投标人，将通过第三方短信群发方式提醒投标人进行查询。各投标人须重新下载最新的“答疑文件”，并以此编制投标文件。如不以最新发布的“答疑文件”编制投标文件，造成投标无效的后果由投标人自己承担。</w:t>
            </w:r>
          </w:p>
        </w:tc>
      </w:tr>
      <w:tr w14:paraId="37FD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0D1856EE">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3.1.1</w:t>
            </w:r>
          </w:p>
        </w:tc>
        <w:tc>
          <w:tcPr>
            <w:tcW w:w="3053" w:type="dxa"/>
            <w:tcBorders>
              <w:top w:val="single" w:color="auto" w:sz="4" w:space="0"/>
              <w:left w:val="single" w:color="auto" w:sz="4" w:space="0"/>
              <w:bottom w:val="single" w:color="auto" w:sz="4" w:space="0"/>
              <w:right w:val="single" w:color="auto" w:sz="4" w:space="0"/>
            </w:tcBorders>
            <w:vAlign w:val="center"/>
          </w:tcPr>
          <w:p w14:paraId="4347AAC5">
            <w:pPr>
              <w:pStyle w:val="110"/>
              <w:spacing w:line="320" w:lineRule="exact"/>
              <w:ind w:firstLine="0"/>
              <w:jc w:val="center"/>
              <w:rPr>
                <w:rFonts w:hint="eastAsia" w:ascii="宋体" w:hAnsi="宋体" w:eastAsia="宋体" w:cs="宋体"/>
                <w:color w:val="auto"/>
                <w:spacing w:val="6"/>
                <w:kern w:val="0"/>
                <w:szCs w:val="21"/>
                <w:highlight w:val="none"/>
                <w:lang w:val="en-US"/>
              </w:rPr>
            </w:pPr>
            <w:r>
              <w:rPr>
                <w:rFonts w:hint="eastAsia" w:ascii="宋体" w:hAnsi="宋体" w:eastAsia="宋体" w:cs="宋体"/>
                <w:color w:val="auto"/>
                <w:spacing w:val="6"/>
                <w:kern w:val="0"/>
                <w:szCs w:val="21"/>
                <w:highlight w:val="none"/>
                <w:lang w:val="en-US"/>
              </w:rPr>
              <w:t>构成投标文件的其他资料</w:t>
            </w:r>
          </w:p>
        </w:tc>
        <w:tc>
          <w:tcPr>
            <w:tcW w:w="6302" w:type="dxa"/>
            <w:tcBorders>
              <w:top w:val="single" w:color="auto" w:sz="4" w:space="0"/>
              <w:left w:val="single" w:color="auto" w:sz="4" w:space="0"/>
              <w:bottom w:val="single" w:color="auto" w:sz="4" w:space="0"/>
              <w:right w:val="single" w:color="auto" w:sz="4" w:space="0"/>
            </w:tcBorders>
            <w:vAlign w:val="center"/>
          </w:tcPr>
          <w:p w14:paraId="23CC7D85">
            <w:pPr>
              <w:pStyle w:val="110"/>
              <w:spacing w:line="320" w:lineRule="exact"/>
              <w:ind w:firstLine="0"/>
              <w:jc w:val="left"/>
              <w:rPr>
                <w:rFonts w:hint="eastAsia" w:ascii="宋体" w:hAnsi="宋体" w:eastAsia="宋体" w:cs="宋体"/>
                <w:color w:val="auto"/>
                <w:spacing w:val="6"/>
                <w:kern w:val="0"/>
                <w:szCs w:val="21"/>
                <w:highlight w:val="none"/>
                <w:lang w:val="en-US"/>
              </w:rPr>
            </w:pPr>
            <w:r>
              <w:rPr>
                <w:rFonts w:hint="eastAsia" w:ascii="宋体" w:hAnsi="宋体" w:eastAsia="宋体" w:cs="宋体"/>
                <w:color w:val="auto"/>
                <w:spacing w:val="6"/>
                <w:kern w:val="0"/>
                <w:szCs w:val="21"/>
                <w:highlight w:val="none"/>
                <w:lang w:val="en-US"/>
              </w:rPr>
              <w:t>问题的澄清等</w:t>
            </w:r>
          </w:p>
        </w:tc>
      </w:tr>
      <w:tr w14:paraId="0997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1849ADCD">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3.2.4</w:t>
            </w:r>
          </w:p>
        </w:tc>
        <w:tc>
          <w:tcPr>
            <w:tcW w:w="3053" w:type="dxa"/>
            <w:tcBorders>
              <w:top w:val="single" w:color="auto" w:sz="4" w:space="0"/>
              <w:left w:val="single" w:color="auto" w:sz="4" w:space="0"/>
              <w:bottom w:val="single" w:color="auto" w:sz="4" w:space="0"/>
              <w:right w:val="single" w:color="auto" w:sz="4" w:space="0"/>
            </w:tcBorders>
            <w:vAlign w:val="center"/>
          </w:tcPr>
          <w:p w14:paraId="43435C24">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预算控制金额</w:t>
            </w:r>
          </w:p>
        </w:tc>
        <w:tc>
          <w:tcPr>
            <w:tcW w:w="6302" w:type="dxa"/>
            <w:tcBorders>
              <w:top w:val="single" w:color="auto" w:sz="4" w:space="0"/>
              <w:left w:val="single" w:color="auto" w:sz="4" w:space="0"/>
              <w:bottom w:val="single" w:color="auto" w:sz="4" w:space="0"/>
              <w:right w:val="single" w:color="auto" w:sz="4" w:space="0"/>
            </w:tcBorders>
            <w:vAlign w:val="center"/>
          </w:tcPr>
          <w:p w14:paraId="4FFD4377">
            <w:pPr>
              <w:pStyle w:val="60"/>
              <w:spacing w:line="320" w:lineRule="exact"/>
              <w:rPr>
                <w:rFonts w:hint="eastAsia" w:ascii="宋体" w:hAnsi="宋体" w:eastAsia="宋体" w:cs="宋体"/>
                <w:color w:val="auto"/>
                <w:highlight w:val="none"/>
                <w:lang w:val="en-US" w:eastAsia="zh-CN"/>
              </w:rPr>
            </w:pPr>
            <w:r>
              <w:rPr>
                <w:rFonts w:hint="eastAsia" w:ascii="宋体" w:hAnsi="宋体" w:cs="宋体"/>
                <w:color w:val="auto"/>
                <w:spacing w:val="6"/>
                <w:sz w:val="21"/>
                <w:szCs w:val="21"/>
                <w:highlight w:val="none"/>
                <w:lang w:val="en-US" w:eastAsia="zh-CN"/>
              </w:rPr>
              <w:t>1500000.00</w:t>
            </w:r>
            <w:r>
              <w:rPr>
                <w:rFonts w:hint="eastAsia" w:ascii="宋体" w:hAnsi="宋体" w:eastAsia="宋体" w:cs="宋体"/>
                <w:color w:val="auto"/>
                <w:highlight w:val="none"/>
                <w:lang w:val="en-US" w:eastAsia="zh-CN"/>
              </w:rPr>
              <w:t>元。</w:t>
            </w:r>
          </w:p>
          <w:p w14:paraId="12BE3B3F">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投标报价超过本</w:t>
            </w:r>
            <w:r>
              <w:rPr>
                <w:rFonts w:hint="eastAsia" w:ascii="宋体" w:hAnsi="宋体" w:eastAsia="宋体" w:cs="宋体"/>
                <w:color w:val="auto"/>
                <w:spacing w:val="6"/>
                <w:szCs w:val="21"/>
                <w:highlight w:val="none"/>
                <w:lang w:val="en-US" w:eastAsia="zh-CN"/>
              </w:rPr>
              <w:t>项目</w:t>
            </w:r>
            <w:r>
              <w:rPr>
                <w:rFonts w:hint="eastAsia" w:ascii="宋体" w:hAnsi="宋体" w:eastAsia="宋体" w:cs="宋体"/>
                <w:color w:val="auto"/>
                <w:spacing w:val="6"/>
                <w:szCs w:val="21"/>
                <w:highlight w:val="none"/>
              </w:rPr>
              <w:t>预算控制金额的，其投标将被否决。</w:t>
            </w:r>
          </w:p>
        </w:tc>
      </w:tr>
      <w:tr w14:paraId="1AD7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2CD4283C">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3.2.5</w:t>
            </w:r>
          </w:p>
        </w:tc>
        <w:tc>
          <w:tcPr>
            <w:tcW w:w="3053" w:type="dxa"/>
            <w:tcBorders>
              <w:top w:val="single" w:color="auto" w:sz="4" w:space="0"/>
              <w:left w:val="single" w:color="auto" w:sz="4" w:space="0"/>
              <w:bottom w:val="single" w:color="auto" w:sz="4" w:space="0"/>
              <w:right w:val="single" w:color="auto" w:sz="4" w:space="0"/>
            </w:tcBorders>
            <w:vAlign w:val="center"/>
          </w:tcPr>
          <w:p w14:paraId="2C5F8A34">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投标报价的其他要求</w:t>
            </w:r>
          </w:p>
        </w:tc>
        <w:tc>
          <w:tcPr>
            <w:tcW w:w="6302" w:type="dxa"/>
            <w:tcBorders>
              <w:top w:val="single" w:color="auto" w:sz="4" w:space="0"/>
              <w:left w:val="single" w:color="auto" w:sz="4" w:space="0"/>
              <w:bottom w:val="single" w:color="auto" w:sz="4" w:space="0"/>
              <w:right w:val="single" w:color="auto" w:sz="4" w:space="0"/>
            </w:tcBorders>
            <w:vAlign w:val="center"/>
          </w:tcPr>
          <w:p w14:paraId="7CD021D5">
            <w:pPr>
              <w:pStyle w:val="60"/>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投标报价是履行合同的最终报价，无特别注明，均为人民币报价。</w:t>
            </w:r>
          </w:p>
          <w:p w14:paraId="5F9252AC">
            <w:pPr>
              <w:pStyle w:val="60"/>
              <w:spacing w:line="320" w:lineRule="exact"/>
              <w:rPr>
                <w:rFonts w:hint="eastAsia" w:ascii="宋体" w:hAnsi="宋体" w:eastAsia="宋体" w:cs="宋体"/>
                <w:color w:val="auto"/>
                <w:highlight w:val="none"/>
              </w:rPr>
            </w:pPr>
            <w:r>
              <w:rPr>
                <w:rFonts w:hint="eastAsia" w:ascii="宋体" w:hAnsi="宋体" w:eastAsia="宋体" w:cs="宋体"/>
                <w:color w:val="auto"/>
                <w:spacing w:val="6"/>
                <w:szCs w:val="21"/>
                <w:highlight w:val="none"/>
              </w:rPr>
              <w:t>应包括本</w:t>
            </w:r>
            <w:r>
              <w:rPr>
                <w:rFonts w:hint="eastAsia" w:ascii="宋体" w:hAnsi="宋体" w:eastAsia="宋体" w:cs="宋体"/>
                <w:color w:val="auto"/>
                <w:spacing w:val="6"/>
                <w:szCs w:val="21"/>
                <w:highlight w:val="none"/>
                <w:lang w:val="en-US" w:eastAsia="zh-CN"/>
              </w:rPr>
              <w:t>次</w:t>
            </w:r>
            <w:r>
              <w:rPr>
                <w:rFonts w:hint="eastAsia" w:ascii="宋体" w:hAnsi="宋体" w:eastAsia="宋体" w:cs="宋体"/>
                <w:color w:val="auto"/>
                <w:spacing w:val="6"/>
                <w:szCs w:val="21"/>
                <w:highlight w:val="none"/>
              </w:rPr>
              <w:t>招标项目所包含的货物、</w:t>
            </w:r>
            <w:r>
              <w:rPr>
                <w:rFonts w:hint="eastAsia" w:ascii="宋体" w:hAnsi="宋体" w:eastAsia="宋体" w:cs="宋体"/>
                <w:color w:val="auto"/>
                <w:spacing w:val="6"/>
                <w:szCs w:val="21"/>
                <w:highlight w:val="none"/>
                <w:lang w:val="en-US" w:eastAsia="zh-CN"/>
              </w:rPr>
              <w:t>硬件、</w:t>
            </w:r>
            <w:r>
              <w:rPr>
                <w:rFonts w:hint="eastAsia" w:ascii="宋体" w:hAnsi="宋体" w:eastAsia="宋体" w:cs="宋体"/>
                <w:color w:val="auto"/>
                <w:spacing w:val="6"/>
                <w:szCs w:val="21"/>
                <w:highlight w:val="none"/>
              </w:rPr>
              <w:t>软件、标准附件、备品备件、专用工具、图纸资料、</w:t>
            </w:r>
            <w:r>
              <w:rPr>
                <w:rFonts w:hint="eastAsia" w:ascii="宋体" w:hAnsi="宋体" w:eastAsia="宋体" w:cs="宋体"/>
                <w:color w:val="auto"/>
                <w:spacing w:val="6"/>
                <w:szCs w:val="21"/>
                <w:highlight w:val="none"/>
                <w:lang w:val="en-US" w:eastAsia="zh-CN"/>
              </w:rPr>
              <w:t>培训、</w:t>
            </w:r>
            <w:r>
              <w:rPr>
                <w:rFonts w:hint="eastAsia" w:ascii="宋体" w:hAnsi="宋体" w:eastAsia="宋体" w:cs="宋体"/>
                <w:color w:val="auto"/>
                <w:spacing w:val="6"/>
                <w:szCs w:val="21"/>
                <w:highlight w:val="none"/>
              </w:rPr>
              <w:t>技术服务，包装、仓储、运输、装卸、保险、税金，货到就位以及安装、调试、试运行、验收交付、培训、技术支持、软件升级、售后服务、代理服务费、进口产品报关清关、商检等一切税金和费用。</w:t>
            </w:r>
          </w:p>
        </w:tc>
      </w:tr>
      <w:tr w14:paraId="290A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3813DB80">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3.3.1</w:t>
            </w:r>
          </w:p>
        </w:tc>
        <w:tc>
          <w:tcPr>
            <w:tcW w:w="3053" w:type="dxa"/>
            <w:tcBorders>
              <w:top w:val="single" w:color="auto" w:sz="4" w:space="0"/>
              <w:left w:val="single" w:color="auto" w:sz="4" w:space="0"/>
              <w:bottom w:val="single" w:color="auto" w:sz="4" w:space="0"/>
              <w:right w:val="single" w:color="auto" w:sz="4" w:space="0"/>
            </w:tcBorders>
            <w:vAlign w:val="center"/>
          </w:tcPr>
          <w:p w14:paraId="69B9A493">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投标有效期</w:t>
            </w:r>
          </w:p>
        </w:tc>
        <w:tc>
          <w:tcPr>
            <w:tcW w:w="6302" w:type="dxa"/>
            <w:tcBorders>
              <w:top w:val="single" w:color="auto" w:sz="4" w:space="0"/>
              <w:left w:val="single" w:color="auto" w:sz="4" w:space="0"/>
              <w:bottom w:val="single" w:color="auto" w:sz="4" w:space="0"/>
              <w:right w:val="single" w:color="auto" w:sz="4" w:space="0"/>
            </w:tcBorders>
            <w:vAlign w:val="center"/>
          </w:tcPr>
          <w:p w14:paraId="1E2385E4">
            <w:pPr>
              <w:pStyle w:val="60"/>
              <w:spacing w:line="320" w:lineRule="exact"/>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提交投标文件截止之日起90</w:t>
            </w:r>
            <w:r>
              <w:rPr>
                <w:rFonts w:hint="eastAsia" w:ascii="宋体" w:hAnsi="宋体" w:eastAsia="宋体" w:cs="宋体"/>
                <w:color w:val="auto"/>
                <w:spacing w:val="6"/>
                <w:kern w:val="0"/>
                <w:szCs w:val="21"/>
                <w:highlight w:val="none"/>
                <w:lang w:val="en-US" w:eastAsia="zh-CN"/>
              </w:rPr>
              <w:t>日历</w:t>
            </w:r>
            <w:r>
              <w:rPr>
                <w:rFonts w:hint="eastAsia" w:ascii="宋体" w:hAnsi="宋体" w:eastAsia="宋体" w:cs="宋体"/>
                <w:color w:val="auto"/>
                <w:spacing w:val="6"/>
                <w:kern w:val="0"/>
                <w:szCs w:val="21"/>
                <w:highlight w:val="none"/>
              </w:rPr>
              <w:t>天，有效期短于该期限的投标将被拒绝。</w:t>
            </w:r>
          </w:p>
        </w:tc>
      </w:tr>
      <w:tr w14:paraId="3AB5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0D6BA0EA">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3.4.1</w:t>
            </w:r>
          </w:p>
        </w:tc>
        <w:tc>
          <w:tcPr>
            <w:tcW w:w="3053" w:type="dxa"/>
            <w:tcBorders>
              <w:top w:val="single" w:color="auto" w:sz="4" w:space="0"/>
              <w:left w:val="single" w:color="auto" w:sz="4" w:space="0"/>
              <w:bottom w:val="single" w:color="auto" w:sz="4" w:space="0"/>
              <w:right w:val="single" w:color="auto" w:sz="4" w:space="0"/>
            </w:tcBorders>
            <w:vAlign w:val="center"/>
          </w:tcPr>
          <w:p w14:paraId="0D791E1D">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投标保证金</w:t>
            </w:r>
          </w:p>
        </w:tc>
        <w:tc>
          <w:tcPr>
            <w:tcW w:w="6302" w:type="dxa"/>
            <w:tcBorders>
              <w:top w:val="single" w:color="auto" w:sz="4" w:space="0"/>
              <w:left w:val="single" w:color="auto" w:sz="4" w:space="0"/>
              <w:bottom w:val="single" w:color="auto" w:sz="4" w:space="0"/>
              <w:right w:val="single" w:color="auto" w:sz="4" w:space="0"/>
            </w:tcBorders>
            <w:vAlign w:val="center"/>
          </w:tcPr>
          <w:p w14:paraId="317168A3">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kern w:val="0"/>
                <w:szCs w:val="21"/>
                <w:highlight w:val="none"/>
              </w:rPr>
              <w:t>本项目无需缴纳投标保证金，投标人须按照采购文件给定的格式提供投标承诺函。</w:t>
            </w:r>
          </w:p>
        </w:tc>
      </w:tr>
      <w:tr w14:paraId="45AA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1760465D">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3.5.3</w:t>
            </w:r>
          </w:p>
        </w:tc>
        <w:tc>
          <w:tcPr>
            <w:tcW w:w="3053" w:type="dxa"/>
            <w:tcBorders>
              <w:top w:val="single" w:color="auto" w:sz="4" w:space="0"/>
              <w:left w:val="single" w:color="auto" w:sz="4" w:space="0"/>
              <w:bottom w:val="single" w:color="auto" w:sz="4" w:space="0"/>
              <w:right w:val="single" w:color="auto" w:sz="4" w:space="0"/>
            </w:tcBorders>
            <w:vAlign w:val="center"/>
          </w:tcPr>
          <w:p w14:paraId="10B6DCDE">
            <w:pPr>
              <w:pStyle w:val="112"/>
              <w:spacing w:line="320" w:lineRule="exact"/>
              <w:ind w:firstLine="0"/>
              <w:jc w:val="center"/>
              <w:rPr>
                <w:rFonts w:hint="eastAsia" w:ascii="宋体" w:hAnsi="宋体" w:eastAsia="宋体" w:cs="宋体"/>
                <w:b/>
                <w:bCs/>
                <w:color w:val="auto"/>
                <w:spacing w:val="6"/>
                <w:szCs w:val="21"/>
                <w:highlight w:val="none"/>
              </w:rPr>
            </w:pPr>
            <w:r>
              <w:rPr>
                <w:rFonts w:hint="eastAsia" w:ascii="宋体" w:hAnsi="宋体" w:eastAsia="宋体" w:cs="宋体"/>
                <w:b/>
                <w:bCs/>
                <w:color w:val="auto"/>
                <w:spacing w:val="6"/>
                <w:szCs w:val="21"/>
                <w:highlight w:val="none"/>
              </w:rPr>
              <w:t>资格审查资料的特殊要求</w:t>
            </w:r>
          </w:p>
        </w:tc>
        <w:tc>
          <w:tcPr>
            <w:tcW w:w="6302" w:type="dxa"/>
            <w:tcBorders>
              <w:top w:val="single" w:color="auto" w:sz="4" w:space="0"/>
              <w:left w:val="single" w:color="auto" w:sz="4" w:space="0"/>
              <w:bottom w:val="single" w:color="auto" w:sz="4" w:space="0"/>
              <w:right w:val="single" w:color="auto" w:sz="4" w:space="0"/>
            </w:tcBorders>
            <w:vAlign w:val="center"/>
          </w:tcPr>
          <w:p w14:paraId="2EE0BCE5">
            <w:pPr>
              <w:pStyle w:val="112"/>
              <w:spacing w:line="320" w:lineRule="exact"/>
              <w:ind w:firstLine="0"/>
              <w:jc w:val="left"/>
              <w:rPr>
                <w:rFonts w:hint="eastAsia" w:ascii="宋体" w:hAnsi="宋体" w:eastAsia="宋体" w:cs="宋体"/>
                <w:b/>
                <w:bCs/>
                <w:color w:val="auto"/>
                <w:spacing w:val="6"/>
                <w:szCs w:val="21"/>
                <w:highlight w:val="none"/>
              </w:rPr>
            </w:pPr>
            <w:r>
              <w:rPr>
                <w:rFonts w:hint="eastAsia" w:ascii="宋体" w:hAnsi="宋体" w:eastAsia="宋体" w:cs="宋体"/>
                <w:b/>
                <w:bCs/>
                <w:color w:val="auto"/>
                <w:spacing w:val="6"/>
                <w:szCs w:val="21"/>
                <w:highlight w:val="none"/>
              </w:rPr>
              <w:t>（1）须在投标文件中附以下证件（资料）的扫描件：</w:t>
            </w:r>
          </w:p>
          <w:p w14:paraId="234221FB">
            <w:pPr>
              <w:pStyle w:val="112"/>
              <w:spacing w:line="320" w:lineRule="exact"/>
              <w:ind w:firstLine="0"/>
              <w:jc w:val="left"/>
              <w:rPr>
                <w:rFonts w:hint="eastAsia" w:ascii="宋体" w:hAnsi="宋体" w:eastAsia="宋体" w:cs="宋体"/>
                <w:b/>
                <w:bCs/>
                <w:color w:val="auto"/>
                <w:spacing w:val="6"/>
                <w:szCs w:val="21"/>
                <w:highlight w:val="none"/>
              </w:rPr>
            </w:pPr>
            <w:r>
              <w:rPr>
                <w:rFonts w:hint="eastAsia" w:ascii="宋体" w:hAnsi="宋体" w:eastAsia="宋体" w:cs="宋体"/>
                <w:b/>
                <w:bCs/>
                <w:color w:val="auto"/>
                <w:spacing w:val="6"/>
                <w:szCs w:val="21"/>
                <w:highlight w:val="none"/>
              </w:rPr>
              <w:t>①营业执照</w:t>
            </w:r>
            <w:r>
              <w:rPr>
                <w:rFonts w:hint="eastAsia" w:ascii="宋体" w:hAnsi="宋体" w:eastAsia="宋体" w:cs="宋体"/>
                <w:b/>
                <w:bCs/>
                <w:color w:val="auto"/>
                <w:spacing w:val="6"/>
                <w:szCs w:val="21"/>
                <w:highlight w:val="none"/>
                <w:lang w:val="en-US" w:eastAsia="zh-CN"/>
              </w:rPr>
              <w:t>或其他证明材料</w:t>
            </w:r>
            <w:r>
              <w:rPr>
                <w:rFonts w:hint="eastAsia" w:ascii="宋体" w:hAnsi="宋体" w:eastAsia="宋体" w:cs="宋体"/>
                <w:b/>
                <w:bCs/>
                <w:color w:val="auto"/>
                <w:spacing w:val="6"/>
                <w:szCs w:val="21"/>
                <w:highlight w:val="none"/>
              </w:rPr>
              <w:t>；</w:t>
            </w:r>
          </w:p>
          <w:p w14:paraId="2C1D6973">
            <w:pPr>
              <w:pStyle w:val="112"/>
              <w:spacing w:line="320" w:lineRule="exact"/>
              <w:ind w:firstLine="0"/>
              <w:jc w:val="left"/>
              <w:rPr>
                <w:rFonts w:hint="eastAsia" w:ascii="宋体" w:hAnsi="宋体" w:eastAsia="宋体" w:cs="宋体"/>
                <w:b/>
                <w:bCs/>
                <w:color w:val="auto"/>
                <w:spacing w:val="6"/>
                <w:szCs w:val="21"/>
                <w:highlight w:val="none"/>
              </w:rPr>
            </w:pPr>
            <w:r>
              <w:rPr>
                <w:rFonts w:hint="eastAsia" w:ascii="宋体" w:hAnsi="宋体" w:eastAsia="宋体" w:cs="宋体"/>
                <w:b/>
                <w:bCs/>
                <w:color w:val="auto"/>
                <w:spacing w:val="6"/>
                <w:szCs w:val="21"/>
                <w:highlight w:val="none"/>
              </w:rPr>
              <w:t>②投标人认为需要提供的其他材料。</w:t>
            </w:r>
          </w:p>
          <w:p w14:paraId="35E75863">
            <w:pPr>
              <w:pStyle w:val="112"/>
              <w:numPr>
                <w:ilvl w:val="0"/>
                <w:numId w:val="0"/>
              </w:numPr>
              <w:spacing w:line="320" w:lineRule="exact"/>
              <w:jc w:val="left"/>
              <w:rPr>
                <w:rFonts w:hint="eastAsia" w:ascii="宋体" w:hAnsi="宋体" w:eastAsia="宋体" w:cs="宋体"/>
                <w:b/>
                <w:bCs/>
                <w:color w:val="auto"/>
                <w:spacing w:val="6"/>
                <w:szCs w:val="21"/>
                <w:highlight w:val="none"/>
              </w:rPr>
            </w:pPr>
            <w:r>
              <w:rPr>
                <w:rFonts w:hint="eastAsia" w:ascii="宋体" w:hAnsi="宋体" w:eastAsia="宋体" w:cs="宋体"/>
                <w:b/>
                <w:bCs/>
                <w:color w:val="auto"/>
                <w:spacing w:val="6"/>
                <w:szCs w:val="21"/>
                <w:highlight w:val="none"/>
                <w:lang w:eastAsia="zh-CN"/>
              </w:rPr>
              <w:t>（</w:t>
            </w:r>
            <w:r>
              <w:rPr>
                <w:rFonts w:hint="eastAsia" w:ascii="宋体" w:hAnsi="宋体" w:eastAsia="宋体" w:cs="宋体"/>
                <w:b/>
                <w:bCs/>
                <w:color w:val="auto"/>
                <w:spacing w:val="6"/>
                <w:szCs w:val="21"/>
                <w:highlight w:val="none"/>
                <w:lang w:val="en-US" w:eastAsia="zh-CN"/>
              </w:rPr>
              <w:t>2</w:t>
            </w:r>
            <w:r>
              <w:rPr>
                <w:rFonts w:hint="eastAsia" w:ascii="宋体" w:hAnsi="宋体" w:eastAsia="宋体" w:cs="宋体"/>
                <w:b/>
                <w:bCs/>
                <w:color w:val="auto"/>
                <w:spacing w:val="6"/>
                <w:szCs w:val="21"/>
                <w:highlight w:val="none"/>
                <w:lang w:eastAsia="zh-CN"/>
              </w:rPr>
              <w:t>）</w:t>
            </w:r>
            <w:r>
              <w:rPr>
                <w:rFonts w:hint="eastAsia" w:ascii="宋体" w:hAnsi="宋体" w:eastAsia="宋体" w:cs="宋体"/>
                <w:b/>
                <w:bCs/>
                <w:color w:val="auto"/>
                <w:spacing w:val="6"/>
                <w:szCs w:val="21"/>
                <w:highlight w:val="none"/>
              </w:rPr>
              <w:t>本项目的其他特定资格要求无需再提交证明材料，但应按照招标文件规定提供相关承诺函。采购人有权在签订合同前要求中标供应商提供相关证明材料以核实中标供应商承诺事项的真实性。</w:t>
            </w:r>
          </w:p>
        </w:tc>
      </w:tr>
      <w:tr w14:paraId="6170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733CF501">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3.6.1</w:t>
            </w:r>
          </w:p>
        </w:tc>
        <w:tc>
          <w:tcPr>
            <w:tcW w:w="3053" w:type="dxa"/>
            <w:tcBorders>
              <w:top w:val="single" w:color="auto" w:sz="4" w:space="0"/>
              <w:left w:val="single" w:color="auto" w:sz="4" w:space="0"/>
              <w:bottom w:val="single" w:color="auto" w:sz="4" w:space="0"/>
              <w:right w:val="single" w:color="auto" w:sz="4" w:space="0"/>
            </w:tcBorders>
            <w:vAlign w:val="center"/>
          </w:tcPr>
          <w:p w14:paraId="0B0A6733">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是否允许提交备选投标方案</w:t>
            </w:r>
          </w:p>
        </w:tc>
        <w:tc>
          <w:tcPr>
            <w:tcW w:w="6302" w:type="dxa"/>
            <w:tcBorders>
              <w:top w:val="single" w:color="auto" w:sz="4" w:space="0"/>
              <w:left w:val="single" w:color="auto" w:sz="4" w:space="0"/>
              <w:bottom w:val="single" w:color="auto" w:sz="4" w:space="0"/>
              <w:right w:val="single" w:color="auto" w:sz="4" w:space="0"/>
            </w:tcBorders>
            <w:vAlign w:val="center"/>
          </w:tcPr>
          <w:p w14:paraId="2FA4BAF3">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不允许</w:t>
            </w:r>
          </w:p>
        </w:tc>
      </w:tr>
      <w:tr w14:paraId="59D4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0F5EC848">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3.7.3</w:t>
            </w:r>
          </w:p>
        </w:tc>
        <w:tc>
          <w:tcPr>
            <w:tcW w:w="3053" w:type="dxa"/>
            <w:tcBorders>
              <w:top w:val="single" w:color="auto" w:sz="4" w:space="0"/>
              <w:left w:val="single" w:color="auto" w:sz="4" w:space="0"/>
              <w:bottom w:val="single" w:color="auto" w:sz="4" w:space="0"/>
              <w:right w:val="single" w:color="auto" w:sz="4" w:space="0"/>
            </w:tcBorders>
            <w:vAlign w:val="center"/>
          </w:tcPr>
          <w:p w14:paraId="5C3C0023">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投标文件签字或盖章要求</w:t>
            </w:r>
          </w:p>
        </w:tc>
        <w:tc>
          <w:tcPr>
            <w:tcW w:w="6302" w:type="dxa"/>
            <w:tcBorders>
              <w:top w:val="single" w:color="auto" w:sz="4" w:space="0"/>
              <w:left w:val="single" w:color="auto" w:sz="4" w:space="0"/>
              <w:bottom w:val="single" w:color="auto" w:sz="4" w:space="0"/>
              <w:right w:val="single" w:color="auto" w:sz="4" w:space="0"/>
            </w:tcBorders>
            <w:vAlign w:val="center"/>
          </w:tcPr>
          <w:p w14:paraId="42AAC7F3">
            <w:pPr>
              <w:pStyle w:val="112"/>
              <w:spacing w:line="320" w:lineRule="exact"/>
              <w:ind w:firstLine="0"/>
              <w:jc w:val="left"/>
              <w:rPr>
                <w:rFonts w:hint="eastAsia" w:ascii="Times New Roman" w:hAnsi="Times New Roman" w:eastAsiaTheme="minorEastAsia"/>
                <w:spacing w:val="6"/>
                <w:szCs w:val="21"/>
                <w:lang w:val="en-US" w:eastAsia="zh-CN"/>
              </w:rPr>
            </w:pPr>
            <w:r>
              <w:rPr>
                <w:rFonts w:hint="eastAsia" w:ascii="Times New Roman" w:hAnsi="Times New Roman" w:eastAsiaTheme="minorEastAsia"/>
                <w:spacing w:val="6"/>
                <w:szCs w:val="21"/>
                <w:lang w:val="en-US" w:eastAsia="zh-CN"/>
              </w:rPr>
              <w:t>（1）要求盖单位章的，应使用单位CA 数字证书签章；</w:t>
            </w:r>
          </w:p>
          <w:p w14:paraId="7BA61425">
            <w:pPr>
              <w:pStyle w:val="112"/>
              <w:spacing w:line="320" w:lineRule="exact"/>
              <w:ind w:firstLine="0"/>
              <w:jc w:val="left"/>
              <w:rPr>
                <w:rFonts w:hint="eastAsia" w:ascii="Times New Roman" w:hAnsi="Times New Roman" w:eastAsiaTheme="minorEastAsia"/>
                <w:spacing w:val="6"/>
                <w:szCs w:val="21"/>
                <w:lang w:val="en-US" w:eastAsia="zh-CN"/>
              </w:rPr>
            </w:pPr>
            <w:r>
              <w:rPr>
                <w:rFonts w:hint="eastAsia" w:ascii="Times New Roman" w:hAnsi="Times New Roman" w:eastAsiaTheme="minorEastAsia"/>
                <w:spacing w:val="6"/>
                <w:szCs w:val="21"/>
                <w:lang w:val="en-US" w:eastAsia="zh-CN"/>
              </w:rPr>
              <w:t>（2）要求法定代表人签字或盖章的，应使用法定代表人CA 数字证书签署，字体不限，包含手写体；</w:t>
            </w:r>
          </w:p>
          <w:p w14:paraId="34C89077">
            <w:pPr>
              <w:pStyle w:val="112"/>
              <w:spacing w:line="320" w:lineRule="exact"/>
              <w:ind w:firstLine="0"/>
              <w:jc w:val="left"/>
              <w:rPr>
                <w:rFonts w:hint="eastAsia" w:ascii="Times New Roman" w:hAnsi="Times New Roman" w:eastAsiaTheme="minorEastAsia"/>
                <w:spacing w:val="6"/>
                <w:szCs w:val="21"/>
                <w:lang w:val="en-US" w:eastAsia="zh-CN"/>
              </w:rPr>
            </w:pPr>
            <w:r>
              <w:rPr>
                <w:rFonts w:hint="eastAsia" w:ascii="Times New Roman" w:hAnsi="Times New Roman" w:eastAsiaTheme="minorEastAsia"/>
                <w:spacing w:val="6"/>
                <w:szCs w:val="21"/>
                <w:lang w:val="en-US" w:eastAsia="zh-CN"/>
              </w:rPr>
              <w:t>（3）其他签字可以是手签后扫描件上传的，也可以是电子手写签名；</w:t>
            </w:r>
          </w:p>
          <w:p w14:paraId="7432E68B">
            <w:pPr>
              <w:pStyle w:val="112"/>
              <w:spacing w:line="320" w:lineRule="exact"/>
              <w:ind w:firstLine="0"/>
              <w:jc w:val="left"/>
              <w:rPr>
                <w:rFonts w:hint="eastAsia" w:ascii="Times New Roman" w:hAnsi="Times New Roman" w:eastAsiaTheme="minorEastAsia"/>
                <w:spacing w:val="6"/>
                <w:szCs w:val="21"/>
                <w:lang w:val="en-US" w:eastAsia="zh-CN"/>
              </w:rPr>
            </w:pPr>
            <w:r>
              <w:rPr>
                <w:rFonts w:hint="eastAsia" w:ascii="Times New Roman" w:hAnsi="Times New Roman" w:eastAsiaTheme="minorEastAsia"/>
                <w:spacing w:val="6"/>
                <w:szCs w:val="21"/>
                <w:lang w:val="en-US" w:eastAsia="zh-CN"/>
              </w:rPr>
              <w:t>（4）使用CA 数字证书签署时，注意尽量避免覆盖关键的文字、数据；</w:t>
            </w:r>
          </w:p>
          <w:p w14:paraId="439E3928">
            <w:pPr>
              <w:pStyle w:val="112"/>
              <w:spacing w:line="320" w:lineRule="exact"/>
              <w:ind w:firstLine="0"/>
              <w:jc w:val="left"/>
              <w:rPr>
                <w:rFonts w:hint="eastAsia" w:ascii="宋体" w:hAnsi="宋体" w:eastAsia="宋体" w:cs="宋体"/>
                <w:color w:val="auto"/>
                <w:spacing w:val="6"/>
                <w:szCs w:val="21"/>
                <w:highlight w:val="none"/>
              </w:rPr>
            </w:pPr>
            <w:r>
              <w:rPr>
                <w:rFonts w:hint="eastAsia" w:ascii="Times New Roman" w:hAnsi="Times New Roman" w:eastAsiaTheme="minorEastAsia"/>
                <w:spacing w:val="6"/>
                <w:szCs w:val="21"/>
                <w:lang w:val="en-US" w:eastAsia="zh-CN"/>
              </w:rPr>
              <w:t>（5）不要求对投标文件逐页盖章、签字。</w:t>
            </w:r>
          </w:p>
        </w:tc>
      </w:tr>
      <w:tr w14:paraId="0EA6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5C0DE56D">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3.7.4</w:t>
            </w:r>
          </w:p>
        </w:tc>
        <w:tc>
          <w:tcPr>
            <w:tcW w:w="3053" w:type="dxa"/>
            <w:tcBorders>
              <w:top w:val="single" w:color="auto" w:sz="4" w:space="0"/>
              <w:left w:val="single" w:color="auto" w:sz="4" w:space="0"/>
              <w:bottom w:val="single" w:color="auto" w:sz="4" w:space="0"/>
              <w:right w:val="single" w:color="auto" w:sz="4" w:space="0"/>
            </w:tcBorders>
            <w:vAlign w:val="center"/>
          </w:tcPr>
          <w:p w14:paraId="68408FEA">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投标所需相关的资质、证明等资料要求</w:t>
            </w:r>
          </w:p>
        </w:tc>
        <w:tc>
          <w:tcPr>
            <w:tcW w:w="6302" w:type="dxa"/>
            <w:tcBorders>
              <w:top w:val="single" w:color="auto" w:sz="4" w:space="0"/>
              <w:left w:val="single" w:color="auto" w:sz="4" w:space="0"/>
              <w:bottom w:val="single" w:color="auto" w:sz="4" w:space="0"/>
              <w:right w:val="single" w:color="auto" w:sz="4" w:space="0"/>
            </w:tcBorders>
            <w:vAlign w:val="center"/>
          </w:tcPr>
          <w:p w14:paraId="31EAD145">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本项目无需提供纸质投标文件，投标所需相关的资质、证明等资料均需先上传至河南省公共资源交易中心诚信库并经核验，投标</w:t>
            </w:r>
            <w:r>
              <w:rPr>
                <w:rFonts w:hint="eastAsia" w:ascii="宋体" w:hAnsi="宋体" w:eastAsia="宋体" w:cs="宋体"/>
                <w:color w:val="auto"/>
                <w:spacing w:val="6"/>
                <w:szCs w:val="21"/>
                <w:highlight w:val="none"/>
                <w:lang w:val="en-US" w:eastAsia="zh-CN"/>
              </w:rPr>
              <w:t>人</w:t>
            </w:r>
            <w:r>
              <w:rPr>
                <w:rFonts w:hint="eastAsia" w:ascii="宋体" w:hAnsi="宋体" w:eastAsia="宋体" w:cs="宋体"/>
                <w:color w:val="auto"/>
                <w:spacing w:val="6"/>
                <w:szCs w:val="21"/>
                <w:highlight w:val="none"/>
              </w:rPr>
              <w:t>制作投标文件时所需资料须从诚信库中提取。</w:t>
            </w:r>
          </w:p>
        </w:tc>
      </w:tr>
      <w:tr w14:paraId="23E8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4C0AB93A">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4.2.1</w:t>
            </w:r>
          </w:p>
        </w:tc>
        <w:tc>
          <w:tcPr>
            <w:tcW w:w="3053" w:type="dxa"/>
            <w:tcBorders>
              <w:top w:val="single" w:color="auto" w:sz="4" w:space="0"/>
              <w:left w:val="single" w:color="auto" w:sz="4" w:space="0"/>
              <w:bottom w:val="single" w:color="auto" w:sz="4" w:space="0"/>
              <w:right w:val="single" w:color="auto" w:sz="4" w:space="0"/>
            </w:tcBorders>
            <w:vAlign w:val="center"/>
          </w:tcPr>
          <w:p w14:paraId="4C7ACFC8">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投标文件的递交</w:t>
            </w:r>
          </w:p>
        </w:tc>
        <w:tc>
          <w:tcPr>
            <w:tcW w:w="6302" w:type="dxa"/>
            <w:tcBorders>
              <w:top w:val="single" w:color="auto" w:sz="4" w:space="0"/>
              <w:left w:val="single" w:color="auto" w:sz="4" w:space="0"/>
              <w:bottom w:val="single" w:color="auto" w:sz="4" w:space="0"/>
              <w:right w:val="single" w:color="auto" w:sz="4" w:space="0"/>
            </w:tcBorders>
            <w:vAlign w:val="center"/>
          </w:tcPr>
          <w:p w14:paraId="15FE751E">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（1）各投标</w:t>
            </w:r>
            <w:r>
              <w:rPr>
                <w:rFonts w:hint="eastAsia" w:ascii="宋体" w:hAnsi="宋体" w:eastAsia="宋体" w:cs="宋体"/>
                <w:color w:val="auto"/>
                <w:spacing w:val="6"/>
                <w:szCs w:val="21"/>
                <w:highlight w:val="none"/>
                <w:lang w:val="en-US" w:eastAsia="zh-CN"/>
              </w:rPr>
              <w:t>人</w:t>
            </w:r>
            <w:r>
              <w:rPr>
                <w:rFonts w:hint="eastAsia" w:ascii="宋体" w:hAnsi="宋体" w:eastAsia="宋体" w:cs="宋体"/>
                <w:color w:val="auto"/>
                <w:spacing w:val="6"/>
                <w:szCs w:val="21"/>
                <w:highlight w:val="none"/>
              </w:rPr>
              <w:t>应在投标截止时间前上传加密的电子投标文件（*.hntf）到会员系统的指定位置。上传时必须得到电脑“上传成功”的确认回复。请投标</w:t>
            </w:r>
            <w:r>
              <w:rPr>
                <w:rFonts w:hint="eastAsia" w:ascii="宋体" w:hAnsi="宋体" w:eastAsia="宋体" w:cs="宋体"/>
                <w:color w:val="auto"/>
                <w:spacing w:val="6"/>
                <w:szCs w:val="21"/>
                <w:highlight w:val="none"/>
                <w:lang w:val="en-US" w:eastAsia="zh-CN"/>
              </w:rPr>
              <w:t>人</w:t>
            </w:r>
            <w:r>
              <w:rPr>
                <w:rFonts w:hint="eastAsia" w:ascii="宋体" w:hAnsi="宋体" w:eastAsia="宋体" w:cs="宋体"/>
                <w:color w:val="auto"/>
                <w:spacing w:val="6"/>
                <w:szCs w:val="21"/>
                <w:highlight w:val="none"/>
              </w:rPr>
              <w:t>在上传时认真检查上传投标文件是否完整、正确。</w:t>
            </w:r>
          </w:p>
          <w:p w14:paraId="4D5A672A">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（2）投标</w:t>
            </w:r>
            <w:r>
              <w:rPr>
                <w:rFonts w:hint="eastAsia" w:ascii="宋体" w:hAnsi="宋体" w:eastAsia="宋体" w:cs="宋体"/>
                <w:color w:val="auto"/>
                <w:spacing w:val="6"/>
                <w:szCs w:val="21"/>
                <w:highlight w:val="none"/>
                <w:lang w:val="en-US" w:eastAsia="zh-CN"/>
              </w:rPr>
              <w:t>人</w:t>
            </w:r>
            <w:r>
              <w:rPr>
                <w:rFonts w:hint="eastAsia" w:ascii="宋体" w:hAnsi="宋体" w:eastAsia="宋体" w:cs="宋体"/>
                <w:color w:val="auto"/>
                <w:spacing w:val="6"/>
                <w:szCs w:val="21"/>
                <w:highlight w:val="none"/>
              </w:rPr>
              <w:t>因交易中心投标系统问题无法上传电子投标文件时，请在工作时间与河南省公共资源交易中心联系，联系电话：0371-61335566，新点技术服务联系电话：400-998-0000,0371-65915501。</w:t>
            </w:r>
          </w:p>
        </w:tc>
      </w:tr>
      <w:tr w14:paraId="6EB8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7F1B5949">
            <w:pPr>
              <w:pStyle w:val="112"/>
              <w:spacing w:line="320" w:lineRule="exact"/>
              <w:ind w:firstLine="0"/>
              <w:jc w:val="center"/>
              <w:rPr>
                <w:rFonts w:hint="eastAsia" w:ascii="宋体" w:hAnsi="宋体" w:eastAsia="宋体" w:cs="宋体"/>
                <w:color w:val="auto"/>
                <w:spacing w:val="6"/>
                <w:szCs w:val="21"/>
                <w:highlight w:val="none"/>
                <w:lang w:eastAsia="zh-CN"/>
              </w:rPr>
            </w:pPr>
            <w:r>
              <w:rPr>
                <w:rFonts w:hint="eastAsia" w:ascii="宋体" w:hAnsi="宋体" w:eastAsia="宋体" w:cs="宋体"/>
                <w:color w:val="auto"/>
                <w:spacing w:val="6"/>
                <w:szCs w:val="21"/>
                <w:highlight w:val="none"/>
              </w:rPr>
              <w:t>4.2.</w:t>
            </w:r>
            <w:r>
              <w:rPr>
                <w:rFonts w:hint="eastAsia" w:ascii="宋体" w:hAnsi="宋体" w:eastAsia="宋体" w:cs="宋体"/>
                <w:color w:val="auto"/>
                <w:spacing w:val="6"/>
                <w:szCs w:val="21"/>
                <w:highlight w:val="none"/>
                <w:lang w:val="en-US" w:eastAsia="zh-CN"/>
              </w:rPr>
              <w:t>2</w:t>
            </w:r>
          </w:p>
        </w:tc>
        <w:tc>
          <w:tcPr>
            <w:tcW w:w="3053" w:type="dxa"/>
            <w:tcBorders>
              <w:top w:val="single" w:color="auto" w:sz="4" w:space="0"/>
              <w:left w:val="single" w:color="auto" w:sz="4" w:space="0"/>
              <w:bottom w:val="single" w:color="auto" w:sz="4" w:space="0"/>
              <w:right w:val="single" w:color="auto" w:sz="4" w:space="0"/>
            </w:tcBorders>
            <w:vAlign w:val="center"/>
          </w:tcPr>
          <w:p w14:paraId="478CCEAD">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投标文件是否退还</w:t>
            </w:r>
          </w:p>
        </w:tc>
        <w:tc>
          <w:tcPr>
            <w:tcW w:w="6302" w:type="dxa"/>
            <w:tcBorders>
              <w:top w:val="single" w:color="auto" w:sz="4" w:space="0"/>
              <w:left w:val="single" w:color="auto" w:sz="4" w:space="0"/>
              <w:bottom w:val="single" w:color="auto" w:sz="4" w:space="0"/>
              <w:right w:val="single" w:color="auto" w:sz="4" w:space="0"/>
            </w:tcBorders>
            <w:vAlign w:val="center"/>
          </w:tcPr>
          <w:p w14:paraId="2380F78E">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否</w:t>
            </w:r>
          </w:p>
        </w:tc>
      </w:tr>
      <w:tr w14:paraId="16F4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1D65B901">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5.1</w:t>
            </w:r>
          </w:p>
        </w:tc>
        <w:tc>
          <w:tcPr>
            <w:tcW w:w="3053" w:type="dxa"/>
            <w:tcBorders>
              <w:top w:val="single" w:color="auto" w:sz="4" w:space="0"/>
              <w:left w:val="single" w:color="auto" w:sz="4" w:space="0"/>
              <w:bottom w:val="single" w:color="auto" w:sz="4" w:space="0"/>
              <w:right w:val="single" w:color="auto" w:sz="4" w:space="0"/>
            </w:tcBorders>
            <w:vAlign w:val="center"/>
          </w:tcPr>
          <w:p w14:paraId="3ED78DD5">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开标时间和地点</w:t>
            </w:r>
          </w:p>
        </w:tc>
        <w:tc>
          <w:tcPr>
            <w:tcW w:w="6302" w:type="dxa"/>
            <w:tcBorders>
              <w:top w:val="single" w:color="auto" w:sz="4" w:space="0"/>
              <w:left w:val="single" w:color="auto" w:sz="4" w:space="0"/>
              <w:bottom w:val="single" w:color="auto" w:sz="4" w:space="0"/>
              <w:right w:val="single" w:color="auto" w:sz="4" w:space="0"/>
            </w:tcBorders>
            <w:vAlign w:val="center"/>
          </w:tcPr>
          <w:p w14:paraId="52B6ACDF">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本项目采用“远程不见面”开标方式开标，远程开标大厅网址为</w:t>
            </w:r>
            <w:r>
              <w:rPr>
                <w:rFonts w:hint="eastAsia" w:ascii="Times New Roman" w:hAnsi="Times New Roman" w:eastAsiaTheme="minorEastAsia"/>
                <w:spacing w:val="6"/>
                <w:sz w:val="21"/>
                <w:szCs w:val="21"/>
              </w:rPr>
              <w:t>http://hnsggzyjy.henan.gov.cn/BidOpening/bidopeninghallaction/hall/login</w:t>
            </w:r>
            <w:r>
              <w:rPr>
                <w:rFonts w:hint="eastAsia" w:ascii="宋体" w:hAnsi="宋体" w:eastAsia="宋体" w:cs="宋体"/>
                <w:color w:val="auto"/>
                <w:spacing w:val="6"/>
                <w:szCs w:val="21"/>
                <w:highlight w:val="none"/>
              </w:rPr>
              <w:t>，投标</w:t>
            </w:r>
            <w:r>
              <w:rPr>
                <w:rFonts w:hint="eastAsia" w:ascii="宋体" w:hAnsi="宋体" w:eastAsia="宋体" w:cs="宋体"/>
                <w:color w:val="auto"/>
                <w:spacing w:val="6"/>
                <w:szCs w:val="21"/>
                <w:highlight w:val="none"/>
                <w:lang w:val="en-US" w:eastAsia="zh-CN"/>
              </w:rPr>
              <w:t>人</w:t>
            </w:r>
            <w:r>
              <w:rPr>
                <w:rFonts w:hint="eastAsia" w:ascii="宋体" w:hAnsi="宋体" w:eastAsia="宋体" w:cs="宋体"/>
                <w:color w:val="auto"/>
                <w:spacing w:val="6"/>
                <w:szCs w:val="21"/>
                <w:highlight w:val="none"/>
              </w:rPr>
              <w:t>无需到河南省公共资源交易中心现场参加开标会议，无需到达现场提交原件资料。投标</w:t>
            </w:r>
            <w:r>
              <w:rPr>
                <w:rFonts w:hint="eastAsia" w:ascii="宋体" w:hAnsi="宋体" w:eastAsia="宋体" w:cs="宋体"/>
                <w:color w:val="auto"/>
                <w:spacing w:val="6"/>
                <w:szCs w:val="21"/>
                <w:highlight w:val="none"/>
                <w:lang w:val="en-US" w:eastAsia="zh-CN"/>
              </w:rPr>
              <w:t>人</w:t>
            </w:r>
            <w:r>
              <w:rPr>
                <w:rFonts w:hint="eastAsia" w:ascii="宋体" w:hAnsi="宋体" w:eastAsia="宋体" w:cs="宋体"/>
                <w:color w:val="auto"/>
                <w:spacing w:val="6"/>
                <w:szCs w:val="21"/>
                <w:highlight w:val="none"/>
              </w:rPr>
              <w:t>应在投标截止时间前，登录远程开标大厅，在线准时参加开标活动并进行文件解密等。</w:t>
            </w:r>
          </w:p>
        </w:tc>
      </w:tr>
      <w:tr w14:paraId="2213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29E6360D">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5.2</w:t>
            </w:r>
          </w:p>
        </w:tc>
        <w:tc>
          <w:tcPr>
            <w:tcW w:w="3053" w:type="dxa"/>
            <w:tcBorders>
              <w:top w:val="single" w:color="auto" w:sz="4" w:space="0"/>
              <w:left w:val="single" w:color="auto" w:sz="4" w:space="0"/>
              <w:bottom w:val="single" w:color="auto" w:sz="4" w:space="0"/>
              <w:right w:val="single" w:color="auto" w:sz="4" w:space="0"/>
            </w:tcBorders>
            <w:vAlign w:val="center"/>
          </w:tcPr>
          <w:p w14:paraId="12FB6AFA">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开标程序</w:t>
            </w:r>
          </w:p>
        </w:tc>
        <w:tc>
          <w:tcPr>
            <w:tcW w:w="6302" w:type="dxa"/>
            <w:tcBorders>
              <w:top w:val="single" w:color="auto" w:sz="4" w:space="0"/>
              <w:left w:val="single" w:color="auto" w:sz="4" w:space="0"/>
              <w:bottom w:val="single" w:color="auto" w:sz="4" w:space="0"/>
              <w:right w:val="single" w:color="auto" w:sz="4" w:space="0"/>
            </w:tcBorders>
            <w:vAlign w:val="center"/>
          </w:tcPr>
          <w:p w14:paraId="2AAE2134">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本项目采用远程电子开标，投标</w:t>
            </w:r>
            <w:r>
              <w:rPr>
                <w:rFonts w:hint="eastAsia" w:ascii="宋体" w:hAnsi="宋体" w:eastAsia="宋体" w:cs="宋体"/>
                <w:color w:val="auto"/>
                <w:spacing w:val="6"/>
                <w:szCs w:val="21"/>
                <w:highlight w:val="none"/>
                <w:lang w:val="en-US" w:eastAsia="zh-CN"/>
              </w:rPr>
              <w:t>人</w:t>
            </w:r>
            <w:r>
              <w:rPr>
                <w:rFonts w:hint="eastAsia" w:ascii="宋体" w:hAnsi="宋体" w:eastAsia="宋体" w:cs="宋体"/>
                <w:color w:val="auto"/>
                <w:spacing w:val="6"/>
                <w:szCs w:val="21"/>
                <w:highlight w:val="none"/>
              </w:rPr>
              <w:t>须在投标截止时间前登录远程开标大厅，在线准时参加开标活动并进行文件解密等。</w:t>
            </w:r>
          </w:p>
        </w:tc>
      </w:tr>
      <w:tr w14:paraId="4B28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2D99ED7D">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5.3</w:t>
            </w:r>
          </w:p>
        </w:tc>
        <w:tc>
          <w:tcPr>
            <w:tcW w:w="3053" w:type="dxa"/>
            <w:tcBorders>
              <w:top w:val="single" w:color="auto" w:sz="4" w:space="0"/>
              <w:left w:val="single" w:color="auto" w:sz="4" w:space="0"/>
              <w:bottom w:val="single" w:color="auto" w:sz="4" w:space="0"/>
              <w:right w:val="single" w:color="auto" w:sz="4" w:space="0"/>
            </w:tcBorders>
            <w:vAlign w:val="center"/>
          </w:tcPr>
          <w:p w14:paraId="4875CC92">
            <w:pPr>
              <w:pStyle w:val="112"/>
              <w:spacing w:line="320" w:lineRule="exact"/>
              <w:ind w:firstLine="0"/>
              <w:jc w:val="center"/>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rPr>
              <w:t>开标疑义</w:t>
            </w:r>
          </w:p>
        </w:tc>
        <w:tc>
          <w:tcPr>
            <w:tcW w:w="6302" w:type="dxa"/>
            <w:tcBorders>
              <w:top w:val="single" w:color="auto" w:sz="4" w:space="0"/>
              <w:left w:val="single" w:color="auto" w:sz="4" w:space="0"/>
              <w:bottom w:val="single" w:color="auto" w:sz="4" w:space="0"/>
              <w:right w:val="single" w:color="auto" w:sz="4" w:space="0"/>
            </w:tcBorders>
            <w:vAlign w:val="center"/>
          </w:tcPr>
          <w:p w14:paraId="09F53CE0">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投标人对开标过程有</w:t>
            </w:r>
            <w:r>
              <w:rPr>
                <w:rFonts w:hint="eastAsia" w:ascii="宋体" w:hAnsi="宋体" w:eastAsia="宋体" w:cs="宋体"/>
                <w:color w:val="auto"/>
                <w:spacing w:val="6"/>
                <w:szCs w:val="21"/>
                <w:highlight w:val="none"/>
                <w:lang w:val="en-US" w:eastAsia="zh-CN"/>
              </w:rPr>
              <w:t>疑义</w:t>
            </w:r>
            <w:r>
              <w:rPr>
                <w:rFonts w:hint="eastAsia" w:ascii="宋体" w:hAnsi="宋体" w:eastAsia="宋体" w:cs="宋体"/>
                <w:color w:val="auto"/>
                <w:spacing w:val="6"/>
                <w:szCs w:val="21"/>
                <w:highlight w:val="none"/>
              </w:rPr>
              <w:t>的，可在系统规定的时间内提出（在代理机构批量导入投标文件后，投标单位可以查看唱标项内容，同时进入5分钟质疑期。提示：超过5分钟，仍未签章提交</w:t>
            </w:r>
            <w:r>
              <w:rPr>
                <w:rFonts w:hint="eastAsia" w:ascii="宋体" w:hAnsi="宋体" w:eastAsia="宋体" w:cs="宋体"/>
                <w:color w:val="auto"/>
                <w:spacing w:val="6"/>
                <w:szCs w:val="21"/>
                <w:highlight w:val="none"/>
                <w:lang w:val="en-US" w:eastAsia="zh-CN"/>
              </w:rPr>
              <w:t>疑义</w:t>
            </w:r>
            <w:r>
              <w:rPr>
                <w:rFonts w:hint="eastAsia" w:ascii="宋体" w:hAnsi="宋体" w:eastAsia="宋体" w:cs="宋体"/>
                <w:color w:val="auto"/>
                <w:spacing w:val="6"/>
                <w:szCs w:val="21"/>
                <w:highlight w:val="none"/>
              </w:rPr>
              <w:t>，则视为无</w:t>
            </w:r>
            <w:r>
              <w:rPr>
                <w:rFonts w:hint="eastAsia" w:ascii="宋体" w:hAnsi="宋体" w:eastAsia="宋体" w:cs="宋体"/>
                <w:color w:val="auto"/>
                <w:spacing w:val="6"/>
                <w:szCs w:val="21"/>
                <w:highlight w:val="none"/>
                <w:lang w:val="en-US" w:eastAsia="zh-CN"/>
              </w:rPr>
              <w:t>疑义。</w:t>
            </w:r>
            <w:r>
              <w:rPr>
                <w:rFonts w:hint="eastAsia" w:ascii="宋体" w:hAnsi="宋体" w:eastAsia="宋体" w:cs="宋体"/>
                <w:color w:val="auto"/>
                <w:spacing w:val="6"/>
                <w:szCs w:val="21"/>
                <w:highlight w:val="none"/>
              </w:rPr>
              <w:t>）</w:t>
            </w:r>
          </w:p>
        </w:tc>
      </w:tr>
      <w:tr w14:paraId="26CD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3502BAE3">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6.1.1</w:t>
            </w:r>
          </w:p>
        </w:tc>
        <w:tc>
          <w:tcPr>
            <w:tcW w:w="3053" w:type="dxa"/>
            <w:tcBorders>
              <w:top w:val="single" w:color="auto" w:sz="4" w:space="0"/>
              <w:left w:val="single" w:color="auto" w:sz="4" w:space="0"/>
              <w:bottom w:val="single" w:color="auto" w:sz="4" w:space="0"/>
              <w:right w:val="single" w:color="auto" w:sz="4" w:space="0"/>
            </w:tcBorders>
            <w:vAlign w:val="center"/>
          </w:tcPr>
          <w:p w14:paraId="7647B658">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评标委员会的组建</w:t>
            </w:r>
          </w:p>
        </w:tc>
        <w:tc>
          <w:tcPr>
            <w:tcW w:w="6302" w:type="dxa"/>
            <w:tcBorders>
              <w:top w:val="single" w:color="auto" w:sz="4" w:space="0"/>
              <w:left w:val="single" w:color="auto" w:sz="4" w:space="0"/>
              <w:bottom w:val="single" w:color="auto" w:sz="4" w:space="0"/>
              <w:right w:val="single" w:color="auto" w:sz="4" w:space="0"/>
            </w:tcBorders>
            <w:vAlign w:val="center"/>
          </w:tcPr>
          <w:p w14:paraId="310C1DBF">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评标委员会构成：7人，其中</w:t>
            </w:r>
            <w:r>
              <w:rPr>
                <w:rFonts w:hint="eastAsia" w:ascii="宋体" w:hAnsi="宋体" w:eastAsia="宋体" w:cs="宋体"/>
                <w:color w:val="auto"/>
                <w:spacing w:val="6"/>
                <w:szCs w:val="21"/>
                <w:highlight w:val="none"/>
                <w:lang w:eastAsia="zh-CN"/>
              </w:rPr>
              <w:t>采购人</w:t>
            </w:r>
            <w:r>
              <w:rPr>
                <w:rFonts w:hint="eastAsia" w:ascii="宋体" w:hAnsi="宋体" w:eastAsia="宋体" w:cs="宋体"/>
                <w:color w:val="auto"/>
                <w:spacing w:val="6"/>
                <w:szCs w:val="21"/>
                <w:highlight w:val="none"/>
              </w:rPr>
              <w:t>代表2人，专家5人。</w:t>
            </w:r>
          </w:p>
          <w:p w14:paraId="7D929643">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专家确定方式：从河南省</w:t>
            </w:r>
            <w:r>
              <w:rPr>
                <w:rFonts w:hint="eastAsia" w:ascii="宋体" w:hAnsi="宋体" w:eastAsia="宋体" w:cs="宋体"/>
                <w:color w:val="auto"/>
                <w:spacing w:val="6"/>
                <w:szCs w:val="21"/>
                <w:highlight w:val="none"/>
                <w:lang w:val="en-US" w:eastAsia="zh-CN"/>
              </w:rPr>
              <w:t>政府采购</w:t>
            </w:r>
            <w:r>
              <w:rPr>
                <w:rFonts w:hint="eastAsia" w:ascii="宋体" w:hAnsi="宋体" w:eastAsia="宋体" w:cs="宋体"/>
                <w:color w:val="auto"/>
                <w:spacing w:val="6"/>
                <w:szCs w:val="21"/>
                <w:highlight w:val="none"/>
              </w:rPr>
              <w:t>专家库中随机抽取。</w:t>
            </w:r>
          </w:p>
        </w:tc>
      </w:tr>
      <w:tr w14:paraId="27507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531DA934">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6.3.2</w:t>
            </w:r>
          </w:p>
        </w:tc>
        <w:tc>
          <w:tcPr>
            <w:tcW w:w="3053" w:type="dxa"/>
            <w:tcBorders>
              <w:top w:val="single" w:color="auto" w:sz="4" w:space="0"/>
              <w:left w:val="single" w:color="auto" w:sz="4" w:space="0"/>
              <w:bottom w:val="single" w:color="auto" w:sz="4" w:space="0"/>
              <w:right w:val="single" w:color="auto" w:sz="4" w:space="0"/>
            </w:tcBorders>
            <w:vAlign w:val="center"/>
          </w:tcPr>
          <w:p w14:paraId="09B8F83F">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推荐中标候选人的数量</w:t>
            </w:r>
          </w:p>
        </w:tc>
        <w:tc>
          <w:tcPr>
            <w:tcW w:w="6302" w:type="dxa"/>
            <w:tcBorders>
              <w:top w:val="single" w:color="auto" w:sz="4" w:space="0"/>
              <w:left w:val="single" w:color="auto" w:sz="4" w:space="0"/>
              <w:bottom w:val="single" w:color="auto" w:sz="4" w:space="0"/>
              <w:right w:val="single" w:color="auto" w:sz="4" w:space="0"/>
            </w:tcBorders>
            <w:vAlign w:val="center"/>
          </w:tcPr>
          <w:p w14:paraId="4AC2916F">
            <w:pPr>
              <w:pStyle w:val="112"/>
              <w:spacing w:line="320" w:lineRule="exact"/>
              <w:ind w:firstLine="0"/>
              <w:jc w:val="left"/>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rPr>
              <w:t>3名</w:t>
            </w:r>
          </w:p>
        </w:tc>
      </w:tr>
      <w:tr w14:paraId="4151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6DE5A0A6">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7.1.1</w:t>
            </w:r>
          </w:p>
        </w:tc>
        <w:tc>
          <w:tcPr>
            <w:tcW w:w="3053" w:type="dxa"/>
            <w:tcBorders>
              <w:top w:val="single" w:color="auto" w:sz="4" w:space="0"/>
              <w:left w:val="single" w:color="auto" w:sz="4" w:space="0"/>
              <w:bottom w:val="single" w:color="auto" w:sz="4" w:space="0"/>
              <w:right w:val="single" w:color="auto" w:sz="4" w:space="0"/>
            </w:tcBorders>
            <w:vAlign w:val="center"/>
          </w:tcPr>
          <w:p w14:paraId="2D34DB1F">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是否授权评标委员会确定中标人</w:t>
            </w:r>
          </w:p>
        </w:tc>
        <w:tc>
          <w:tcPr>
            <w:tcW w:w="6302" w:type="dxa"/>
            <w:tcBorders>
              <w:top w:val="single" w:color="auto" w:sz="4" w:space="0"/>
              <w:left w:val="single" w:color="auto" w:sz="4" w:space="0"/>
              <w:bottom w:val="single" w:color="auto" w:sz="4" w:space="0"/>
              <w:right w:val="single" w:color="auto" w:sz="4" w:space="0"/>
            </w:tcBorders>
            <w:vAlign w:val="center"/>
          </w:tcPr>
          <w:p w14:paraId="66524A49">
            <w:pPr>
              <w:pStyle w:val="112"/>
              <w:spacing w:line="320" w:lineRule="exact"/>
              <w:ind w:firstLine="0"/>
              <w:jc w:val="left"/>
              <w:rPr>
                <w:rFonts w:hint="eastAsia" w:ascii="宋体" w:hAnsi="宋体" w:eastAsia="宋体" w:cs="宋体"/>
                <w:color w:val="auto"/>
                <w:spacing w:val="6"/>
                <w:szCs w:val="21"/>
                <w:highlight w:val="none"/>
                <w:lang w:eastAsia="zh-CN"/>
              </w:rPr>
            </w:pPr>
            <w:r>
              <w:rPr>
                <w:rFonts w:hint="eastAsia" w:ascii="宋体" w:hAnsi="宋体" w:eastAsia="宋体" w:cs="宋体"/>
                <w:color w:val="auto"/>
                <w:spacing w:val="6"/>
                <w:szCs w:val="21"/>
                <w:highlight w:val="none"/>
                <w:lang w:val="en-US" w:eastAsia="zh-CN"/>
              </w:rPr>
              <w:t>是</w:t>
            </w:r>
          </w:p>
        </w:tc>
      </w:tr>
      <w:tr w14:paraId="59F0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3C91EF2C">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7.1.2</w:t>
            </w:r>
          </w:p>
        </w:tc>
        <w:tc>
          <w:tcPr>
            <w:tcW w:w="3053" w:type="dxa"/>
            <w:tcBorders>
              <w:top w:val="single" w:color="auto" w:sz="4" w:space="0"/>
              <w:left w:val="single" w:color="auto" w:sz="4" w:space="0"/>
              <w:bottom w:val="single" w:color="auto" w:sz="4" w:space="0"/>
              <w:right w:val="single" w:color="auto" w:sz="4" w:space="0"/>
            </w:tcBorders>
            <w:vAlign w:val="center"/>
          </w:tcPr>
          <w:p w14:paraId="35AD6F10">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定标原则</w:t>
            </w:r>
          </w:p>
        </w:tc>
        <w:tc>
          <w:tcPr>
            <w:tcW w:w="6302" w:type="dxa"/>
            <w:tcBorders>
              <w:top w:val="single" w:color="auto" w:sz="4" w:space="0"/>
              <w:left w:val="single" w:color="auto" w:sz="4" w:space="0"/>
              <w:bottom w:val="single" w:color="auto" w:sz="4" w:space="0"/>
              <w:right w:val="single" w:color="auto" w:sz="4" w:space="0"/>
            </w:tcBorders>
            <w:vAlign w:val="center"/>
          </w:tcPr>
          <w:p w14:paraId="04D7D149">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评标委员会根据评标排列顺序推荐前三名为中标候选人，并确定第一名为中标人。如评审得分相同的，按照投标报价由低到高的顺序推荐；如评审得分与投标报价均相同的，按照技术标得分由高到低顺序推荐；若评审得分、投标报价、技术标得分均相同的，则由采购人代表自主决定中标人</w:t>
            </w:r>
            <w:r>
              <w:rPr>
                <w:rFonts w:hint="eastAsia" w:ascii="宋体" w:hAnsi="宋体" w:eastAsia="宋体" w:cs="宋体"/>
                <w:color w:val="auto"/>
                <w:spacing w:val="6"/>
                <w:szCs w:val="21"/>
                <w:highlight w:val="none"/>
                <w:lang w:val="en-US" w:eastAsia="zh-CN"/>
              </w:rPr>
              <w:t>及中标候选人排名</w:t>
            </w:r>
            <w:r>
              <w:rPr>
                <w:rFonts w:hint="eastAsia" w:ascii="宋体" w:hAnsi="宋体" w:eastAsia="宋体" w:cs="宋体"/>
                <w:color w:val="auto"/>
                <w:spacing w:val="6"/>
                <w:szCs w:val="21"/>
                <w:highlight w:val="none"/>
              </w:rPr>
              <w:t>。</w:t>
            </w:r>
          </w:p>
        </w:tc>
      </w:tr>
      <w:tr w14:paraId="3674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1B7DF1AD">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7.2</w:t>
            </w:r>
          </w:p>
        </w:tc>
        <w:tc>
          <w:tcPr>
            <w:tcW w:w="3053" w:type="dxa"/>
            <w:tcBorders>
              <w:top w:val="single" w:color="auto" w:sz="4" w:space="0"/>
              <w:left w:val="single" w:color="auto" w:sz="4" w:space="0"/>
              <w:bottom w:val="single" w:color="auto" w:sz="4" w:space="0"/>
              <w:right w:val="single" w:color="auto" w:sz="4" w:space="0"/>
            </w:tcBorders>
            <w:vAlign w:val="center"/>
          </w:tcPr>
          <w:p w14:paraId="5E002117">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中标结果公布媒介及期限</w:t>
            </w:r>
          </w:p>
        </w:tc>
        <w:tc>
          <w:tcPr>
            <w:tcW w:w="6302" w:type="dxa"/>
            <w:tcBorders>
              <w:top w:val="single" w:color="auto" w:sz="4" w:space="0"/>
              <w:left w:val="single" w:color="auto" w:sz="4" w:space="0"/>
              <w:bottom w:val="single" w:color="auto" w:sz="4" w:space="0"/>
              <w:right w:val="single" w:color="auto" w:sz="4" w:space="0"/>
            </w:tcBorders>
            <w:vAlign w:val="center"/>
          </w:tcPr>
          <w:p w14:paraId="0E08B4B1">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公布媒介：《河南省政府采购网》《河南省公共资源交易中心网》及《河南科技大学第一附属医院</w:t>
            </w:r>
            <w:r>
              <w:rPr>
                <w:rFonts w:hint="eastAsia" w:ascii="宋体" w:hAnsi="宋体" w:eastAsia="宋体" w:cs="宋体"/>
                <w:color w:val="auto"/>
                <w:spacing w:val="6"/>
                <w:szCs w:val="21"/>
                <w:highlight w:val="none"/>
                <w:lang w:val="en-US" w:eastAsia="zh-CN"/>
              </w:rPr>
              <w:t>官</w:t>
            </w:r>
            <w:r>
              <w:rPr>
                <w:rFonts w:hint="eastAsia" w:ascii="宋体" w:hAnsi="宋体" w:eastAsia="宋体" w:cs="宋体"/>
                <w:color w:val="auto"/>
                <w:spacing w:val="6"/>
                <w:szCs w:val="21"/>
                <w:highlight w:val="none"/>
              </w:rPr>
              <w:t>网》上公布。</w:t>
            </w:r>
          </w:p>
          <w:p w14:paraId="1AE2E3F2">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公告期限：1个工作日。</w:t>
            </w:r>
          </w:p>
        </w:tc>
      </w:tr>
      <w:tr w14:paraId="624B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07A86A62">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7.4.1</w:t>
            </w:r>
          </w:p>
        </w:tc>
        <w:tc>
          <w:tcPr>
            <w:tcW w:w="3053" w:type="dxa"/>
            <w:tcBorders>
              <w:top w:val="single" w:color="auto" w:sz="4" w:space="0"/>
              <w:left w:val="single" w:color="auto" w:sz="4" w:space="0"/>
              <w:bottom w:val="single" w:color="auto" w:sz="4" w:space="0"/>
              <w:right w:val="single" w:color="auto" w:sz="4" w:space="0"/>
            </w:tcBorders>
            <w:vAlign w:val="center"/>
          </w:tcPr>
          <w:p w14:paraId="1E948B2E">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履约保证金</w:t>
            </w:r>
          </w:p>
        </w:tc>
        <w:tc>
          <w:tcPr>
            <w:tcW w:w="6302" w:type="dxa"/>
            <w:tcBorders>
              <w:top w:val="single" w:color="auto" w:sz="4" w:space="0"/>
              <w:left w:val="single" w:color="auto" w:sz="4" w:space="0"/>
              <w:bottom w:val="single" w:color="auto" w:sz="4" w:space="0"/>
              <w:right w:val="single" w:color="auto" w:sz="4" w:space="0"/>
            </w:tcBorders>
            <w:vAlign w:val="center"/>
          </w:tcPr>
          <w:p w14:paraId="4FEAF84E">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本次招标免收履约保证金。</w:t>
            </w:r>
          </w:p>
        </w:tc>
      </w:tr>
      <w:tr w14:paraId="4243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75291AD8">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8.5.2</w:t>
            </w:r>
          </w:p>
        </w:tc>
        <w:tc>
          <w:tcPr>
            <w:tcW w:w="3053" w:type="dxa"/>
            <w:tcBorders>
              <w:top w:val="single" w:color="auto" w:sz="4" w:space="0"/>
              <w:left w:val="single" w:color="auto" w:sz="4" w:space="0"/>
              <w:bottom w:val="single" w:color="auto" w:sz="4" w:space="0"/>
              <w:right w:val="single" w:color="auto" w:sz="4" w:space="0"/>
            </w:tcBorders>
            <w:vAlign w:val="center"/>
          </w:tcPr>
          <w:p w14:paraId="4EF55ECC">
            <w:pPr>
              <w:pStyle w:val="112"/>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质疑函的递交方式</w:t>
            </w:r>
          </w:p>
        </w:tc>
        <w:tc>
          <w:tcPr>
            <w:tcW w:w="6302" w:type="dxa"/>
            <w:tcBorders>
              <w:top w:val="single" w:color="auto" w:sz="4" w:space="0"/>
              <w:left w:val="single" w:color="auto" w:sz="4" w:space="0"/>
              <w:bottom w:val="single" w:color="auto" w:sz="4" w:space="0"/>
              <w:right w:val="single" w:color="auto" w:sz="4" w:space="0"/>
            </w:tcBorders>
            <w:vAlign w:val="center"/>
          </w:tcPr>
          <w:p w14:paraId="2BE48E45">
            <w:pPr>
              <w:pStyle w:val="112"/>
              <w:spacing w:line="320" w:lineRule="exact"/>
              <w:ind w:firstLine="0"/>
              <w:jc w:val="left"/>
              <w:rPr>
                <w:rFonts w:hint="eastAsia" w:ascii="宋体" w:hAnsi="宋体" w:eastAsia="宋体" w:cs="宋体"/>
                <w:color w:val="auto"/>
                <w:spacing w:val="6"/>
                <w:szCs w:val="21"/>
                <w:highlight w:val="none"/>
              </w:rPr>
            </w:pPr>
            <w:r>
              <w:rPr>
                <w:rFonts w:hint="eastAsia" w:ascii="Times New Roman" w:hAnsi="Times New Roman" w:eastAsiaTheme="minorEastAsia"/>
                <w:spacing w:val="6"/>
                <w:szCs w:val="21"/>
              </w:rPr>
              <w:t>通过“</w:t>
            </w:r>
            <w:r>
              <w:rPr>
                <w:rFonts w:hint="eastAsia" w:ascii="Times New Roman" w:hAnsi="Times New Roman" w:eastAsiaTheme="minorEastAsia"/>
                <w:spacing w:val="6"/>
                <w:szCs w:val="21"/>
                <w:lang w:val="en-US" w:eastAsia="zh-CN"/>
              </w:rPr>
              <w:t>河南省</w:t>
            </w:r>
            <w:r>
              <w:rPr>
                <w:rFonts w:hint="eastAsia" w:ascii="Times New Roman" w:hAnsi="Times New Roman" w:eastAsiaTheme="minorEastAsia"/>
                <w:spacing w:val="6"/>
                <w:szCs w:val="21"/>
              </w:rPr>
              <w:t>公共资源交易平台”在线提出</w:t>
            </w:r>
            <w:r>
              <w:rPr>
                <w:rFonts w:hint="eastAsia" w:ascii="Times New Roman" w:hAnsi="Times New Roman" w:eastAsiaTheme="minorEastAsia"/>
                <w:spacing w:val="6"/>
                <w:sz w:val="21"/>
                <w:szCs w:val="21"/>
              </w:rPr>
              <w:t>；因情况特殊而邮寄的，邮寄前应通知采购人、采购代理机构。接受质疑函的采购人、采购代理机构的联系部门、联系电话和通讯地址详见本项目招标公告。</w:t>
            </w:r>
          </w:p>
        </w:tc>
      </w:tr>
      <w:tr w14:paraId="0F55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070F538E">
            <w:pPr>
              <w:pStyle w:val="112"/>
              <w:spacing w:line="320" w:lineRule="exact"/>
              <w:ind w:firstLine="0"/>
              <w:jc w:val="center"/>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t>9</w:t>
            </w:r>
          </w:p>
        </w:tc>
        <w:tc>
          <w:tcPr>
            <w:tcW w:w="3053" w:type="dxa"/>
            <w:tcBorders>
              <w:top w:val="single" w:color="auto" w:sz="4" w:space="0"/>
              <w:left w:val="single" w:color="auto" w:sz="4" w:space="0"/>
              <w:bottom w:val="single" w:color="auto" w:sz="4" w:space="0"/>
              <w:right w:val="single" w:color="auto" w:sz="4" w:space="0"/>
            </w:tcBorders>
            <w:vAlign w:val="center"/>
          </w:tcPr>
          <w:p w14:paraId="4154A92D">
            <w:pPr>
              <w:pStyle w:val="113"/>
              <w:spacing w:line="320" w:lineRule="exact"/>
              <w:ind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投标人信用查询</w:t>
            </w:r>
          </w:p>
        </w:tc>
        <w:tc>
          <w:tcPr>
            <w:tcW w:w="6302" w:type="dxa"/>
            <w:tcBorders>
              <w:top w:val="single" w:color="auto" w:sz="4" w:space="0"/>
              <w:left w:val="single" w:color="auto" w:sz="4" w:space="0"/>
              <w:bottom w:val="single" w:color="auto" w:sz="4" w:space="0"/>
              <w:right w:val="single" w:color="auto" w:sz="4" w:space="0"/>
            </w:tcBorders>
            <w:vAlign w:val="center"/>
          </w:tcPr>
          <w:p w14:paraId="7A2199FC">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根据财库【2016】125号文的要求，</w:t>
            </w:r>
            <w:r>
              <w:rPr>
                <w:rFonts w:hint="eastAsia" w:ascii="宋体" w:hAnsi="宋体" w:eastAsia="宋体" w:cs="宋体"/>
                <w:color w:val="auto"/>
                <w:spacing w:val="6"/>
                <w:szCs w:val="21"/>
                <w:highlight w:val="none"/>
                <w:lang w:eastAsia="zh-CN"/>
              </w:rPr>
              <w:t>采购人</w:t>
            </w:r>
            <w:r>
              <w:rPr>
                <w:rFonts w:hint="eastAsia" w:ascii="宋体" w:hAnsi="宋体" w:eastAsia="宋体" w:cs="宋体"/>
                <w:color w:val="auto"/>
                <w:spacing w:val="6"/>
                <w:szCs w:val="21"/>
                <w:highlight w:val="none"/>
              </w:rPr>
              <w:t>或招标代理机构将查询投标</w:t>
            </w:r>
            <w:r>
              <w:rPr>
                <w:rFonts w:hint="eastAsia" w:ascii="宋体" w:hAnsi="宋体" w:eastAsia="宋体" w:cs="宋体"/>
                <w:color w:val="auto"/>
                <w:spacing w:val="6"/>
                <w:szCs w:val="21"/>
                <w:highlight w:val="none"/>
                <w:lang w:val="en-US" w:eastAsia="zh-CN"/>
              </w:rPr>
              <w:t>人</w:t>
            </w:r>
            <w:r>
              <w:rPr>
                <w:rFonts w:hint="eastAsia" w:ascii="宋体" w:hAnsi="宋体" w:eastAsia="宋体" w:cs="宋体"/>
                <w:color w:val="auto"/>
                <w:spacing w:val="6"/>
                <w:szCs w:val="21"/>
                <w:highlight w:val="none"/>
              </w:rPr>
              <w:t>信用记录。</w:t>
            </w:r>
          </w:p>
          <w:p w14:paraId="513CFCBA">
            <w:pPr>
              <w:pStyle w:val="112"/>
              <w:spacing w:line="320" w:lineRule="exact"/>
              <w:ind w:firstLine="0"/>
              <w:jc w:val="left"/>
              <w:rPr>
                <w:rFonts w:hint="eastAsia" w:ascii="宋体" w:hAnsi="宋体" w:eastAsia="宋体" w:cs="宋体"/>
                <w:b/>
                <w:bCs/>
                <w:color w:val="auto"/>
                <w:spacing w:val="6"/>
                <w:szCs w:val="21"/>
                <w:highlight w:val="none"/>
              </w:rPr>
            </w:pPr>
            <w:r>
              <w:rPr>
                <w:rFonts w:hint="eastAsia" w:ascii="宋体" w:hAnsi="宋体" w:eastAsia="宋体" w:cs="宋体"/>
                <w:b/>
                <w:bCs/>
                <w:color w:val="auto"/>
                <w:spacing w:val="6"/>
                <w:szCs w:val="21"/>
                <w:highlight w:val="none"/>
              </w:rPr>
              <w:t>（1）查询渠道：</w:t>
            </w:r>
          </w:p>
          <w:p w14:paraId="70A1ABC2">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通过“信用中国”网站查询失信被执行人</w:t>
            </w: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重大税收违法失信主体；</w:t>
            </w:r>
          </w:p>
          <w:p w14:paraId="6237A940">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通过“中国政府采购网”查询政府采购严重违法失信行为记录管理系统； </w:t>
            </w:r>
            <w:r>
              <w:rPr>
                <w:rFonts w:hint="eastAsia" w:ascii="宋体" w:hAnsi="宋体" w:eastAsia="宋体" w:cs="宋体"/>
                <w:color w:val="auto"/>
                <w:spacing w:val="6"/>
                <w:szCs w:val="21"/>
                <w:highlight w:val="none"/>
              </w:rPr>
              <w:cr/>
            </w:r>
            <w:r>
              <w:rPr>
                <w:rFonts w:hint="eastAsia" w:ascii="宋体" w:hAnsi="宋体" w:eastAsia="宋体" w:cs="宋体"/>
                <w:b/>
                <w:bCs/>
                <w:color w:val="auto"/>
                <w:spacing w:val="6"/>
                <w:szCs w:val="21"/>
                <w:highlight w:val="none"/>
              </w:rPr>
              <w:t>（2）信用信息查询时间：</w:t>
            </w:r>
            <w:r>
              <w:rPr>
                <w:rFonts w:hint="eastAsia" w:ascii="宋体" w:hAnsi="宋体" w:eastAsia="宋体" w:cs="宋体"/>
                <w:color w:val="auto"/>
                <w:spacing w:val="6"/>
                <w:szCs w:val="21"/>
                <w:highlight w:val="none"/>
              </w:rPr>
              <w:t>本项目投标截止之日，由</w:t>
            </w:r>
            <w:r>
              <w:rPr>
                <w:rFonts w:hint="eastAsia" w:ascii="宋体" w:hAnsi="宋体" w:eastAsia="宋体" w:cs="宋体"/>
                <w:color w:val="auto"/>
                <w:spacing w:val="6"/>
                <w:szCs w:val="21"/>
                <w:highlight w:val="none"/>
                <w:lang w:eastAsia="zh-CN"/>
              </w:rPr>
              <w:t>采购人</w:t>
            </w:r>
            <w:r>
              <w:rPr>
                <w:rFonts w:hint="eastAsia" w:ascii="宋体" w:hAnsi="宋体" w:eastAsia="宋体" w:cs="宋体"/>
                <w:color w:val="auto"/>
                <w:spacing w:val="6"/>
                <w:szCs w:val="21"/>
                <w:highlight w:val="none"/>
              </w:rPr>
              <w:t>代表或招标代理机构开标现场查询投标</w:t>
            </w:r>
            <w:r>
              <w:rPr>
                <w:rFonts w:hint="eastAsia" w:ascii="宋体" w:hAnsi="宋体" w:eastAsia="宋体" w:cs="宋体"/>
                <w:color w:val="auto"/>
                <w:spacing w:val="6"/>
                <w:szCs w:val="21"/>
                <w:highlight w:val="none"/>
                <w:lang w:val="en-US" w:eastAsia="zh-CN"/>
              </w:rPr>
              <w:t>人</w:t>
            </w:r>
            <w:r>
              <w:rPr>
                <w:rFonts w:hint="eastAsia" w:ascii="宋体" w:hAnsi="宋体" w:eastAsia="宋体" w:cs="宋体"/>
                <w:color w:val="auto"/>
                <w:spacing w:val="6"/>
                <w:szCs w:val="21"/>
                <w:highlight w:val="none"/>
              </w:rPr>
              <w:t xml:space="preserve">的信用信息记录。 </w:t>
            </w:r>
          </w:p>
          <w:p w14:paraId="0A46E3CB">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b/>
                <w:bCs/>
                <w:color w:val="auto"/>
                <w:spacing w:val="6"/>
                <w:szCs w:val="21"/>
                <w:highlight w:val="none"/>
              </w:rPr>
              <w:t>（3）信用信息查询记录和证据留存的具体方式：</w:t>
            </w:r>
            <w:r>
              <w:rPr>
                <w:rFonts w:hint="eastAsia" w:ascii="宋体" w:hAnsi="宋体" w:eastAsia="宋体" w:cs="宋体"/>
                <w:color w:val="auto"/>
                <w:spacing w:val="6"/>
                <w:szCs w:val="21"/>
                <w:highlight w:val="none"/>
              </w:rPr>
              <w:t>网页截图或打印件，在评标时作为评审依据进行资格审查，评审结束后与其他文件一并保存。</w:t>
            </w:r>
          </w:p>
          <w:p w14:paraId="50AD3D4C">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b/>
                <w:bCs/>
                <w:color w:val="auto"/>
                <w:spacing w:val="6"/>
                <w:szCs w:val="21"/>
                <w:highlight w:val="none"/>
              </w:rPr>
              <w:t>（4）信用信息的使用规则：</w:t>
            </w:r>
            <w:r>
              <w:rPr>
                <w:rFonts w:hint="eastAsia" w:ascii="宋体" w:hAnsi="宋体" w:eastAsia="宋体" w:cs="宋体"/>
                <w:color w:val="auto"/>
                <w:spacing w:val="6"/>
                <w:szCs w:val="21"/>
                <w:highlight w:val="none"/>
              </w:rPr>
              <w:t>至本项目投标截止之日止，投标人应未被列入“信用中国”网站的“失信被执行人”名单</w:t>
            </w: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“重大税收违法失信主体”</w:t>
            </w: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“中国政府采购网”网站的“政府采购严重违法失信行为记录名单”，否则其资格审查不予通过。</w:t>
            </w:r>
          </w:p>
          <w:p w14:paraId="3F7D70D6">
            <w:pPr>
              <w:pStyle w:val="112"/>
              <w:spacing w:line="320" w:lineRule="exact"/>
              <w:ind w:firstLine="0"/>
              <w:jc w:val="left"/>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eastAsia="zh-CN"/>
              </w:rPr>
              <w:t>采购人</w:t>
            </w:r>
            <w:r>
              <w:rPr>
                <w:rFonts w:hint="eastAsia" w:ascii="宋体" w:hAnsi="宋体" w:eastAsia="宋体" w:cs="宋体"/>
                <w:color w:val="auto"/>
                <w:spacing w:val="6"/>
                <w:szCs w:val="21"/>
                <w:highlight w:val="none"/>
              </w:rPr>
              <w:t>或</w:t>
            </w:r>
            <w:r>
              <w:rPr>
                <w:rFonts w:hint="eastAsia" w:ascii="宋体" w:hAnsi="宋体" w:eastAsia="宋体" w:cs="宋体"/>
                <w:color w:val="auto"/>
                <w:spacing w:val="6"/>
                <w:szCs w:val="21"/>
                <w:highlight w:val="none"/>
                <w:lang w:val="en-US" w:eastAsia="zh-CN"/>
              </w:rPr>
              <w:t>采购</w:t>
            </w:r>
            <w:r>
              <w:rPr>
                <w:rFonts w:hint="eastAsia" w:ascii="宋体" w:hAnsi="宋体" w:eastAsia="宋体" w:cs="宋体"/>
                <w:color w:val="auto"/>
                <w:spacing w:val="6"/>
                <w:szCs w:val="21"/>
                <w:highlight w:val="none"/>
              </w:rPr>
              <w:t>代理机构查询之后，网站信息发生的任何变更均不再作为评审依据，投标</w:t>
            </w:r>
            <w:r>
              <w:rPr>
                <w:rFonts w:hint="eastAsia" w:ascii="宋体" w:hAnsi="宋体" w:eastAsia="宋体" w:cs="宋体"/>
                <w:color w:val="auto"/>
                <w:spacing w:val="6"/>
                <w:szCs w:val="21"/>
                <w:highlight w:val="none"/>
                <w:lang w:val="en-US" w:eastAsia="zh-CN"/>
              </w:rPr>
              <w:t>人</w:t>
            </w:r>
            <w:r>
              <w:rPr>
                <w:rFonts w:hint="eastAsia" w:ascii="宋体" w:hAnsi="宋体" w:eastAsia="宋体" w:cs="宋体"/>
                <w:color w:val="auto"/>
                <w:spacing w:val="6"/>
                <w:szCs w:val="21"/>
                <w:highlight w:val="none"/>
              </w:rPr>
              <w:t>自行提供的查询结果及其他证明材料亦不作为评审依据。</w:t>
            </w:r>
            <w:r>
              <w:rPr>
                <w:rFonts w:hint="eastAsia" w:ascii="宋体" w:hAnsi="宋体" w:eastAsia="宋体" w:cs="宋体"/>
                <w:color w:val="auto"/>
                <w:spacing w:val="6"/>
                <w:szCs w:val="21"/>
                <w:highlight w:val="none"/>
                <w:lang w:val="en-US" w:eastAsia="zh-CN"/>
              </w:rPr>
              <w:t xml:space="preserve"> </w:t>
            </w:r>
          </w:p>
        </w:tc>
      </w:tr>
      <w:tr w14:paraId="438F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5DEECE61">
            <w:pPr>
              <w:pStyle w:val="112"/>
              <w:spacing w:line="320" w:lineRule="exact"/>
              <w:ind w:firstLine="0"/>
              <w:jc w:val="center"/>
              <w:rPr>
                <w:rFonts w:hint="eastAsia" w:ascii="宋体" w:hAnsi="宋体" w:eastAsia="宋体" w:cs="宋体"/>
                <w:color w:val="auto"/>
                <w:spacing w:val="6"/>
                <w:szCs w:val="21"/>
                <w:highlight w:val="none"/>
                <w:lang w:val="en-US" w:eastAsia="zh-CN"/>
              </w:rPr>
            </w:pPr>
            <w:bookmarkStart w:id="87" w:name="_Toc1660783"/>
            <w:r>
              <w:rPr>
                <w:rFonts w:hint="eastAsia" w:ascii="宋体" w:hAnsi="宋体" w:eastAsia="宋体" w:cs="宋体"/>
                <w:color w:val="auto"/>
                <w:spacing w:val="6"/>
                <w:szCs w:val="21"/>
                <w:highlight w:val="none"/>
                <w:lang w:val="en-US" w:eastAsia="zh-CN"/>
              </w:rPr>
              <w:t>10</w:t>
            </w:r>
          </w:p>
        </w:tc>
        <w:tc>
          <w:tcPr>
            <w:tcW w:w="3053" w:type="dxa"/>
            <w:tcBorders>
              <w:top w:val="single" w:color="auto" w:sz="4" w:space="0"/>
              <w:left w:val="single" w:color="auto" w:sz="4" w:space="0"/>
              <w:bottom w:val="single" w:color="auto" w:sz="4" w:space="0"/>
              <w:right w:val="single" w:color="auto" w:sz="4" w:space="0"/>
            </w:tcBorders>
            <w:vAlign w:val="center"/>
          </w:tcPr>
          <w:p w14:paraId="5B4D85ED">
            <w:pPr>
              <w:pStyle w:val="113"/>
              <w:spacing w:line="320" w:lineRule="exact"/>
              <w:ind w:firstLine="0" w:firstLineChars="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解释权</w:t>
            </w:r>
          </w:p>
        </w:tc>
        <w:tc>
          <w:tcPr>
            <w:tcW w:w="6302" w:type="dxa"/>
            <w:tcBorders>
              <w:top w:val="single" w:color="auto" w:sz="4" w:space="0"/>
              <w:left w:val="single" w:color="auto" w:sz="4" w:space="0"/>
              <w:bottom w:val="single" w:color="auto" w:sz="4" w:space="0"/>
              <w:right w:val="single" w:color="auto" w:sz="4" w:space="0"/>
            </w:tcBorders>
            <w:vAlign w:val="center"/>
          </w:tcPr>
          <w:p w14:paraId="50B4301C">
            <w:pPr>
              <w:pStyle w:val="112"/>
              <w:spacing w:line="320" w:lineRule="exact"/>
              <w:ind w:firstLine="0" w:firstLineChars="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宋体" w:hAnsi="宋体" w:eastAsia="宋体" w:cs="宋体"/>
                <w:color w:val="auto"/>
                <w:spacing w:val="6"/>
                <w:szCs w:val="21"/>
                <w:highlight w:val="none"/>
                <w:lang w:eastAsia="zh-CN"/>
              </w:rPr>
              <w:t>采购人</w:t>
            </w:r>
            <w:r>
              <w:rPr>
                <w:rFonts w:hint="eastAsia" w:ascii="宋体" w:hAnsi="宋体" w:eastAsia="宋体" w:cs="宋体"/>
                <w:color w:val="auto"/>
                <w:spacing w:val="6"/>
                <w:szCs w:val="21"/>
                <w:highlight w:val="none"/>
              </w:rPr>
              <w:t>负责解释。</w:t>
            </w:r>
          </w:p>
        </w:tc>
      </w:tr>
      <w:tr w14:paraId="0E11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14:paraId="2FC50F10">
            <w:pPr>
              <w:pStyle w:val="113"/>
              <w:spacing w:line="320" w:lineRule="exact"/>
              <w:ind w:firstLine="0" w:firstLineChars="0"/>
              <w:jc w:val="center"/>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rPr>
              <w:t>1</w:t>
            </w:r>
            <w:r>
              <w:rPr>
                <w:rFonts w:hint="eastAsia" w:ascii="宋体" w:hAnsi="宋体" w:eastAsia="宋体" w:cs="宋体"/>
                <w:color w:val="auto"/>
                <w:spacing w:val="6"/>
                <w:szCs w:val="21"/>
                <w:highlight w:val="none"/>
                <w:lang w:val="en-US" w:eastAsia="zh-CN"/>
              </w:rPr>
              <w:t>1</w:t>
            </w:r>
          </w:p>
        </w:tc>
        <w:tc>
          <w:tcPr>
            <w:tcW w:w="3053" w:type="dxa"/>
            <w:tcBorders>
              <w:top w:val="single" w:color="auto" w:sz="4" w:space="0"/>
              <w:left w:val="single" w:color="auto" w:sz="4" w:space="0"/>
              <w:bottom w:val="single" w:color="auto" w:sz="4" w:space="0"/>
              <w:right w:val="single" w:color="auto" w:sz="4" w:space="0"/>
            </w:tcBorders>
            <w:vAlign w:val="center"/>
          </w:tcPr>
          <w:p w14:paraId="76841843">
            <w:pPr>
              <w:pStyle w:val="115"/>
              <w:spacing w:line="320" w:lineRule="exact"/>
              <w:ind w:firstLine="0" w:firstLineChars="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需要补充的其他内容</w:t>
            </w:r>
          </w:p>
        </w:tc>
        <w:tc>
          <w:tcPr>
            <w:tcW w:w="6302" w:type="dxa"/>
            <w:tcBorders>
              <w:top w:val="single" w:color="auto" w:sz="4" w:space="0"/>
              <w:left w:val="single" w:color="auto" w:sz="4" w:space="0"/>
              <w:bottom w:val="single" w:color="auto" w:sz="4" w:space="0"/>
              <w:right w:val="single" w:color="auto" w:sz="4" w:space="0"/>
            </w:tcBorders>
            <w:vAlign w:val="center"/>
          </w:tcPr>
          <w:p w14:paraId="5A7EF380">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（1）监督部门：</w:t>
            </w:r>
            <w:r>
              <w:rPr>
                <w:rFonts w:hint="default" w:ascii="Times New Roman" w:hAnsi="Times New Roman" w:eastAsia="宋体" w:cs="Times New Roman"/>
                <w:sz w:val="21"/>
                <w:szCs w:val="21"/>
                <w:highlight w:val="none"/>
                <w:vertAlign w:val="baseline"/>
                <w:lang w:val="en-US" w:eastAsia="zh-CN"/>
              </w:rPr>
              <w:t>河南省财政厅政府采购监督管理处，0371-65808421</w:t>
            </w:r>
            <w:r>
              <w:rPr>
                <w:rFonts w:hint="eastAsia" w:ascii="宋体" w:hAnsi="宋体" w:eastAsia="宋体" w:cs="宋体"/>
                <w:color w:val="auto"/>
                <w:spacing w:val="6"/>
                <w:szCs w:val="21"/>
                <w:highlight w:val="none"/>
              </w:rPr>
              <w:t xml:space="preserve"> </w:t>
            </w:r>
          </w:p>
          <w:p w14:paraId="05AFD957">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（2）代理服务费：由中标人支付。</w:t>
            </w:r>
          </w:p>
          <w:p w14:paraId="0FB520BE">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收取标准：参照《招标代理服务收费管理暂行办法》（计价格[2002]1980号）规定的标准，按照中标金额收取：100万（含）以下，按标准的100%收取；100万（不含）-1000万（含）：按标准的70%收取；1000万（不含）以上：按标准的50%收取。</w:t>
            </w:r>
          </w:p>
          <w:p w14:paraId="7E1C9F91">
            <w:pPr>
              <w:pStyle w:val="112"/>
              <w:spacing w:line="320" w:lineRule="exact"/>
              <w:ind w:firstLine="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缴纳时间：领取中标通知书前向采购代理机构缴纳</w:t>
            </w:r>
            <w:r>
              <w:rPr>
                <w:rFonts w:hint="eastAsia" w:ascii="宋体" w:hAnsi="宋体" w:eastAsia="宋体" w:cs="宋体"/>
                <w:spacing w:val="6"/>
                <w:szCs w:val="21"/>
                <w:highlight w:val="none"/>
              </w:rPr>
              <w:t>，具体金额详见中标公告。</w:t>
            </w:r>
          </w:p>
          <w:p w14:paraId="2BD7A61F">
            <w:pPr>
              <w:pStyle w:val="112"/>
              <w:spacing w:line="320" w:lineRule="exact"/>
              <w:ind w:firstLine="0"/>
              <w:jc w:val="left"/>
              <w:rPr>
                <w:rFonts w:hint="eastAsia" w:ascii="宋体" w:hAnsi="宋体" w:eastAsia="宋体" w:cs="宋体"/>
                <w:spacing w:val="6"/>
                <w:szCs w:val="21"/>
                <w:highlight w:val="none"/>
              </w:rPr>
            </w:pPr>
            <w:r>
              <w:rPr>
                <w:rFonts w:hint="eastAsia" w:ascii="宋体" w:hAnsi="宋体" w:eastAsia="宋体" w:cs="宋体"/>
                <w:spacing w:val="6"/>
                <w:szCs w:val="21"/>
                <w:highlight w:val="none"/>
              </w:rPr>
              <w:t>缴纳时间：领取中标通知书前向代理机构缴纳。此费用包含在报价中，由供应商综合考虑。</w:t>
            </w:r>
          </w:p>
          <w:p w14:paraId="5FDC3494">
            <w:pPr>
              <w:pStyle w:val="112"/>
              <w:spacing w:line="320" w:lineRule="exact"/>
              <w:ind w:firstLine="0"/>
              <w:jc w:val="left"/>
              <w:rPr>
                <w:rFonts w:hint="eastAsia" w:ascii="宋体" w:hAnsi="宋体" w:eastAsia="宋体" w:cs="宋体"/>
                <w:spacing w:val="6"/>
                <w:szCs w:val="21"/>
                <w:highlight w:val="none"/>
                <w:lang w:eastAsia="zh-CN"/>
              </w:rPr>
            </w:pPr>
            <w:r>
              <w:rPr>
                <w:rFonts w:hint="eastAsia" w:ascii="宋体" w:hAnsi="宋体" w:eastAsia="宋体" w:cs="宋体"/>
                <w:spacing w:val="6"/>
                <w:szCs w:val="21"/>
                <w:highlight w:val="none"/>
              </w:rPr>
              <w:t>缴纳账户：</w:t>
            </w:r>
          </w:p>
          <w:p w14:paraId="5891BED6">
            <w:pPr>
              <w:pStyle w:val="112"/>
              <w:spacing w:line="320" w:lineRule="exact"/>
              <w:ind w:firstLine="0"/>
              <w:jc w:val="left"/>
              <w:rPr>
                <w:rFonts w:hint="eastAsia" w:ascii="宋体" w:hAnsi="宋体" w:eastAsia="宋体" w:cs="宋体"/>
                <w:spacing w:val="6"/>
                <w:szCs w:val="21"/>
                <w:highlight w:val="none"/>
              </w:rPr>
            </w:pPr>
            <w:r>
              <w:rPr>
                <w:rFonts w:hint="eastAsia" w:ascii="宋体" w:hAnsi="宋体" w:eastAsia="宋体" w:cs="宋体"/>
                <w:spacing w:val="6"/>
                <w:szCs w:val="21"/>
                <w:highlight w:val="none"/>
              </w:rPr>
              <w:t>银行开户名称：河南省伟信招标管理咨询有限公司洛阳分公司</w:t>
            </w:r>
          </w:p>
          <w:p w14:paraId="05890123">
            <w:pPr>
              <w:pStyle w:val="112"/>
              <w:spacing w:line="320" w:lineRule="exact"/>
              <w:ind w:firstLine="0"/>
              <w:jc w:val="left"/>
              <w:rPr>
                <w:rFonts w:hint="eastAsia" w:ascii="宋体" w:hAnsi="宋体" w:eastAsia="宋体" w:cs="宋体"/>
                <w:spacing w:val="6"/>
                <w:szCs w:val="21"/>
                <w:highlight w:val="none"/>
              </w:rPr>
            </w:pPr>
            <w:r>
              <w:rPr>
                <w:rFonts w:hint="eastAsia" w:ascii="宋体" w:hAnsi="宋体" w:eastAsia="宋体" w:cs="宋体"/>
                <w:spacing w:val="6"/>
                <w:szCs w:val="21"/>
                <w:highlight w:val="none"/>
              </w:rPr>
              <w:t>开户银行：中信银行洛阳古城支行</w:t>
            </w:r>
          </w:p>
          <w:p w14:paraId="7B04832C">
            <w:pPr>
              <w:pStyle w:val="112"/>
              <w:spacing w:line="320" w:lineRule="exact"/>
              <w:ind w:firstLine="0"/>
              <w:jc w:val="left"/>
              <w:rPr>
                <w:rFonts w:hint="eastAsia" w:ascii="宋体" w:hAnsi="宋体" w:eastAsia="宋体" w:cs="宋体"/>
                <w:spacing w:val="6"/>
                <w:szCs w:val="21"/>
                <w:highlight w:val="none"/>
              </w:rPr>
            </w:pPr>
            <w:r>
              <w:rPr>
                <w:rFonts w:hint="eastAsia" w:ascii="宋体" w:hAnsi="宋体" w:eastAsia="宋体" w:cs="宋体"/>
                <w:spacing w:val="6"/>
                <w:szCs w:val="21"/>
                <w:highlight w:val="none"/>
              </w:rPr>
              <w:t>账    号：8111101013500358227</w:t>
            </w:r>
          </w:p>
          <w:p w14:paraId="38823A80">
            <w:pPr>
              <w:pStyle w:val="112"/>
              <w:spacing w:line="320" w:lineRule="exact"/>
              <w:ind w:firstLine="0" w:firstLineChars="0"/>
              <w:jc w:val="left"/>
              <w:rPr>
                <w:rFonts w:hint="eastAsia" w:ascii="宋体" w:hAnsi="宋体" w:eastAsia="宋体" w:cs="宋体"/>
                <w:color w:val="auto"/>
                <w:spacing w:val="6"/>
                <w:szCs w:val="21"/>
                <w:highlight w:val="none"/>
              </w:rPr>
            </w:pPr>
            <w:r>
              <w:rPr>
                <w:rFonts w:hint="eastAsia" w:ascii="宋体" w:hAnsi="宋体" w:eastAsia="宋体" w:cs="宋体"/>
                <w:spacing w:val="6"/>
                <w:szCs w:val="21"/>
                <w:highlight w:val="none"/>
              </w:rPr>
              <w:t>（3）重新确定中标供应商：按照投标人须知第7.1.2条规定的情形确定的中标候选人出现下述情况：排名第一的中标候选人放弃中标或者因不可抗力不能履行合同或者被查实存在影响中标结果的违法行为等情形，采购人可以按照评标委员会提出的中标候选人名单排序依次确定其他中标候选人为中标供应商，也可以重新招标</w:t>
            </w:r>
            <w:r>
              <w:rPr>
                <w:rFonts w:hint="eastAsia" w:ascii="宋体" w:hAnsi="宋体" w:eastAsia="宋体" w:cs="宋体"/>
                <w:color w:val="auto"/>
                <w:spacing w:val="6"/>
                <w:szCs w:val="21"/>
                <w:highlight w:val="none"/>
              </w:rPr>
              <w:t>。</w:t>
            </w:r>
          </w:p>
        </w:tc>
      </w:tr>
      <w:bookmarkEnd w:id="87"/>
    </w:tbl>
    <w:p w14:paraId="128F3C7C">
      <w:pPr>
        <w:rPr>
          <w:rFonts w:hint="eastAsia" w:ascii="宋体" w:hAnsi="宋体" w:eastAsia="宋体" w:cs="宋体"/>
          <w:b/>
          <w:bCs/>
          <w:color w:val="auto"/>
          <w:spacing w:val="6"/>
          <w:sz w:val="28"/>
          <w:szCs w:val="28"/>
          <w:highlight w:val="none"/>
        </w:rPr>
      </w:pPr>
      <w:bookmarkStart w:id="88" w:name="_Toc28214"/>
      <w:bookmarkStart w:id="89" w:name="_Toc1932"/>
      <w:bookmarkStart w:id="90" w:name="_Toc6011"/>
      <w:bookmarkStart w:id="91" w:name="_Toc26015"/>
      <w:bookmarkStart w:id="92" w:name="_Toc1660836"/>
      <w:bookmarkStart w:id="93" w:name="_Toc504741949"/>
      <w:r>
        <w:rPr>
          <w:rFonts w:hint="eastAsia" w:ascii="宋体" w:hAnsi="宋体" w:eastAsia="宋体" w:cs="宋体"/>
          <w:b/>
          <w:bCs/>
          <w:color w:val="auto"/>
          <w:spacing w:val="6"/>
          <w:sz w:val="28"/>
          <w:szCs w:val="28"/>
          <w:highlight w:val="none"/>
        </w:rPr>
        <w:br w:type="page"/>
      </w:r>
    </w:p>
    <w:p w14:paraId="6B34938E">
      <w:pPr>
        <w:pStyle w:val="3"/>
        <w:spacing w:line="420" w:lineRule="exact"/>
        <w:outlineLvl w:val="1"/>
        <w:rPr>
          <w:rFonts w:hint="eastAsia" w:ascii="宋体" w:hAnsi="宋体" w:eastAsia="宋体" w:cs="宋体"/>
          <w:b/>
          <w:bCs/>
          <w:color w:val="auto"/>
          <w:spacing w:val="6"/>
          <w:sz w:val="28"/>
          <w:szCs w:val="28"/>
          <w:highlight w:val="none"/>
        </w:rPr>
      </w:pPr>
      <w:bookmarkStart w:id="94" w:name="_Toc12910"/>
      <w:r>
        <w:rPr>
          <w:rFonts w:hint="eastAsia" w:ascii="宋体" w:hAnsi="宋体" w:eastAsia="宋体" w:cs="宋体"/>
          <w:b/>
          <w:bCs/>
          <w:color w:val="auto"/>
          <w:spacing w:val="6"/>
          <w:sz w:val="28"/>
          <w:szCs w:val="28"/>
          <w:highlight w:val="none"/>
        </w:rPr>
        <w:t>1. 总则</w:t>
      </w:r>
      <w:bookmarkEnd w:id="88"/>
      <w:bookmarkEnd w:id="89"/>
      <w:bookmarkEnd w:id="90"/>
      <w:bookmarkEnd w:id="91"/>
      <w:bookmarkEnd w:id="94"/>
    </w:p>
    <w:p w14:paraId="5634F9F6">
      <w:pPr>
        <w:pStyle w:val="4"/>
        <w:spacing w:line="420" w:lineRule="exact"/>
        <w:outlineLvl w:val="2"/>
        <w:rPr>
          <w:rFonts w:hint="eastAsia" w:ascii="宋体" w:hAnsi="宋体" w:eastAsia="宋体" w:cs="宋体"/>
          <w:b/>
          <w:bCs/>
          <w:color w:val="auto"/>
          <w:spacing w:val="6"/>
          <w:sz w:val="24"/>
          <w:szCs w:val="24"/>
          <w:highlight w:val="none"/>
        </w:rPr>
      </w:pPr>
      <w:bookmarkStart w:id="95" w:name="_Toc1660784"/>
      <w:bookmarkStart w:id="96" w:name="_Toc27274"/>
      <w:r>
        <w:rPr>
          <w:rFonts w:hint="eastAsia" w:ascii="宋体" w:hAnsi="宋体" w:eastAsia="宋体" w:cs="宋体"/>
          <w:b/>
          <w:bCs/>
          <w:color w:val="auto"/>
          <w:spacing w:val="6"/>
          <w:sz w:val="24"/>
          <w:szCs w:val="24"/>
          <w:highlight w:val="none"/>
        </w:rPr>
        <w:t>1.1</w:t>
      </w:r>
      <w:r>
        <w:rPr>
          <w:rFonts w:hint="eastAsia" w:ascii="宋体" w:hAnsi="宋体" w:eastAsia="宋体" w:cs="宋体"/>
          <w:b/>
          <w:bCs/>
          <w:color w:val="auto"/>
          <w:spacing w:val="6"/>
          <w:sz w:val="24"/>
          <w:szCs w:val="24"/>
          <w:highlight w:val="none"/>
          <w:lang w:val="en-US"/>
        </w:rPr>
        <w:t xml:space="preserve"> </w:t>
      </w:r>
      <w:r>
        <w:rPr>
          <w:rFonts w:hint="eastAsia" w:ascii="宋体" w:hAnsi="宋体" w:eastAsia="宋体" w:cs="宋体"/>
          <w:b/>
          <w:bCs/>
          <w:color w:val="auto"/>
          <w:spacing w:val="6"/>
          <w:sz w:val="24"/>
          <w:szCs w:val="24"/>
          <w:highlight w:val="none"/>
        </w:rPr>
        <w:t>招标项目概况</w:t>
      </w:r>
      <w:bookmarkEnd w:id="95"/>
      <w:bookmarkEnd w:id="96"/>
    </w:p>
    <w:p w14:paraId="153C4143">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1.1.1</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根据《中华人民共和国政府采购法》《中华人民共和国政府采购法实施条例》</w:t>
      </w:r>
      <w:r>
        <w:rPr>
          <w:rFonts w:hint="eastAsia" w:ascii="宋体" w:hAnsi="宋体" w:eastAsia="宋体" w:cs="宋体"/>
          <w:color w:val="auto"/>
          <w:spacing w:val="6"/>
          <w:szCs w:val="21"/>
          <w:highlight w:val="none"/>
          <w:lang w:val="en-US"/>
        </w:rPr>
        <w:t>《政府采购货物和服务招标投标管理办法》</w:t>
      </w:r>
      <w:r>
        <w:rPr>
          <w:rFonts w:hint="eastAsia" w:ascii="宋体" w:hAnsi="宋体" w:eastAsia="宋体" w:cs="宋体"/>
          <w:color w:val="auto"/>
          <w:spacing w:val="6"/>
          <w:szCs w:val="21"/>
          <w:highlight w:val="none"/>
        </w:rPr>
        <w:t>等有关法律、法规和规章的规定，本招标项目已具备招标条件，现进行公开招标。</w:t>
      </w:r>
    </w:p>
    <w:p w14:paraId="47896CF1">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1.1.2 采购人：见投标人须知前附表。</w:t>
      </w:r>
    </w:p>
    <w:p w14:paraId="04CE2DC8">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1.1.3 采购代理机构：见投标人须知前附表。</w:t>
      </w:r>
    </w:p>
    <w:p w14:paraId="1A139CCF">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1.1.4 项目名称：见投标人须知前附表。</w:t>
      </w:r>
    </w:p>
    <w:p w14:paraId="6FDC109E">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1.1.5</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落实政府采购政策要求：见投标人须知前附表。</w:t>
      </w:r>
    </w:p>
    <w:p w14:paraId="14B8FD10">
      <w:pPr>
        <w:pStyle w:val="110"/>
        <w:spacing w:line="420" w:lineRule="exact"/>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t>（1）本项目扶持不发达地区和少数民族地区企业。</w:t>
      </w:r>
    </w:p>
    <w:p w14:paraId="5C11FA06">
      <w:pPr>
        <w:pStyle w:val="110"/>
        <w:spacing w:line="420" w:lineRule="exact"/>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t>（2）本项目执行《政府采购促进中小企业发展管理办法》（财库〔2020〕46号）、《关于进一步加大政府采购支持中小企业力度的通知》（财库〔2022〕19号）的规定。</w:t>
      </w:r>
    </w:p>
    <w:p w14:paraId="367A2CA8">
      <w:pPr>
        <w:pStyle w:val="110"/>
        <w:spacing w:line="420" w:lineRule="exact"/>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434A1199">
      <w:pPr>
        <w:pStyle w:val="110"/>
        <w:spacing w:line="420" w:lineRule="exact"/>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t>以联合体形式参加政府采购活动，联合体各方均为中小企业的，联合体视同中小企业。其中，联合体各方均为小微企业的，联合体视同小微企业。组成联合体或者接受分包的小微企业与联合体内其他企业、分包企业之间存在直接控股、管理关系的，不享受价格扣除优惠政策。</w:t>
      </w:r>
    </w:p>
    <w:p w14:paraId="04737C45">
      <w:pPr>
        <w:pStyle w:val="110"/>
        <w:spacing w:line="420" w:lineRule="exact"/>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t>非专门面向中小企业采购的采购项目（采购包）对符合《政府采购促进中小企业发展管理办法》规定的供应商报价给予10%的扣除；专门面向中小企业采购的采购项目（采购包），不再执行价格评审优惠的扶持政策。</w:t>
      </w:r>
    </w:p>
    <w:p w14:paraId="2D468839">
      <w:pPr>
        <w:pStyle w:val="110"/>
        <w:spacing w:line="420" w:lineRule="exact"/>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t>（3）根据财政部司法部《关于政府采购支持监狱企业发展有关问题的通知》（财库〔2014〕68号）规定，监狱企业、残疾人福利性单位视同小型、微型企业，享受预留采购份额、价格评审优惠、优先采购等支持中小企业发展的政府采购政策。</w:t>
      </w:r>
    </w:p>
    <w:p w14:paraId="1BF6FC7F">
      <w:pPr>
        <w:pStyle w:val="110"/>
        <w:spacing w:line="420" w:lineRule="exact"/>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t>（4）根据财政部民政部中国残疾人联合会《关于促进残疾人就业政府采购政策的通知》（财库〔2017〕141号）规定，残疾人福利性单位视同小型、微型企业，享受评审中价格扣除等政府采购促进中小企业发展的政府采购政策。</w:t>
      </w:r>
    </w:p>
    <w:p w14:paraId="19E55783">
      <w:pPr>
        <w:pStyle w:val="110"/>
        <w:spacing w:line="420" w:lineRule="exact"/>
        <w:rPr>
          <w:rFonts w:hint="eastAsia"/>
          <w:lang w:val="en-US" w:eastAsia="zh-CN"/>
        </w:rPr>
      </w:pPr>
      <w:bookmarkStart w:id="97" w:name="_Hlk88049163"/>
      <w:r>
        <w:rPr>
          <w:rFonts w:hint="eastAsia" w:ascii="宋体" w:hAnsi="宋体" w:eastAsia="宋体" w:cs="宋体"/>
          <w:color w:val="auto"/>
          <w:spacing w:val="6"/>
          <w:szCs w:val="21"/>
          <w:highlight w:val="none"/>
          <w:lang w:val="en-US" w:eastAsia="zh-CN"/>
        </w:rPr>
        <w:t>（5）本项目对应的中小企业划分标准所属行业为：详见前附表。</w:t>
      </w:r>
      <w:bookmarkEnd w:id="97"/>
    </w:p>
    <w:p w14:paraId="581A5D1B">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1.1.</w:t>
      </w:r>
      <w:r>
        <w:rPr>
          <w:rFonts w:hint="eastAsia" w:ascii="宋体" w:hAnsi="宋体" w:eastAsia="宋体" w:cs="宋体"/>
          <w:color w:val="auto"/>
          <w:spacing w:val="6"/>
          <w:szCs w:val="21"/>
          <w:highlight w:val="none"/>
          <w:lang w:val="en-US" w:eastAsia="zh-CN"/>
        </w:rPr>
        <w:t>6</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lang w:eastAsia="zh-CN"/>
        </w:rPr>
        <w:t>项目编号：</w:t>
      </w:r>
      <w:r>
        <w:rPr>
          <w:rFonts w:hint="eastAsia" w:ascii="宋体" w:hAnsi="宋体" w:eastAsia="宋体" w:cs="宋体"/>
          <w:color w:val="auto"/>
          <w:spacing w:val="6"/>
          <w:szCs w:val="21"/>
          <w:highlight w:val="none"/>
        </w:rPr>
        <w:t>见投标人须知前附表。</w:t>
      </w:r>
    </w:p>
    <w:p w14:paraId="3AEAB1E8">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1.1.</w:t>
      </w:r>
      <w:r>
        <w:rPr>
          <w:rFonts w:hint="eastAsia" w:ascii="宋体" w:hAnsi="宋体" w:eastAsia="宋体" w:cs="宋体"/>
          <w:color w:val="auto"/>
          <w:spacing w:val="6"/>
          <w:szCs w:val="21"/>
          <w:highlight w:val="none"/>
          <w:lang w:val="en-US" w:eastAsia="zh-CN"/>
        </w:rPr>
        <w:t>7</w:t>
      </w:r>
      <w:r>
        <w:rPr>
          <w:rFonts w:hint="eastAsia" w:ascii="宋体" w:hAnsi="宋体" w:eastAsia="宋体" w:cs="宋体"/>
          <w:color w:val="auto"/>
          <w:spacing w:val="6"/>
          <w:szCs w:val="21"/>
          <w:highlight w:val="none"/>
          <w:lang w:val="en-US"/>
        </w:rPr>
        <w:t>采购包</w:t>
      </w:r>
      <w:r>
        <w:rPr>
          <w:rFonts w:hint="eastAsia" w:ascii="宋体" w:hAnsi="宋体" w:eastAsia="宋体" w:cs="宋体"/>
          <w:color w:val="auto"/>
          <w:spacing w:val="6"/>
          <w:szCs w:val="21"/>
          <w:highlight w:val="none"/>
        </w:rPr>
        <w:t>划分</w:t>
      </w: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见投标人须知前附表。</w:t>
      </w:r>
    </w:p>
    <w:p w14:paraId="4DDE7E00">
      <w:pPr>
        <w:pStyle w:val="4"/>
        <w:spacing w:line="420" w:lineRule="exact"/>
        <w:outlineLvl w:val="2"/>
        <w:rPr>
          <w:rFonts w:hint="eastAsia" w:ascii="宋体" w:hAnsi="宋体" w:eastAsia="宋体" w:cs="宋体"/>
          <w:b/>
          <w:bCs/>
          <w:color w:val="auto"/>
          <w:spacing w:val="6"/>
          <w:sz w:val="24"/>
          <w:szCs w:val="24"/>
          <w:highlight w:val="none"/>
        </w:rPr>
      </w:pPr>
      <w:bookmarkStart w:id="98" w:name="_Toc22520"/>
      <w:bookmarkStart w:id="99" w:name="_Toc1660785"/>
      <w:r>
        <w:rPr>
          <w:rFonts w:hint="eastAsia" w:ascii="宋体" w:hAnsi="宋体" w:eastAsia="宋体" w:cs="宋体"/>
          <w:b/>
          <w:bCs/>
          <w:color w:val="auto"/>
          <w:spacing w:val="6"/>
          <w:sz w:val="24"/>
          <w:szCs w:val="24"/>
          <w:highlight w:val="none"/>
        </w:rPr>
        <w:t>1.2 招标项目的资金来源及付款方式</w:t>
      </w:r>
      <w:bookmarkEnd w:id="98"/>
      <w:bookmarkEnd w:id="99"/>
    </w:p>
    <w:p w14:paraId="45BEDD2E">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1.2.1</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资金来源</w:t>
      </w: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见投标人须知前附表。</w:t>
      </w:r>
    </w:p>
    <w:p w14:paraId="5F56C9B7">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1.2.2</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付款方式</w:t>
      </w: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见投标人须知前附表。</w:t>
      </w:r>
    </w:p>
    <w:p w14:paraId="3E5BA122">
      <w:pPr>
        <w:pStyle w:val="4"/>
        <w:spacing w:line="420" w:lineRule="exact"/>
        <w:outlineLvl w:val="2"/>
        <w:rPr>
          <w:rFonts w:hint="default" w:ascii="宋体" w:hAnsi="宋体" w:eastAsia="宋体" w:cs="宋体"/>
          <w:b/>
          <w:bCs/>
          <w:color w:val="auto"/>
          <w:spacing w:val="6"/>
          <w:sz w:val="24"/>
          <w:szCs w:val="24"/>
          <w:highlight w:val="none"/>
          <w:lang w:val="en-US" w:eastAsia="zh-CN"/>
        </w:rPr>
      </w:pPr>
      <w:bookmarkStart w:id="100" w:name="_Toc12895"/>
      <w:bookmarkStart w:id="101" w:name="_Toc1660786"/>
      <w:r>
        <w:rPr>
          <w:rFonts w:hint="eastAsia" w:ascii="宋体" w:hAnsi="宋体" w:eastAsia="宋体" w:cs="宋体"/>
          <w:b/>
          <w:bCs/>
          <w:color w:val="auto"/>
          <w:spacing w:val="6"/>
          <w:sz w:val="24"/>
          <w:szCs w:val="24"/>
          <w:highlight w:val="none"/>
        </w:rPr>
        <w:t>1.3</w:t>
      </w:r>
      <w:r>
        <w:rPr>
          <w:rFonts w:hint="eastAsia" w:ascii="宋体" w:hAnsi="宋体" w:eastAsia="宋体" w:cs="宋体"/>
          <w:b/>
          <w:bCs/>
          <w:color w:val="auto"/>
          <w:spacing w:val="6"/>
          <w:sz w:val="24"/>
          <w:szCs w:val="24"/>
          <w:highlight w:val="none"/>
          <w:lang w:val="en-US"/>
        </w:rPr>
        <w:t xml:space="preserve"> </w:t>
      </w:r>
      <w:r>
        <w:rPr>
          <w:rFonts w:hint="eastAsia" w:ascii="宋体" w:hAnsi="宋体" w:eastAsia="宋体" w:cs="宋体"/>
          <w:b/>
          <w:bCs/>
          <w:color w:val="auto"/>
          <w:spacing w:val="6"/>
          <w:sz w:val="24"/>
          <w:szCs w:val="24"/>
          <w:highlight w:val="none"/>
          <w:lang w:val="en-US" w:eastAsia="zh-CN"/>
        </w:rPr>
        <w:t>项目工期</w:t>
      </w:r>
      <w:r>
        <w:rPr>
          <w:rFonts w:hint="eastAsia" w:ascii="宋体" w:hAnsi="宋体" w:eastAsia="宋体" w:cs="宋体"/>
          <w:b/>
          <w:bCs/>
          <w:color w:val="auto"/>
          <w:spacing w:val="6"/>
          <w:sz w:val="24"/>
          <w:szCs w:val="24"/>
          <w:highlight w:val="none"/>
        </w:rPr>
        <w:t>、</w:t>
      </w:r>
      <w:r>
        <w:rPr>
          <w:rFonts w:hint="eastAsia" w:ascii="宋体" w:hAnsi="宋体" w:eastAsia="宋体" w:cs="宋体"/>
          <w:b/>
          <w:bCs/>
          <w:color w:val="auto"/>
          <w:spacing w:val="6"/>
          <w:sz w:val="24"/>
          <w:szCs w:val="24"/>
          <w:highlight w:val="none"/>
          <w:lang w:val="en-US" w:eastAsia="zh-CN"/>
        </w:rPr>
        <w:t>项目</w:t>
      </w:r>
      <w:r>
        <w:rPr>
          <w:rFonts w:hint="eastAsia" w:ascii="宋体" w:hAnsi="宋体" w:eastAsia="宋体" w:cs="宋体"/>
          <w:b/>
          <w:bCs/>
          <w:color w:val="auto"/>
          <w:spacing w:val="6"/>
          <w:sz w:val="24"/>
          <w:szCs w:val="24"/>
          <w:highlight w:val="none"/>
        </w:rPr>
        <w:t>地点、履约验收</w:t>
      </w:r>
      <w:bookmarkEnd w:id="100"/>
      <w:bookmarkEnd w:id="101"/>
      <w:r>
        <w:rPr>
          <w:rFonts w:hint="eastAsia" w:ascii="宋体" w:hAnsi="宋体" w:eastAsia="宋体" w:cs="宋体"/>
          <w:b/>
          <w:bCs/>
          <w:color w:val="auto"/>
          <w:spacing w:val="6"/>
          <w:sz w:val="24"/>
          <w:szCs w:val="24"/>
          <w:highlight w:val="none"/>
          <w:lang w:eastAsia="zh-CN"/>
        </w:rPr>
        <w:t>、</w:t>
      </w:r>
      <w:r>
        <w:rPr>
          <w:rFonts w:hint="eastAsia" w:ascii="宋体" w:hAnsi="宋体" w:eastAsia="宋体" w:cs="宋体"/>
          <w:b/>
          <w:bCs/>
          <w:color w:val="auto"/>
          <w:spacing w:val="6"/>
          <w:sz w:val="24"/>
          <w:szCs w:val="24"/>
          <w:highlight w:val="none"/>
          <w:lang w:val="en-US" w:eastAsia="zh-CN"/>
        </w:rPr>
        <w:t>质保期</w:t>
      </w:r>
    </w:p>
    <w:p w14:paraId="5756D78C">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1.3.1</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lang w:val="en-US" w:eastAsia="zh-CN"/>
        </w:rPr>
        <w:t>项目工期</w:t>
      </w:r>
      <w:r>
        <w:rPr>
          <w:rFonts w:hint="eastAsia" w:ascii="宋体" w:hAnsi="宋体" w:eastAsia="宋体" w:cs="宋体"/>
          <w:color w:val="auto"/>
          <w:spacing w:val="6"/>
          <w:szCs w:val="21"/>
          <w:highlight w:val="none"/>
        </w:rPr>
        <w:t>：见投标人须知前附表。</w:t>
      </w:r>
    </w:p>
    <w:p w14:paraId="5E1D9C08">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1.3.2</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lang w:val="en-US" w:eastAsia="zh-CN"/>
        </w:rPr>
        <w:t>项目</w:t>
      </w:r>
      <w:r>
        <w:rPr>
          <w:rFonts w:hint="eastAsia" w:ascii="宋体" w:hAnsi="宋体" w:eastAsia="宋体" w:cs="宋体"/>
          <w:color w:val="auto"/>
          <w:spacing w:val="6"/>
          <w:szCs w:val="21"/>
          <w:highlight w:val="none"/>
        </w:rPr>
        <w:t>地点：见投标人须知前附表。</w:t>
      </w:r>
    </w:p>
    <w:p w14:paraId="7EADB172">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1.3.3</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履约验收：见投标人须知前附表。</w:t>
      </w:r>
    </w:p>
    <w:p w14:paraId="7FFB3624">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1.3.</w:t>
      </w:r>
      <w:r>
        <w:rPr>
          <w:rFonts w:hint="eastAsia" w:ascii="宋体" w:hAnsi="宋体" w:eastAsia="宋体" w:cs="宋体"/>
          <w:color w:val="auto"/>
          <w:spacing w:val="6"/>
          <w:szCs w:val="21"/>
          <w:highlight w:val="none"/>
          <w:lang w:val="en-US" w:eastAsia="zh-CN"/>
        </w:rPr>
        <w:t>4</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lang w:val="en-US" w:eastAsia="zh-CN"/>
        </w:rPr>
        <w:t>质保期</w:t>
      </w:r>
      <w:r>
        <w:rPr>
          <w:rFonts w:hint="eastAsia" w:ascii="宋体" w:hAnsi="宋体" w:eastAsia="宋体" w:cs="宋体"/>
          <w:color w:val="auto"/>
          <w:spacing w:val="6"/>
          <w:szCs w:val="21"/>
          <w:highlight w:val="none"/>
        </w:rPr>
        <w:t>：见投标人须知前附表。</w:t>
      </w:r>
    </w:p>
    <w:p w14:paraId="4A01E2AD">
      <w:pPr>
        <w:pStyle w:val="4"/>
        <w:spacing w:line="420" w:lineRule="exact"/>
        <w:outlineLvl w:val="2"/>
        <w:rPr>
          <w:rFonts w:hint="eastAsia" w:ascii="宋体" w:hAnsi="宋体" w:eastAsia="宋体" w:cs="宋体"/>
          <w:b/>
          <w:bCs/>
          <w:color w:val="auto"/>
          <w:spacing w:val="6"/>
          <w:sz w:val="24"/>
          <w:szCs w:val="24"/>
          <w:highlight w:val="none"/>
        </w:rPr>
      </w:pPr>
      <w:bookmarkStart w:id="102" w:name="_Toc1660787"/>
      <w:bookmarkStart w:id="103" w:name="_Toc7490"/>
      <w:r>
        <w:rPr>
          <w:rFonts w:hint="eastAsia" w:ascii="宋体" w:hAnsi="宋体" w:eastAsia="宋体" w:cs="宋体"/>
          <w:b/>
          <w:bCs/>
          <w:color w:val="auto"/>
          <w:spacing w:val="6"/>
          <w:sz w:val="24"/>
          <w:szCs w:val="24"/>
          <w:highlight w:val="none"/>
        </w:rPr>
        <w:t>1.4 投标人资格要求</w:t>
      </w:r>
      <w:bookmarkEnd w:id="102"/>
      <w:bookmarkEnd w:id="103"/>
    </w:p>
    <w:p w14:paraId="6D1F7685">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1.4.1 投标人资格要求：见投标人须知前附表。</w:t>
      </w:r>
    </w:p>
    <w:p w14:paraId="13F37D7C">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1.4.2 投标人须知前附表规定接受联合体投标的，联合体除应符合本章第1.4.1项和投标人须知前附表的要求外，还应遵守以下规定：</w:t>
      </w:r>
    </w:p>
    <w:p w14:paraId="3BD7BFDC">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（1）联合体各方应按招标文件提供的格式签订联合体协议书，明确联合体牵头人和各方权利义务，并承诺就中标项目向采购人承担连带责任；</w:t>
      </w:r>
    </w:p>
    <w:p w14:paraId="37821705">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（2）两个以上的自然人、法人或者其他组织可以组成一个联合体，以一个投标人的身份共同参加政府采购；</w:t>
      </w:r>
    </w:p>
    <w:p w14:paraId="4F0E6CEA">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联合体各方均应当符合《政府采购法》第二十二条第一款规定的条件，根据采购项目的特殊要求规定投标人特定条件的，联合体各方中至少应当有一方符合招标公告规定的投标人资格条件。联合体中有同类资质的投标人按照联合体分工承担相同工作的，应当按照资质等级较低的投标人确定资质等级；</w:t>
      </w:r>
    </w:p>
    <w:p w14:paraId="7E5769A2">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（4）联合体各方不得再以自己名义单独或参加其他联合体在本招标项目中投标，否则各相关投标均无效。</w:t>
      </w:r>
    </w:p>
    <w:p w14:paraId="0C96D672">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1.4.3 投标人不得存在下列情形之一：</w:t>
      </w:r>
    </w:p>
    <w:p w14:paraId="1C4C9A76">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（1）与本招标项目的其他投标人的单位负责人为同一人；</w:t>
      </w:r>
    </w:p>
    <w:p w14:paraId="4EFAACB1">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（2）与本招标项目的其他投标人存在直接控股、管理关系；</w:t>
      </w:r>
    </w:p>
    <w:p w14:paraId="0936DD3C">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（3）为本招标项目提供整体设计、规范编制或者项目管理、监理、检测等服务；</w:t>
      </w:r>
    </w:p>
    <w:p w14:paraId="24A202E1">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（4）为本招标项目的招标代理机构或与招标代理机构的法定代表人为同一人；</w:t>
      </w:r>
    </w:p>
    <w:p w14:paraId="228BA2DB">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r>
        <w:rPr>
          <w:rFonts w:hint="eastAsia" w:ascii="宋体" w:hAnsi="宋体" w:eastAsia="宋体" w:cs="宋体"/>
          <w:color w:val="auto"/>
          <w:spacing w:val="6"/>
          <w:szCs w:val="21"/>
          <w:highlight w:val="none"/>
          <w:lang w:val="en-US" w:eastAsia="zh-CN"/>
        </w:rPr>
        <w:t>5</w:t>
      </w:r>
      <w:r>
        <w:rPr>
          <w:rFonts w:hint="eastAsia" w:ascii="宋体" w:hAnsi="宋体" w:eastAsia="宋体" w:cs="宋体"/>
          <w:color w:val="auto"/>
          <w:spacing w:val="6"/>
          <w:szCs w:val="21"/>
          <w:highlight w:val="none"/>
        </w:rPr>
        <w:t>）</w:t>
      </w:r>
      <w:r>
        <w:rPr>
          <w:rFonts w:hint="eastAsia" w:ascii="宋体" w:hAnsi="宋体" w:eastAsia="宋体" w:cs="宋体"/>
          <w:color w:val="auto"/>
          <w:spacing w:val="6"/>
          <w:sz w:val="21"/>
          <w:szCs w:val="21"/>
          <w:highlight w:val="none"/>
          <w:lang w:val="en-US" w:eastAsia="zh-CN"/>
        </w:rPr>
        <w:t>被列入“信用中国”网站的“失信被执行人”名单、“重大税收违法案件当事人”名单、“中国政府采购网”网站的“政府采购严重违法失信行为记录名单”</w:t>
      </w:r>
      <w:r>
        <w:rPr>
          <w:rFonts w:hint="eastAsia" w:ascii="宋体" w:hAnsi="宋体" w:eastAsia="宋体" w:cs="宋体"/>
          <w:color w:val="auto"/>
          <w:spacing w:val="6"/>
          <w:szCs w:val="21"/>
          <w:highlight w:val="none"/>
        </w:rPr>
        <w:t>；</w:t>
      </w:r>
    </w:p>
    <w:p w14:paraId="1FE129EC">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r>
        <w:rPr>
          <w:rFonts w:hint="eastAsia" w:ascii="宋体" w:hAnsi="宋体" w:eastAsia="宋体" w:cs="宋体"/>
          <w:color w:val="auto"/>
          <w:spacing w:val="6"/>
          <w:szCs w:val="21"/>
          <w:highlight w:val="none"/>
          <w:lang w:val="en-US" w:eastAsia="zh-CN"/>
        </w:rPr>
        <w:t>6</w:t>
      </w:r>
      <w:r>
        <w:rPr>
          <w:rFonts w:hint="eastAsia" w:ascii="宋体" w:hAnsi="宋体" w:eastAsia="宋体" w:cs="宋体"/>
          <w:color w:val="auto"/>
          <w:spacing w:val="6"/>
          <w:szCs w:val="21"/>
          <w:highlight w:val="none"/>
        </w:rPr>
        <w:t>）因违法经营受到刑事处罚或者责令停产停业、吊销许可证或者执照、较大数额罚款等行政处罚；</w:t>
      </w:r>
    </w:p>
    <w:p w14:paraId="7AEBCEAD">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r>
        <w:rPr>
          <w:rFonts w:hint="eastAsia" w:ascii="宋体" w:hAnsi="宋体" w:eastAsia="宋体" w:cs="宋体"/>
          <w:color w:val="auto"/>
          <w:spacing w:val="6"/>
          <w:szCs w:val="21"/>
          <w:highlight w:val="none"/>
          <w:lang w:val="en-US" w:eastAsia="zh-CN"/>
        </w:rPr>
        <w:t>7</w:t>
      </w:r>
      <w:r>
        <w:rPr>
          <w:rFonts w:hint="eastAsia" w:ascii="宋体" w:hAnsi="宋体" w:eastAsia="宋体" w:cs="宋体"/>
          <w:color w:val="auto"/>
          <w:spacing w:val="6"/>
          <w:szCs w:val="21"/>
          <w:highlight w:val="none"/>
        </w:rPr>
        <w:t>）进入清算程序，或被宣告破产，或其他丧失履约能力的情形；</w:t>
      </w:r>
    </w:p>
    <w:p w14:paraId="2C552839">
      <w:pPr>
        <w:pStyle w:val="110"/>
        <w:spacing w:line="420" w:lineRule="exact"/>
        <w:rPr>
          <w:rFonts w:hint="eastAsia" w:ascii="宋体" w:hAnsi="宋体" w:eastAsia="宋体" w:cs="宋体"/>
          <w:color w:val="auto"/>
          <w:spacing w:val="6"/>
          <w:szCs w:val="21"/>
          <w:highlight w:val="none"/>
          <w:lang w:eastAsia="zh-CN"/>
        </w:rPr>
      </w:pPr>
      <w:r>
        <w:rPr>
          <w:rFonts w:hint="eastAsia" w:ascii="宋体" w:hAnsi="宋体" w:eastAsia="宋体" w:cs="宋体"/>
          <w:color w:val="auto"/>
          <w:spacing w:val="6"/>
          <w:szCs w:val="21"/>
          <w:highlight w:val="none"/>
        </w:rPr>
        <w:t>（</w:t>
      </w:r>
      <w:r>
        <w:rPr>
          <w:rFonts w:hint="eastAsia" w:ascii="宋体" w:hAnsi="宋体" w:eastAsia="宋体" w:cs="宋体"/>
          <w:color w:val="auto"/>
          <w:spacing w:val="6"/>
          <w:szCs w:val="21"/>
          <w:highlight w:val="none"/>
          <w:lang w:val="en-US" w:eastAsia="zh-CN"/>
        </w:rPr>
        <w:t>8</w:t>
      </w:r>
      <w:r>
        <w:rPr>
          <w:rFonts w:hint="eastAsia" w:ascii="宋体" w:hAnsi="宋体" w:eastAsia="宋体" w:cs="宋体"/>
          <w:color w:val="auto"/>
          <w:spacing w:val="6"/>
          <w:szCs w:val="21"/>
          <w:highlight w:val="none"/>
        </w:rPr>
        <w:t>）在最近三年内有骗取中标或严重违约或重大质量问题的</w:t>
      </w:r>
      <w:r>
        <w:rPr>
          <w:rFonts w:hint="eastAsia" w:ascii="宋体" w:hAnsi="宋体" w:eastAsia="宋体" w:cs="宋体"/>
          <w:color w:val="auto"/>
          <w:spacing w:val="6"/>
          <w:szCs w:val="21"/>
          <w:highlight w:val="none"/>
          <w:lang w:eastAsia="zh-CN"/>
        </w:rPr>
        <w:t>；</w:t>
      </w:r>
    </w:p>
    <w:p w14:paraId="2DFBEF79">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lang w:val="en-US" w:eastAsia="zh-CN"/>
        </w:rPr>
        <w:t>9）</w:t>
      </w:r>
      <w:r>
        <w:rPr>
          <w:rFonts w:hint="eastAsia" w:ascii="宋体" w:hAnsi="宋体" w:eastAsia="宋体" w:cs="宋体"/>
          <w:color w:val="auto"/>
          <w:spacing w:val="6"/>
          <w:szCs w:val="21"/>
          <w:highlight w:val="none"/>
        </w:rPr>
        <w:t>法律法规或投标人须知前附表规定的其他情形。</w:t>
      </w:r>
    </w:p>
    <w:p w14:paraId="0C123814">
      <w:pPr>
        <w:pStyle w:val="4"/>
        <w:spacing w:line="420" w:lineRule="exact"/>
        <w:outlineLvl w:val="2"/>
        <w:rPr>
          <w:rFonts w:hint="eastAsia" w:ascii="宋体" w:hAnsi="宋体" w:eastAsia="宋体" w:cs="宋体"/>
          <w:b/>
          <w:bCs/>
          <w:color w:val="auto"/>
          <w:spacing w:val="6"/>
          <w:sz w:val="24"/>
          <w:szCs w:val="24"/>
          <w:highlight w:val="none"/>
        </w:rPr>
      </w:pPr>
      <w:bookmarkStart w:id="104" w:name="_Toc1987"/>
      <w:bookmarkStart w:id="105" w:name="_Toc1660788"/>
      <w:r>
        <w:rPr>
          <w:rFonts w:hint="eastAsia" w:ascii="宋体" w:hAnsi="宋体" w:eastAsia="宋体" w:cs="宋体"/>
          <w:b/>
          <w:bCs/>
          <w:color w:val="auto"/>
          <w:spacing w:val="6"/>
          <w:sz w:val="24"/>
          <w:szCs w:val="24"/>
          <w:highlight w:val="none"/>
        </w:rPr>
        <w:t>1.5 费用承担</w:t>
      </w:r>
      <w:bookmarkEnd w:id="104"/>
      <w:bookmarkEnd w:id="105"/>
    </w:p>
    <w:p w14:paraId="5DE6FBF4">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投标人准备和参加投标活动发生的费用自理。</w:t>
      </w:r>
    </w:p>
    <w:p w14:paraId="260C05D5">
      <w:pPr>
        <w:pStyle w:val="4"/>
        <w:spacing w:line="420" w:lineRule="exact"/>
        <w:outlineLvl w:val="2"/>
        <w:rPr>
          <w:rFonts w:hint="eastAsia" w:ascii="宋体" w:hAnsi="宋体" w:eastAsia="宋体" w:cs="宋体"/>
          <w:b/>
          <w:bCs/>
          <w:color w:val="auto"/>
          <w:spacing w:val="6"/>
          <w:sz w:val="24"/>
          <w:szCs w:val="24"/>
          <w:highlight w:val="none"/>
        </w:rPr>
      </w:pPr>
      <w:bookmarkStart w:id="106" w:name="_Toc1660789"/>
      <w:bookmarkStart w:id="107" w:name="_Toc14963"/>
      <w:r>
        <w:rPr>
          <w:rFonts w:hint="eastAsia" w:ascii="宋体" w:hAnsi="宋体" w:eastAsia="宋体" w:cs="宋体"/>
          <w:b/>
          <w:bCs/>
          <w:color w:val="auto"/>
          <w:spacing w:val="6"/>
          <w:sz w:val="24"/>
          <w:szCs w:val="24"/>
          <w:highlight w:val="none"/>
        </w:rPr>
        <w:t>1.6 保密</w:t>
      </w:r>
      <w:bookmarkEnd w:id="106"/>
      <w:bookmarkEnd w:id="107"/>
    </w:p>
    <w:p w14:paraId="2A54BEA1">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参与招标投标活动的各方应对招标文件和投标文件中的商业和技术等秘密保密，否则应承担相应的法律责任。</w:t>
      </w:r>
    </w:p>
    <w:p w14:paraId="6D47F449">
      <w:pPr>
        <w:pStyle w:val="4"/>
        <w:spacing w:line="420" w:lineRule="exact"/>
        <w:outlineLvl w:val="2"/>
        <w:rPr>
          <w:rFonts w:hint="eastAsia" w:ascii="宋体" w:hAnsi="宋体" w:eastAsia="宋体" w:cs="宋体"/>
          <w:b/>
          <w:bCs/>
          <w:color w:val="auto"/>
          <w:spacing w:val="6"/>
          <w:sz w:val="24"/>
          <w:szCs w:val="24"/>
          <w:highlight w:val="none"/>
        </w:rPr>
      </w:pPr>
      <w:bookmarkStart w:id="108" w:name="_Toc12471"/>
      <w:bookmarkStart w:id="109" w:name="_Toc1660790"/>
      <w:r>
        <w:rPr>
          <w:rFonts w:hint="eastAsia" w:ascii="宋体" w:hAnsi="宋体" w:eastAsia="宋体" w:cs="宋体"/>
          <w:b/>
          <w:bCs/>
          <w:color w:val="auto"/>
          <w:spacing w:val="6"/>
          <w:sz w:val="24"/>
          <w:szCs w:val="24"/>
          <w:highlight w:val="none"/>
        </w:rPr>
        <w:t>1.7 语言文字</w:t>
      </w:r>
      <w:bookmarkEnd w:id="108"/>
      <w:bookmarkEnd w:id="109"/>
    </w:p>
    <w:p w14:paraId="10D74F06">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招标投标文件使用的语言文字为中文。专用术语使用外文的，应附有中文注释。</w:t>
      </w:r>
    </w:p>
    <w:p w14:paraId="56046398">
      <w:pPr>
        <w:pStyle w:val="4"/>
        <w:spacing w:line="420" w:lineRule="exact"/>
        <w:outlineLvl w:val="2"/>
        <w:rPr>
          <w:rFonts w:hint="eastAsia" w:ascii="宋体" w:hAnsi="宋体" w:eastAsia="宋体" w:cs="宋体"/>
          <w:b/>
          <w:bCs/>
          <w:color w:val="auto"/>
          <w:spacing w:val="6"/>
          <w:sz w:val="24"/>
          <w:szCs w:val="24"/>
          <w:highlight w:val="none"/>
        </w:rPr>
      </w:pPr>
      <w:bookmarkStart w:id="110" w:name="_Toc1660791"/>
      <w:bookmarkStart w:id="111" w:name="_Toc13347"/>
      <w:r>
        <w:rPr>
          <w:rFonts w:hint="eastAsia" w:ascii="宋体" w:hAnsi="宋体" w:eastAsia="宋体" w:cs="宋体"/>
          <w:b/>
          <w:bCs/>
          <w:color w:val="auto"/>
          <w:spacing w:val="6"/>
          <w:sz w:val="24"/>
          <w:szCs w:val="24"/>
          <w:highlight w:val="none"/>
        </w:rPr>
        <w:t>1.8 计量单位</w:t>
      </w:r>
      <w:bookmarkEnd w:id="110"/>
      <w:bookmarkEnd w:id="111"/>
    </w:p>
    <w:p w14:paraId="7504601D">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所有计量均采用中华人民共和国法定计量单位。</w:t>
      </w:r>
    </w:p>
    <w:p w14:paraId="1628F012">
      <w:pPr>
        <w:pStyle w:val="4"/>
        <w:spacing w:line="420" w:lineRule="exact"/>
        <w:outlineLvl w:val="2"/>
        <w:rPr>
          <w:rFonts w:hint="eastAsia" w:ascii="宋体" w:hAnsi="宋体" w:eastAsia="宋体" w:cs="宋体"/>
          <w:b/>
          <w:bCs/>
          <w:color w:val="auto"/>
          <w:spacing w:val="6"/>
          <w:sz w:val="24"/>
          <w:szCs w:val="24"/>
          <w:highlight w:val="none"/>
        </w:rPr>
      </w:pPr>
      <w:bookmarkStart w:id="112" w:name="_Toc1660792"/>
      <w:bookmarkStart w:id="113" w:name="_Toc934"/>
      <w:r>
        <w:rPr>
          <w:rFonts w:hint="eastAsia" w:ascii="宋体" w:hAnsi="宋体" w:eastAsia="宋体" w:cs="宋体"/>
          <w:b/>
          <w:bCs/>
          <w:color w:val="auto"/>
          <w:spacing w:val="6"/>
          <w:sz w:val="24"/>
          <w:szCs w:val="24"/>
          <w:highlight w:val="none"/>
        </w:rPr>
        <w:t>1.9 投标预备会</w:t>
      </w:r>
      <w:bookmarkEnd w:id="112"/>
      <w:bookmarkEnd w:id="113"/>
    </w:p>
    <w:p w14:paraId="631036B9">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1.9.1 投标人须知前附表规定召开投标预备会的，采购人按投标人须知前附表规定的时间和地点召开投标预备会，澄清投标人提出的问题。</w:t>
      </w:r>
    </w:p>
    <w:p w14:paraId="506EA674">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1.9.2 投标人应按投标人须知前附表规定的时间和形式将提出的问题送达采购人，以便采购人在会议期间澄清。</w:t>
      </w:r>
    </w:p>
    <w:p w14:paraId="3A71456E">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1.9.3</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投标预备会后，采购人对投标人所提问题的澄清为招标文件的组成部分。</w:t>
      </w:r>
    </w:p>
    <w:p w14:paraId="4BDEE1C7">
      <w:pPr>
        <w:pStyle w:val="4"/>
        <w:spacing w:line="420" w:lineRule="exact"/>
        <w:outlineLvl w:val="2"/>
        <w:rPr>
          <w:rFonts w:hint="eastAsia" w:ascii="宋体" w:hAnsi="宋体" w:eastAsia="宋体" w:cs="宋体"/>
          <w:b/>
          <w:bCs/>
          <w:color w:val="auto"/>
          <w:spacing w:val="6"/>
          <w:sz w:val="24"/>
          <w:szCs w:val="24"/>
          <w:highlight w:val="none"/>
        </w:rPr>
      </w:pPr>
      <w:bookmarkStart w:id="114" w:name="_Toc1660793"/>
      <w:bookmarkStart w:id="115" w:name="_Toc8825"/>
      <w:r>
        <w:rPr>
          <w:rFonts w:hint="eastAsia" w:ascii="宋体" w:hAnsi="宋体" w:eastAsia="宋体" w:cs="宋体"/>
          <w:b/>
          <w:bCs/>
          <w:color w:val="auto"/>
          <w:spacing w:val="6"/>
          <w:sz w:val="24"/>
          <w:szCs w:val="24"/>
          <w:highlight w:val="none"/>
        </w:rPr>
        <w:t>1.10 分包</w:t>
      </w:r>
      <w:bookmarkEnd w:id="114"/>
      <w:bookmarkEnd w:id="115"/>
    </w:p>
    <w:p w14:paraId="43378E50">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1.10.1 投标人拟在中标后将中标项目的非主体</w:t>
      </w:r>
      <w:r>
        <w:rPr>
          <w:rFonts w:hint="eastAsia" w:ascii="宋体" w:hAnsi="宋体" w:eastAsia="宋体" w:cs="宋体"/>
          <w:color w:val="auto"/>
          <w:spacing w:val="6"/>
          <w:szCs w:val="21"/>
          <w:highlight w:val="none"/>
          <w:lang w:val="en-US" w:eastAsia="zh-CN"/>
        </w:rPr>
        <w:t>服务</w:t>
      </w:r>
      <w:r>
        <w:rPr>
          <w:rFonts w:hint="eastAsia" w:ascii="宋体" w:hAnsi="宋体" w:eastAsia="宋体" w:cs="宋体"/>
          <w:color w:val="auto"/>
          <w:spacing w:val="6"/>
          <w:szCs w:val="21"/>
          <w:highlight w:val="none"/>
        </w:rPr>
        <w:t>进行分包的，应符合投标人须知前附表规定的分包内容、分包金额和资质要求等限制性条件，除投标人须知前附表规定的非主体</w:t>
      </w:r>
      <w:r>
        <w:rPr>
          <w:rFonts w:hint="eastAsia" w:ascii="宋体" w:hAnsi="宋体" w:eastAsia="宋体" w:cs="宋体"/>
          <w:color w:val="auto"/>
          <w:spacing w:val="6"/>
          <w:szCs w:val="21"/>
          <w:highlight w:val="none"/>
          <w:lang w:val="en-US" w:eastAsia="zh-CN"/>
        </w:rPr>
        <w:t>服务</w:t>
      </w:r>
      <w:r>
        <w:rPr>
          <w:rFonts w:hint="eastAsia" w:ascii="宋体" w:hAnsi="宋体" w:eastAsia="宋体" w:cs="宋体"/>
          <w:color w:val="auto"/>
          <w:spacing w:val="6"/>
          <w:szCs w:val="21"/>
          <w:highlight w:val="none"/>
        </w:rPr>
        <w:t>外，其他工作不得分包。</w:t>
      </w:r>
    </w:p>
    <w:p w14:paraId="33510CA7">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1.10.2 中标人不得向他人转让中标项目，接受分包的人不得再次分包。中标人应当就分包项目向采购人负责，接受分包的人就分包项目承担连带责任。</w:t>
      </w:r>
    </w:p>
    <w:p w14:paraId="17B7CD3D">
      <w:pPr>
        <w:pStyle w:val="4"/>
        <w:spacing w:line="420" w:lineRule="exact"/>
        <w:outlineLvl w:val="2"/>
        <w:rPr>
          <w:rFonts w:hint="eastAsia" w:ascii="宋体" w:hAnsi="宋体" w:eastAsia="宋体" w:cs="宋体"/>
          <w:b/>
          <w:bCs/>
          <w:color w:val="auto"/>
          <w:spacing w:val="6"/>
          <w:sz w:val="24"/>
          <w:szCs w:val="24"/>
          <w:highlight w:val="none"/>
        </w:rPr>
      </w:pPr>
      <w:bookmarkStart w:id="116" w:name="_Toc3550"/>
      <w:bookmarkStart w:id="117" w:name="_Toc1660794"/>
      <w:r>
        <w:rPr>
          <w:rFonts w:hint="eastAsia" w:ascii="宋体" w:hAnsi="宋体" w:eastAsia="宋体" w:cs="宋体"/>
          <w:b/>
          <w:bCs/>
          <w:color w:val="auto"/>
          <w:spacing w:val="6"/>
          <w:sz w:val="24"/>
          <w:szCs w:val="24"/>
          <w:highlight w:val="none"/>
        </w:rPr>
        <w:t>1.11 响应和偏差</w:t>
      </w:r>
      <w:bookmarkEnd w:id="116"/>
      <w:bookmarkEnd w:id="117"/>
    </w:p>
    <w:p w14:paraId="463B3AA1">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1.11.1 投标文件应当对招标文件的实质性要求和条件作出满足性或更有利于采购人的响应，否则，投标人的投标</w:t>
      </w:r>
      <w:r>
        <w:rPr>
          <w:rFonts w:hint="eastAsia" w:ascii="宋体" w:hAnsi="宋体" w:eastAsia="宋体" w:cs="宋体"/>
          <w:color w:val="auto"/>
          <w:spacing w:val="6"/>
          <w:szCs w:val="21"/>
          <w:highlight w:val="none"/>
          <w:lang w:val="en-US" w:eastAsia="zh-CN"/>
        </w:rPr>
        <w:t>文件</w:t>
      </w:r>
      <w:r>
        <w:rPr>
          <w:rFonts w:hint="eastAsia" w:ascii="宋体" w:hAnsi="宋体" w:eastAsia="宋体" w:cs="宋体"/>
          <w:color w:val="auto"/>
          <w:spacing w:val="6"/>
          <w:szCs w:val="21"/>
          <w:highlight w:val="none"/>
        </w:rPr>
        <w:t>将被否决。实质性要求和条件见投标人须知前附表。</w:t>
      </w:r>
    </w:p>
    <w:p w14:paraId="3348F5E5">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1.11.2 投标人应根据招标文件的要求提供</w:t>
      </w:r>
      <w:r>
        <w:rPr>
          <w:rFonts w:hint="eastAsia" w:ascii="宋体" w:hAnsi="宋体" w:eastAsia="宋体" w:cs="宋体"/>
          <w:color w:val="auto"/>
          <w:spacing w:val="6"/>
          <w:szCs w:val="21"/>
          <w:highlight w:val="none"/>
          <w:lang w:val="en-US" w:eastAsia="zh-CN"/>
        </w:rPr>
        <w:t>服务</w:t>
      </w:r>
      <w:r>
        <w:rPr>
          <w:rFonts w:hint="eastAsia" w:ascii="宋体" w:hAnsi="宋体" w:eastAsia="宋体" w:cs="宋体"/>
          <w:color w:val="auto"/>
          <w:spacing w:val="6"/>
          <w:szCs w:val="21"/>
          <w:highlight w:val="none"/>
        </w:rPr>
        <w:t>要求响应与偏差表、商务要求响应与偏差表、重要技术条款的客观证明材料、售后服务计划等内容以对招标文件作出响应。</w:t>
      </w:r>
    </w:p>
    <w:p w14:paraId="44C773B6">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1.11.3 投标文件中应针对</w:t>
      </w:r>
      <w:r>
        <w:rPr>
          <w:rFonts w:hint="eastAsia" w:ascii="宋体" w:hAnsi="宋体" w:eastAsia="宋体" w:cs="宋体"/>
          <w:color w:val="auto"/>
          <w:spacing w:val="6"/>
          <w:szCs w:val="21"/>
          <w:highlight w:val="none"/>
          <w:lang w:val="en-US" w:eastAsia="zh-CN"/>
        </w:rPr>
        <w:t>重要服务</w:t>
      </w:r>
      <w:r>
        <w:rPr>
          <w:rFonts w:hint="eastAsia" w:ascii="宋体" w:hAnsi="宋体" w:eastAsia="宋体" w:cs="宋体"/>
          <w:color w:val="auto"/>
          <w:spacing w:val="6"/>
          <w:szCs w:val="21"/>
          <w:highlight w:val="none"/>
        </w:rPr>
        <w:t>要求提供技术支持资料。技术支持资料以制造商公开发布的印刷资料或检验检测机构出具的检测报告或</w:t>
      </w:r>
      <w:r>
        <w:rPr>
          <w:rFonts w:hint="eastAsia" w:ascii="宋体" w:hAnsi="宋体" w:eastAsia="宋体" w:cs="宋体"/>
          <w:color w:val="auto"/>
          <w:spacing w:val="6"/>
          <w:szCs w:val="21"/>
          <w:highlight w:val="none"/>
          <w:lang w:val="en-US" w:eastAsia="zh-CN"/>
        </w:rPr>
        <w:t>招标文件要求的</w:t>
      </w:r>
      <w:r>
        <w:rPr>
          <w:rFonts w:hint="eastAsia" w:ascii="宋体" w:hAnsi="宋体" w:eastAsia="宋体" w:cs="宋体"/>
          <w:color w:val="auto"/>
          <w:spacing w:val="6"/>
          <w:szCs w:val="21"/>
          <w:highlight w:val="none"/>
        </w:rPr>
        <w:t>其他形式为准</w:t>
      </w:r>
      <w:r>
        <w:rPr>
          <w:rFonts w:hint="eastAsia" w:ascii="宋体" w:hAnsi="宋体" w:eastAsia="宋体" w:cs="宋体"/>
          <w:spacing w:val="6"/>
          <w:szCs w:val="21"/>
          <w:highlight w:val="none"/>
        </w:rPr>
        <w:t>，不符合前述要求的，视为无技术支持资料。</w:t>
      </w:r>
    </w:p>
    <w:p w14:paraId="05E29C57">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1.11.4 投标人须知前附表规定了可以偏差的范围和最高偏差项数的，偏差应当符合投标人须知前附表规定的偏差范围和最高项数。</w:t>
      </w:r>
    </w:p>
    <w:p w14:paraId="12CFFFA7">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1.11.5 投标文件对招标文件的全部偏差，均应在投标文件的</w:t>
      </w:r>
      <w:r>
        <w:rPr>
          <w:rFonts w:hint="eastAsia" w:ascii="宋体" w:hAnsi="宋体" w:eastAsia="宋体" w:cs="宋体"/>
          <w:color w:val="auto"/>
          <w:spacing w:val="6"/>
          <w:szCs w:val="21"/>
          <w:highlight w:val="none"/>
          <w:lang w:val="en-US" w:eastAsia="zh-CN"/>
        </w:rPr>
        <w:t>服务</w:t>
      </w:r>
      <w:r>
        <w:rPr>
          <w:rFonts w:hint="eastAsia" w:ascii="宋体" w:hAnsi="宋体" w:eastAsia="宋体" w:cs="宋体"/>
          <w:color w:val="auto"/>
          <w:spacing w:val="6"/>
          <w:szCs w:val="21"/>
          <w:highlight w:val="none"/>
        </w:rPr>
        <w:t>要求响应与偏差表、商务要求响应与偏差表中列明，除列明的内容外，视为投标人响应招标文件的全部要求。</w:t>
      </w:r>
    </w:p>
    <w:p w14:paraId="4DE9509F">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1.11.6</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如投标文件</w:t>
      </w:r>
      <w:r>
        <w:rPr>
          <w:rFonts w:hint="eastAsia" w:ascii="宋体" w:hAnsi="宋体" w:eastAsia="宋体" w:cs="宋体"/>
          <w:color w:val="auto"/>
          <w:spacing w:val="6"/>
          <w:szCs w:val="21"/>
          <w:highlight w:val="none"/>
          <w:lang w:val="en-US" w:eastAsia="zh-CN"/>
        </w:rPr>
        <w:t>服务</w:t>
      </w:r>
      <w:r>
        <w:rPr>
          <w:rFonts w:hint="eastAsia" w:ascii="宋体" w:hAnsi="宋体" w:eastAsia="宋体" w:cs="宋体"/>
          <w:color w:val="auto"/>
          <w:spacing w:val="6"/>
          <w:szCs w:val="21"/>
          <w:highlight w:val="none"/>
        </w:rPr>
        <w:t>要求响应与偏差表、商务要求响应与偏差表中列明的内容与投标文件的其他地方存在不一致，以</w:t>
      </w:r>
      <w:r>
        <w:rPr>
          <w:rFonts w:hint="eastAsia" w:ascii="宋体" w:hAnsi="宋体" w:eastAsia="宋体" w:cs="宋体"/>
          <w:color w:val="auto"/>
          <w:spacing w:val="6"/>
          <w:szCs w:val="21"/>
          <w:highlight w:val="none"/>
          <w:lang w:val="en-US" w:eastAsia="zh-CN"/>
        </w:rPr>
        <w:t>服务</w:t>
      </w:r>
      <w:r>
        <w:rPr>
          <w:rFonts w:hint="eastAsia" w:ascii="宋体" w:hAnsi="宋体" w:eastAsia="宋体" w:cs="宋体"/>
          <w:color w:val="auto"/>
          <w:spacing w:val="6"/>
          <w:szCs w:val="21"/>
          <w:highlight w:val="none"/>
        </w:rPr>
        <w:t>要求响应与偏差表、商务要求响应与偏差表中列明的内容为准。</w:t>
      </w:r>
    </w:p>
    <w:p w14:paraId="71E3E303">
      <w:pPr>
        <w:pStyle w:val="3"/>
        <w:spacing w:line="420" w:lineRule="exact"/>
        <w:outlineLvl w:val="1"/>
        <w:rPr>
          <w:rFonts w:hint="eastAsia" w:ascii="宋体" w:hAnsi="宋体" w:eastAsia="宋体" w:cs="宋体"/>
          <w:b/>
          <w:bCs/>
          <w:color w:val="auto"/>
          <w:spacing w:val="6"/>
          <w:sz w:val="28"/>
          <w:szCs w:val="28"/>
          <w:highlight w:val="none"/>
        </w:rPr>
      </w:pPr>
      <w:bookmarkStart w:id="118" w:name="_Toc25667"/>
      <w:bookmarkStart w:id="119" w:name="_Toc25043"/>
      <w:bookmarkStart w:id="120" w:name="_Toc1660795"/>
      <w:bookmarkStart w:id="121" w:name="_Toc16213"/>
      <w:bookmarkStart w:id="122" w:name="_Toc9990"/>
      <w:bookmarkStart w:id="123" w:name="_Toc24318"/>
      <w:r>
        <w:rPr>
          <w:rFonts w:hint="eastAsia" w:ascii="宋体" w:hAnsi="宋体" w:eastAsia="宋体" w:cs="宋体"/>
          <w:b/>
          <w:bCs/>
          <w:color w:val="auto"/>
          <w:spacing w:val="6"/>
          <w:sz w:val="28"/>
          <w:szCs w:val="28"/>
          <w:highlight w:val="none"/>
        </w:rPr>
        <w:t>2.</w:t>
      </w:r>
      <w:r>
        <w:rPr>
          <w:rFonts w:hint="eastAsia" w:ascii="宋体" w:hAnsi="宋体" w:eastAsia="宋体" w:cs="宋体"/>
          <w:b/>
          <w:bCs/>
          <w:color w:val="auto"/>
          <w:spacing w:val="6"/>
          <w:sz w:val="28"/>
          <w:szCs w:val="28"/>
          <w:highlight w:val="none"/>
          <w:lang w:val="en-US"/>
        </w:rPr>
        <w:t xml:space="preserve"> </w:t>
      </w:r>
      <w:r>
        <w:rPr>
          <w:rFonts w:hint="eastAsia" w:ascii="宋体" w:hAnsi="宋体" w:eastAsia="宋体" w:cs="宋体"/>
          <w:b/>
          <w:bCs/>
          <w:color w:val="auto"/>
          <w:spacing w:val="6"/>
          <w:sz w:val="28"/>
          <w:szCs w:val="28"/>
          <w:highlight w:val="none"/>
        </w:rPr>
        <w:t>招标文件</w:t>
      </w:r>
      <w:bookmarkEnd w:id="118"/>
      <w:bookmarkEnd w:id="119"/>
      <w:bookmarkEnd w:id="120"/>
      <w:bookmarkEnd w:id="121"/>
      <w:bookmarkEnd w:id="122"/>
      <w:bookmarkEnd w:id="123"/>
    </w:p>
    <w:p w14:paraId="797A3875">
      <w:pPr>
        <w:pStyle w:val="4"/>
        <w:spacing w:line="420" w:lineRule="exact"/>
        <w:outlineLvl w:val="2"/>
        <w:rPr>
          <w:rFonts w:hint="eastAsia" w:ascii="宋体" w:hAnsi="宋体" w:eastAsia="宋体" w:cs="宋体"/>
          <w:b/>
          <w:bCs/>
          <w:color w:val="auto"/>
          <w:spacing w:val="6"/>
          <w:sz w:val="24"/>
          <w:szCs w:val="24"/>
          <w:highlight w:val="none"/>
        </w:rPr>
      </w:pPr>
      <w:bookmarkStart w:id="124" w:name="_Toc1734"/>
      <w:bookmarkStart w:id="125" w:name="_Toc1660796"/>
      <w:r>
        <w:rPr>
          <w:rFonts w:hint="eastAsia" w:ascii="宋体" w:hAnsi="宋体" w:eastAsia="宋体" w:cs="宋体"/>
          <w:b/>
          <w:bCs/>
          <w:color w:val="auto"/>
          <w:spacing w:val="6"/>
          <w:sz w:val="24"/>
          <w:szCs w:val="24"/>
          <w:highlight w:val="none"/>
        </w:rPr>
        <w:t>2.1 招标文件的组成</w:t>
      </w:r>
      <w:bookmarkEnd w:id="124"/>
      <w:bookmarkEnd w:id="125"/>
    </w:p>
    <w:p w14:paraId="28519C79">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本招标文件包括：</w:t>
      </w:r>
    </w:p>
    <w:p w14:paraId="1FF5134F">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（1）招标公告；</w:t>
      </w:r>
    </w:p>
    <w:p w14:paraId="6DCE2819">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（2）投标人须知； </w:t>
      </w:r>
    </w:p>
    <w:p w14:paraId="13DC2380">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（3）采购需求；</w:t>
      </w:r>
    </w:p>
    <w:p w14:paraId="270150D4">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（4）合同（样本）；</w:t>
      </w:r>
    </w:p>
    <w:p w14:paraId="676426A5">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（5）评标办法；</w:t>
      </w:r>
    </w:p>
    <w:p w14:paraId="1B0F89CB">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（6）投标文件格式。</w:t>
      </w:r>
    </w:p>
    <w:p w14:paraId="7D753883">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根据本章第 1.9 款、第 2.2 款对招标文件所作的澄清、修改，构成招标文件的组成部分。</w:t>
      </w:r>
    </w:p>
    <w:p w14:paraId="63C52ADF">
      <w:pPr>
        <w:pStyle w:val="4"/>
        <w:spacing w:line="420" w:lineRule="exact"/>
        <w:outlineLvl w:val="2"/>
        <w:rPr>
          <w:rFonts w:hint="eastAsia" w:ascii="宋体" w:hAnsi="宋体" w:eastAsia="宋体" w:cs="宋体"/>
          <w:b/>
          <w:bCs/>
          <w:color w:val="auto"/>
          <w:spacing w:val="6"/>
          <w:sz w:val="24"/>
          <w:szCs w:val="24"/>
          <w:highlight w:val="none"/>
        </w:rPr>
      </w:pPr>
      <w:bookmarkStart w:id="126" w:name="_Toc1660797"/>
      <w:bookmarkStart w:id="127" w:name="_Toc8154"/>
      <w:r>
        <w:rPr>
          <w:rFonts w:hint="eastAsia" w:ascii="宋体" w:hAnsi="宋体" w:eastAsia="宋体" w:cs="宋体"/>
          <w:b/>
          <w:bCs/>
          <w:color w:val="auto"/>
          <w:spacing w:val="6"/>
          <w:sz w:val="24"/>
          <w:szCs w:val="24"/>
          <w:highlight w:val="none"/>
        </w:rPr>
        <w:t>2.2 招标文件的澄清</w:t>
      </w:r>
      <w:bookmarkEnd w:id="126"/>
      <w:r>
        <w:rPr>
          <w:rFonts w:hint="eastAsia" w:ascii="宋体" w:hAnsi="宋体" w:eastAsia="宋体" w:cs="宋体"/>
          <w:b/>
          <w:bCs/>
          <w:color w:val="auto"/>
          <w:spacing w:val="6"/>
          <w:sz w:val="24"/>
          <w:szCs w:val="24"/>
          <w:highlight w:val="none"/>
        </w:rPr>
        <w:t>、修改</w:t>
      </w:r>
      <w:bookmarkEnd w:id="127"/>
    </w:p>
    <w:p w14:paraId="7FE898AB">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2.2.1</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投标人应仔细阅读和检查招标文件的全部内容。如发现缺页或附件不全，应及时向采购代理机构提出，以便补齐。如有疑问，应按投标人须知前附表规定的时间和形式将提出的问题送达采购代理机构，要求对招标文件予以澄清。</w:t>
      </w:r>
    </w:p>
    <w:p w14:paraId="53368F7B">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2.2.2</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招标文件的澄清、修改将在投标人须知前附表规定的投标截止时间15日前发给所有已获取招标文件的投标人，但不指明问题的来源。如果澄清、修改发出的时间距投标截止时间不足 15日的，并且澄清、修改的内容可能影响投标文件编制的，将相应延长投标截止时间。</w:t>
      </w:r>
    </w:p>
    <w:p w14:paraId="20CDE3B5">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2.2.3 除非采购人认为确有必要答复，否则，采购人有权拒绝回复投标人在本章第 2.2.1 项规定的时间后的任何澄清要求。招标文件的澄清、修改的发出形式见投标人须知前附表。</w:t>
      </w:r>
    </w:p>
    <w:p w14:paraId="1D8B48C0">
      <w:pPr>
        <w:pStyle w:val="3"/>
        <w:spacing w:line="420" w:lineRule="exact"/>
        <w:outlineLvl w:val="1"/>
        <w:rPr>
          <w:rFonts w:hint="eastAsia" w:ascii="宋体" w:hAnsi="宋体" w:eastAsia="宋体" w:cs="宋体"/>
          <w:b/>
          <w:bCs/>
          <w:color w:val="auto"/>
          <w:spacing w:val="6"/>
          <w:sz w:val="28"/>
          <w:szCs w:val="28"/>
          <w:highlight w:val="none"/>
        </w:rPr>
      </w:pPr>
      <w:bookmarkStart w:id="128" w:name="_Toc18121"/>
      <w:bookmarkStart w:id="129" w:name="_Toc13138"/>
      <w:bookmarkStart w:id="130" w:name="_Toc1452"/>
      <w:bookmarkStart w:id="131" w:name="_Toc15065"/>
      <w:bookmarkStart w:id="132" w:name="_Toc15795"/>
      <w:bookmarkStart w:id="133" w:name="_Toc1660799"/>
      <w:r>
        <w:rPr>
          <w:rFonts w:hint="eastAsia" w:ascii="宋体" w:hAnsi="宋体" w:eastAsia="宋体" w:cs="宋体"/>
          <w:b/>
          <w:bCs/>
          <w:color w:val="auto"/>
          <w:spacing w:val="6"/>
          <w:sz w:val="28"/>
          <w:szCs w:val="28"/>
          <w:highlight w:val="none"/>
        </w:rPr>
        <w:t>3.</w:t>
      </w:r>
      <w:r>
        <w:rPr>
          <w:rFonts w:hint="eastAsia" w:ascii="宋体" w:hAnsi="宋体" w:eastAsia="宋体" w:cs="宋体"/>
          <w:b/>
          <w:bCs/>
          <w:color w:val="auto"/>
          <w:spacing w:val="6"/>
          <w:sz w:val="28"/>
          <w:szCs w:val="28"/>
          <w:highlight w:val="none"/>
          <w:lang w:val="en-US"/>
        </w:rPr>
        <w:t xml:space="preserve"> </w:t>
      </w:r>
      <w:r>
        <w:rPr>
          <w:rFonts w:hint="eastAsia" w:ascii="宋体" w:hAnsi="宋体" w:eastAsia="宋体" w:cs="宋体"/>
          <w:b/>
          <w:bCs/>
          <w:color w:val="auto"/>
          <w:spacing w:val="6"/>
          <w:sz w:val="28"/>
          <w:szCs w:val="28"/>
          <w:highlight w:val="none"/>
        </w:rPr>
        <w:t>投标文件</w:t>
      </w:r>
      <w:bookmarkEnd w:id="128"/>
      <w:bookmarkEnd w:id="129"/>
      <w:bookmarkEnd w:id="130"/>
      <w:bookmarkEnd w:id="131"/>
      <w:bookmarkEnd w:id="132"/>
      <w:bookmarkEnd w:id="133"/>
    </w:p>
    <w:p w14:paraId="7EBE5FBA">
      <w:pPr>
        <w:pStyle w:val="4"/>
        <w:spacing w:line="420" w:lineRule="exact"/>
        <w:outlineLvl w:val="2"/>
        <w:rPr>
          <w:rFonts w:hint="eastAsia" w:ascii="宋体" w:hAnsi="宋体" w:eastAsia="宋体" w:cs="宋体"/>
          <w:b/>
          <w:bCs/>
          <w:color w:val="auto"/>
          <w:spacing w:val="6"/>
          <w:sz w:val="24"/>
          <w:szCs w:val="24"/>
          <w:highlight w:val="none"/>
        </w:rPr>
      </w:pPr>
      <w:bookmarkStart w:id="134" w:name="_Toc10262"/>
      <w:bookmarkStart w:id="135" w:name="_Toc1660800"/>
      <w:r>
        <w:rPr>
          <w:rFonts w:hint="eastAsia" w:ascii="宋体" w:hAnsi="宋体" w:eastAsia="宋体" w:cs="宋体"/>
          <w:b/>
          <w:bCs/>
          <w:color w:val="auto"/>
          <w:spacing w:val="6"/>
          <w:sz w:val="24"/>
          <w:szCs w:val="24"/>
          <w:highlight w:val="none"/>
        </w:rPr>
        <w:t>3.1 投标文件的组成</w:t>
      </w:r>
      <w:bookmarkEnd w:id="134"/>
      <w:bookmarkEnd w:id="135"/>
    </w:p>
    <w:p w14:paraId="461D29D2">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3.1.1 投标文件应包括下列内容：</w:t>
      </w:r>
    </w:p>
    <w:p w14:paraId="0417C076">
      <w:pPr>
        <w:pStyle w:val="20"/>
        <w:tabs>
          <w:tab w:val="right" w:leader="dot" w:pos="9072"/>
        </w:tabs>
        <w:rPr>
          <w:sz w:val="21"/>
          <w:szCs w:val="21"/>
        </w:rPr>
      </w:pPr>
      <w:r>
        <w:rPr>
          <w:sz w:val="21"/>
          <w:szCs w:val="28"/>
        </w:rPr>
        <w:fldChar w:fldCharType="begin"/>
      </w:r>
      <w:r>
        <w:rPr>
          <w:sz w:val="21"/>
          <w:szCs w:val="28"/>
        </w:rPr>
        <w:instrText xml:space="preserve"> HYPERLINK \l _Toc22383 </w:instrText>
      </w:r>
      <w:r>
        <w:rPr>
          <w:sz w:val="21"/>
          <w:szCs w:val="28"/>
        </w:rPr>
        <w:fldChar w:fldCharType="separate"/>
      </w:r>
      <w:r>
        <w:rPr>
          <w:rFonts w:hint="eastAsia" w:ascii="宋体" w:hAnsi="宋体" w:cs="宋体"/>
          <w:bCs w:val="0"/>
          <w:spacing w:val="6"/>
          <w:sz w:val="21"/>
          <w:szCs w:val="32"/>
          <w:highlight w:val="none"/>
          <w:lang w:val="en-US" w:eastAsia="zh-CN"/>
        </w:rPr>
        <w:t>（1）</w:t>
      </w:r>
      <w:r>
        <w:rPr>
          <w:rFonts w:hint="eastAsia" w:ascii="宋体" w:hAnsi="宋体" w:eastAsia="宋体" w:cs="宋体"/>
          <w:bCs w:val="0"/>
          <w:spacing w:val="6"/>
          <w:sz w:val="21"/>
          <w:szCs w:val="32"/>
          <w:highlight w:val="none"/>
        </w:rPr>
        <w:t>投标函</w:t>
      </w:r>
      <w:r>
        <w:rPr>
          <w:sz w:val="21"/>
          <w:szCs w:val="28"/>
        </w:rPr>
        <w:fldChar w:fldCharType="end"/>
      </w:r>
    </w:p>
    <w:p w14:paraId="61E47F92">
      <w:pPr>
        <w:pStyle w:val="20"/>
        <w:tabs>
          <w:tab w:val="right" w:leader="dot" w:pos="9072"/>
        </w:tabs>
        <w:rPr>
          <w:sz w:val="21"/>
          <w:szCs w:val="21"/>
        </w:rPr>
      </w:pPr>
      <w:r>
        <w:rPr>
          <w:sz w:val="21"/>
          <w:szCs w:val="28"/>
        </w:rPr>
        <w:fldChar w:fldCharType="begin"/>
      </w:r>
      <w:r>
        <w:rPr>
          <w:sz w:val="21"/>
          <w:szCs w:val="28"/>
        </w:rPr>
        <w:instrText xml:space="preserve"> HYPERLINK \l _Toc22404 </w:instrText>
      </w:r>
      <w:r>
        <w:rPr>
          <w:sz w:val="21"/>
          <w:szCs w:val="28"/>
        </w:rPr>
        <w:fldChar w:fldCharType="separate"/>
      </w:r>
      <w:r>
        <w:rPr>
          <w:rFonts w:hint="eastAsia" w:ascii="宋体" w:hAnsi="宋体" w:cs="宋体"/>
          <w:bCs w:val="0"/>
          <w:spacing w:val="6"/>
          <w:sz w:val="21"/>
          <w:szCs w:val="32"/>
          <w:highlight w:val="none"/>
          <w:lang w:val="en-US" w:eastAsia="zh-CN"/>
        </w:rPr>
        <w:t>（2）</w:t>
      </w:r>
      <w:r>
        <w:rPr>
          <w:rFonts w:hint="eastAsia" w:ascii="宋体" w:hAnsi="宋体" w:eastAsia="宋体" w:cs="宋体"/>
          <w:bCs w:val="0"/>
          <w:spacing w:val="6"/>
          <w:sz w:val="21"/>
          <w:szCs w:val="32"/>
          <w:highlight w:val="none"/>
        </w:rPr>
        <w:t>开标一览表</w:t>
      </w:r>
      <w:r>
        <w:rPr>
          <w:sz w:val="21"/>
          <w:szCs w:val="28"/>
        </w:rPr>
        <w:fldChar w:fldCharType="end"/>
      </w:r>
    </w:p>
    <w:p w14:paraId="21E6D313">
      <w:pPr>
        <w:pStyle w:val="20"/>
        <w:tabs>
          <w:tab w:val="right" w:leader="dot" w:pos="9072"/>
        </w:tabs>
        <w:rPr>
          <w:sz w:val="21"/>
          <w:szCs w:val="21"/>
        </w:rPr>
      </w:pPr>
      <w:r>
        <w:rPr>
          <w:sz w:val="21"/>
          <w:szCs w:val="28"/>
        </w:rPr>
        <w:fldChar w:fldCharType="begin"/>
      </w:r>
      <w:r>
        <w:rPr>
          <w:sz w:val="21"/>
          <w:szCs w:val="28"/>
        </w:rPr>
        <w:instrText xml:space="preserve"> HYPERLINK \l _Toc24101 </w:instrText>
      </w:r>
      <w:r>
        <w:rPr>
          <w:sz w:val="21"/>
          <w:szCs w:val="28"/>
        </w:rPr>
        <w:fldChar w:fldCharType="separate"/>
      </w:r>
      <w:r>
        <w:rPr>
          <w:rFonts w:hint="eastAsia" w:ascii="宋体" w:hAnsi="宋体" w:cs="宋体"/>
          <w:bCs w:val="0"/>
          <w:spacing w:val="6"/>
          <w:sz w:val="21"/>
          <w:szCs w:val="32"/>
          <w:highlight w:val="none"/>
          <w:lang w:val="en-US" w:eastAsia="zh-CN"/>
        </w:rPr>
        <w:t>（3）</w:t>
      </w:r>
      <w:r>
        <w:rPr>
          <w:rFonts w:hint="eastAsia" w:ascii="宋体" w:hAnsi="宋体" w:eastAsia="宋体" w:cs="宋体"/>
          <w:bCs w:val="0"/>
          <w:spacing w:val="6"/>
          <w:sz w:val="21"/>
          <w:szCs w:val="32"/>
          <w:highlight w:val="none"/>
          <w:lang w:val="en-US" w:eastAsia="zh-CN"/>
        </w:rPr>
        <w:t>报价</w:t>
      </w:r>
      <w:r>
        <w:rPr>
          <w:rFonts w:hint="eastAsia" w:ascii="宋体" w:hAnsi="宋体" w:eastAsia="宋体" w:cs="宋体"/>
          <w:bCs w:val="0"/>
          <w:spacing w:val="6"/>
          <w:sz w:val="21"/>
          <w:szCs w:val="32"/>
          <w:highlight w:val="none"/>
        </w:rPr>
        <w:t>明细表</w:t>
      </w:r>
      <w:r>
        <w:rPr>
          <w:sz w:val="21"/>
          <w:szCs w:val="28"/>
        </w:rPr>
        <w:fldChar w:fldCharType="end"/>
      </w:r>
    </w:p>
    <w:p w14:paraId="7AB0CE21">
      <w:pPr>
        <w:pStyle w:val="20"/>
        <w:tabs>
          <w:tab w:val="right" w:leader="dot" w:pos="9072"/>
        </w:tabs>
        <w:rPr>
          <w:sz w:val="21"/>
          <w:szCs w:val="21"/>
        </w:rPr>
      </w:pPr>
      <w:r>
        <w:rPr>
          <w:sz w:val="21"/>
          <w:szCs w:val="28"/>
        </w:rPr>
        <w:fldChar w:fldCharType="begin"/>
      </w:r>
      <w:r>
        <w:rPr>
          <w:sz w:val="21"/>
          <w:szCs w:val="28"/>
        </w:rPr>
        <w:instrText xml:space="preserve"> HYPERLINK \l _Toc9044 </w:instrText>
      </w:r>
      <w:r>
        <w:rPr>
          <w:sz w:val="21"/>
          <w:szCs w:val="28"/>
        </w:rPr>
        <w:fldChar w:fldCharType="separate"/>
      </w:r>
      <w:r>
        <w:rPr>
          <w:rFonts w:hint="eastAsia" w:ascii="宋体" w:hAnsi="宋体" w:cs="宋体"/>
          <w:bCs w:val="0"/>
          <w:spacing w:val="6"/>
          <w:sz w:val="21"/>
          <w:szCs w:val="32"/>
          <w:highlight w:val="none"/>
          <w:lang w:val="en-US" w:eastAsia="zh-CN"/>
        </w:rPr>
        <w:t>（4）</w:t>
      </w:r>
      <w:r>
        <w:rPr>
          <w:rFonts w:hint="eastAsia" w:ascii="宋体" w:hAnsi="宋体" w:eastAsia="宋体" w:cs="宋体"/>
          <w:bCs w:val="0"/>
          <w:spacing w:val="6"/>
          <w:sz w:val="21"/>
          <w:szCs w:val="32"/>
          <w:highlight w:val="none"/>
          <w:lang w:val="en-US" w:eastAsia="zh-CN"/>
        </w:rPr>
        <w:t>法定代表人授权委托书</w:t>
      </w:r>
      <w:r>
        <w:rPr>
          <w:sz w:val="21"/>
          <w:szCs w:val="28"/>
        </w:rPr>
        <w:fldChar w:fldCharType="end"/>
      </w:r>
    </w:p>
    <w:p w14:paraId="039064AA">
      <w:pPr>
        <w:pStyle w:val="20"/>
        <w:tabs>
          <w:tab w:val="right" w:leader="dot" w:pos="9072"/>
        </w:tabs>
        <w:rPr>
          <w:sz w:val="21"/>
          <w:szCs w:val="21"/>
        </w:rPr>
      </w:pPr>
      <w:r>
        <w:rPr>
          <w:sz w:val="21"/>
          <w:szCs w:val="28"/>
        </w:rPr>
        <w:fldChar w:fldCharType="begin"/>
      </w:r>
      <w:r>
        <w:rPr>
          <w:sz w:val="21"/>
          <w:szCs w:val="28"/>
        </w:rPr>
        <w:instrText xml:space="preserve"> HYPERLINK \l _Toc16260 </w:instrText>
      </w:r>
      <w:r>
        <w:rPr>
          <w:sz w:val="21"/>
          <w:szCs w:val="28"/>
        </w:rPr>
        <w:fldChar w:fldCharType="separate"/>
      </w:r>
      <w:r>
        <w:rPr>
          <w:rFonts w:hint="eastAsia" w:ascii="宋体" w:hAnsi="宋体" w:cs="宋体"/>
          <w:bCs w:val="0"/>
          <w:spacing w:val="6"/>
          <w:sz w:val="21"/>
          <w:szCs w:val="32"/>
          <w:highlight w:val="none"/>
          <w:lang w:val="en-US" w:eastAsia="zh-CN"/>
        </w:rPr>
        <w:t>（5）</w:t>
      </w:r>
      <w:r>
        <w:rPr>
          <w:rFonts w:hint="eastAsia" w:ascii="宋体" w:hAnsi="宋体" w:eastAsia="宋体" w:cs="宋体"/>
          <w:bCs w:val="0"/>
          <w:spacing w:val="6"/>
          <w:sz w:val="21"/>
          <w:szCs w:val="32"/>
          <w:highlight w:val="none"/>
          <w:lang w:val="en-US" w:eastAsia="zh-CN"/>
        </w:rPr>
        <w:t>投标承诺函</w:t>
      </w:r>
      <w:r>
        <w:rPr>
          <w:sz w:val="21"/>
          <w:szCs w:val="28"/>
        </w:rPr>
        <w:fldChar w:fldCharType="end"/>
      </w:r>
    </w:p>
    <w:p w14:paraId="1C2D3E73">
      <w:pPr>
        <w:pStyle w:val="20"/>
        <w:tabs>
          <w:tab w:val="right" w:leader="dot" w:pos="9072"/>
        </w:tabs>
        <w:rPr>
          <w:rFonts w:hint="eastAsia" w:ascii="宋体" w:hAnsi="宋体" w:eastAsia="宋体" w:cs="宋体"/>
          <w:bCs w:val="0"/>
          <w:spacing w:val="6"/>
          <w:sz w:val="21"/>
          <w:szCs w:val="32"/>
          <w:highlight w:val="none"/>
          <w:lang w:val="en-US" w:eastAsia="zh-CN"/>
        </w:rPr>
      </w:pPr>
      <w:r>
        <w:rPr>
          <w:rFonts w:hint="eastAsia" w:ascii="宋体" w:hAnsi="宋体" w:eastAsia="宋体" w:cs="宋体"/>
          <w:bCs w:val="0"/>
          <w:spacing w:val="6"/>
          <w:sz w:val="21"/>
          <w:szCs w:val="32"/>
          <w:highlight w:val="none"/>
          <w:lang w:val="en-US" w:eastAsia="zh-CN"/>
        </w:rPr>
        <w:fldChar w:fldCharType="begin"/>
      </w:r>
      <w:r>
        <w:rPr>
          <w:rFonts w:hint="eastAsia" w:ascii="宋体" w:hAnsi="宋体" w:eastAsia="宋体" w:cs="宋体"/>
          <w:bCs w:val="0"/>
          <w:spacing w:val="6"/>
          <w:sz w:val="21"/>
          <w:szCs w:val="32"/>
          <w:highlight w:val="none"/>
          <w:lang w:val="en-US" w:eastAsia="zh-CN"/>
        </w:rPr>
        <w:instrText xml:space="preserve"> HYPERLINK \l _Toc747 </w:instrText>
      </w:r>
      <w:r>
        <w:rPr>
          <w:rFonts w:hint="eastAsia" w:ascii="宋体" w:hAnsi="宋体" w:eastAsia="宋体" w:cs="宋体"/>
          <w:bCs w:val="0"/>
          <w:spacing w:val="6"/>
          <w:sz w:val="21"/>
          <w:szCs w:val="32"/>
          <w:highlight w:val="none"/>
          <w:lang w:val="en-US" w:eastAsia="zh-CN"/>
        </w:rPr>
        <w:fldChar w:fldCharType="separate"/>
      </w:r>
      <w:r>
        <w:rPr>
          <w:rFonts w:hint="eastAsia" w:ascii="宋体" w:hAnsi="宋体" w:eastAsia="宋体" w:cs="宋体"/>
          <w:bCs w:val="0"/>
          <w:spacing w:val="6"/>
          <w:sz w:val="21"/>
          <w:szCs w:val="32"/>
          <w:highlight w:val="none"/>
          <w:lang w:val="en-US" w:eastAsia="zh-CN"/>
        </w:rPr>
        <w:t>（6）资格证明材料</w:t>
      </w:r>
      <w:r>
        <w:rPr>
          <w:rFonts w:hint="eastAsia" w:ascii="宋体" w:hAnsi="宋体" w:eastAsia="宋体" w:cs="宋体"/>
          <w:bCs w:val="0"/>
          <w:spacing w:val="6"/>
          <w:sz w:val="21"/>
          <w:szCs w:val="32"/>
          <w:highlight w:val="none"/>
          <w:lang w:val="en-US" w:eastAsia="zh-CN"/>
        </w:rPr>
        <w:fldChar w:fldCharType="end"/>
      </w:r>
    </w:p>
    <w:p w14:paraId="5581840C">
      <w:pPr>
        <w:pStyle w:val="20"/>
        <w:tabs>
          <w:tab w:val="right" w:leader="dot" w:pos="9072"/>
        </w:tabs>
        <w:rPr>
          <w:rFonts w:hint="eastAsia" w:ascii="宋体" w:hAnsi="宋体" w:eastAsia="宋体" w:cs="宋体"/>
          <w:bCs w:val="0"/>
          <w:spacing w:val="6"/>
          <w:sz w:val="21"/>
          <w:szCs w:val="32"/>
          <w:highlight w:val="none"/>
          <w:lang w:val="en-US" w:eastAsia="zh-CN"/>
        </w:rPr>
      </w:pPr>
      <w:r>
        <w:rPr>
          <w:rFonts w:hint="eastAsia" w:ascii="宋体" w:hAnsi="宋体" w:eastAsia="宋体" w:cs="宋体"/>
          <w:bCs w:val="0"/>
          <w:spacing w:val="6"/>
          <w:sz w:val="21"/>
          <w:szCs w:val="32"/>
          <w:highlight w:val="none"/>
          <w:lang w:val="en-US" w:eastAsia="zh-CN"/>
        </w:rPr>
        <w:fldChar w:fldCharType="begin"/>
      </w:r>
      <w:r>
        <w:rPr>
          <w:rFonts w:hint="eastAsia" w:ascii="宋体" w:hAnsi="宋体" w:eastAsia="宋体" w:cs="宋体"/>
          <w:bCs w:val="0"/>
          <w:spacing w:val="6"/>
          <w:sz w:val="21"/>
          <w:szCs w:val="32"/>
          <w:highlight w:val="none"/>
          <w:lang w:val="en-US" w:eastAsia="zh-CN"/>
        </w:rPr>
        <w:instrText xml:space="preserve"> HYPERLINK \l _Toc7995 </w:instrText>
      </w:r>
      <w:r>
        <w:rPr>
          <w:rFonts w:hint="eastAsia" w:ascii="宋体" w:hAnsi="宋体" w:eastAsia="宋体" w:cs="宋体"/>
          <w:bCs w:val="0"/>
          <w:spacing w:val="6"/>
          <w:sz w:val="21"/>
          <w:szCs w:val="32"/>
          <w:highlight w:val="none"/>
          <w:lang w:val="en-US" w:eastAsia="zh-CN"/>
        </w:rPr>
        <w:fldChar w:fldCharType="separate"/>
      </w:r>
      <w:r>
        <w:rPr>
          <w:rFonts w:hint="eastAsia" w:ascii="宋体" w:hAnsi="宋体" w:eastAsia="宋体" w:cs="宋体"/>
          <w:bCs w:val="0"/>
          <w:spacing w:val="6"/>
          <w:sz w:val="21"/>
          <w:szCs w:val="32"/>
          <w:highlight w:val="none"/>
          <w:lang w:val="en-US" w:eastAsia="zh-CN"/>
        </w:rPr>
        <w:t>（7）商务要求响应与偏差表</w:t>
      </w:r>
      <w:r>
        <w:rPr>
          <w:rFonts w:hint="eastAsia" w:ascii="宋体" w:hAnsi="宋体" w:eastAsia="宋体" w:cs="宋体"/>
          <w:bCs w:val="0"/>
          <w:spacing w:val="6"/>
          <w:sz w:val="21"/>
          <w:szCs w:val="32"/>
          <w:highlight w:val="none"/>
          <w:lang w:val="en-US" w:eastAsia="zh-CN"/>
        </w:rPr>
        <w:fldChar w:fldCharType="end"/>
      </w:r>
    </w:p>
    <w:p w14:paraId="1EC37ADD">
      <w:pPr>
        <w:pStyle w:val="20"/>
        <w:tabs>
          <w:tab w:val="right" w:leader="dot" w:pos="9072"/>
        </w:tabs>
        <w:rPr>
          <w:rFonts w:hint="eastAsia" w:ascii="宋体" w:hAnsi="宋体" w:eastAsia="宋体" w:cs="宋体"/>
          <w:bCs w:val="0"/>
          <w:spacing w:val="6"/>
          <w:sz w:val="21"/>
          <w:szCs w:val="32"/>
          <w:highlight w:val="none"/>
          <w:lang w:val="en-US" w:eastAsia="zh-CN"/>
        </w:rPr>
      </w:pPr>
      <w:r>
        <w:rPr>
          <w:rFonts w:hint="eastAsia" w:ascii="宋体" w:hAnsi="宋体" w:eastAsia="宋体" w:cs="宋体"/>
          <w:bCs w:val="0"/>
          <w:spacing w:val="6"/>
          <w:sz w:val="21"/>
          <w:szCs w:val="32"/>
          <w:highlight w:val="none"/>
          <w:lang w:val="en-US" w:eastAsia="zh-CN"/>
        </w:rPr>
        <w:fldChar w:fldCharType="begin"/>
      </w:r>
      <w:r>
        <w:rPr>
          <w:rFonts w:hint="eastAsia" w:ascii="宋体" w:hAnsi="宋体" w:eastAsia="宋体" w:cs="宋体"/>
          <w:bCs w:val="0"/>
          <w:spacing w:val="6"/>
          <w:sz w:val="21"/>
          <w:szCs w:val="32"/>
          <w:highlight w:val="none"/>
          <w:lang w:val="en-US" w:eastAsia="zh-CN"/>
        </w:rPr>
        <w:instrText xml:space="preserve"> HYPERLINK \l _Toc19307 </w:instrText>
      </w:r>
      <w:r>
        <w:rPr>
          <w:rFonts w:hint="eastAsia" w:ascii="宋体" w:hAnsi="宋体" w:eastAsia="宋体" w:cs="宋体"/>
          <w:bCs w:val="0"/>
          <w:spacing w:val="6"/>
          <w:sz w:val="21"/>
          <w:szCs w:val="32"/>
          <w:highlight w:val="none"/>
          <w:lang w:val="en-US" w:eastAsia="zh-CN"/>
        </w:rPr>
        <w:fldChar w:fldCharType="separate"/>
      </w:r>
      <w:r>
        <w:rPr>
          <w:rFonts w:hint="eastAsia" w:ascii="宋体" w:hAnsi="宋体" w:eastAsia="宋体" w:cs="宋体"/>
          <w:bCs w:val="0"/>
          <w:spacing w:val="6"/>
          <w:sz w:val="21"/>
          <w:szCs w:val="32"/>
          <w:highlight w:val="none"/>
          <w:lang w:val="en-US" w:eastAsia="zh-CN"/>
        </w:rPr>
        <w:t>（8）技术标评审材料</w:t>
      </w:r>
      <w:r>
        <w:rPr>
          <w:rFonts w:hint="eastAsia" w:ascii="宋体" w:hAnsi="宋体" w:eastAsia="宋体" w:cs="宋体"/>
          <w:bCs w:val="0"/>
          <w:spacing w:val="6"/>
          <w:sz w:val="21"/>
          <w:szCs w:val="32"/>
          <w:highlight w:val="none"/>
          <w:lang w:val="en-US" w:eastAsia="zh-CN"/>
        </w:rPr>
        <w:fldChar w:fldCharType="end"/>
      </w:r>
    </w:p>
    <w:p w14:paraId="7874EB32">
      <w:pPr>
        <w:pStyle w:val="20"/>
        <w:tabs>
          <w:tab w:val="right" w:leader="dot" w:pos="9072"/>
        </w:tabs>
        <w:rPr>
          <w:rFonts w:hint="eastAsia" w:ascii="宋体" w:hAnsi="宋体" w:eastAsia="宋体" w:cs="宋体"/>
          <w:color w:val="auto"/>
          <w:spacing w:val="6"/>
          <w:szCs w:val="21"/>
          <w:highlight w:val="none"/>
          <w:lang w:val="en-US" w:eastAsia="zh-CN"/>
        </w:rPr>
      </w:pPr>
      <w:r>
        <w:rPr>
          <w:rFonts w:hint="eastAsia" w:ascii="宋体" w:hAnsi="宋体" w:eastAsia="宋体" w:cs="宋体"/>
          <w:bCs w:val="0"/>
          <w:spacing w:val="6"/>
          <w:sz w:val="21"/>
          <w:szCs w:val="32"/>
          <w:highlight w:val="none"/>
          <w:lang w:val="en-US" w:eastAsia="zh-CN"/>
        </w:rPr>
        <w:fldChar w:fldCharType="begin"/>
      </w:r>
      <w:r>
        <w:rPr>
          <w:rFonts w:hint="eastAsia" w:ascii="宋体" w:hAnsi="宋体" w:eastAsia="宋体" w:cs="宋体"/>
          <w:bCs w:val="0"/>
          <w:spacing w:val="6"/>
          <w:sz w:val="21"/>
          <w:szCs w:val="32"/>
          <w:highlight w:val="none"/>
          <w:lang w:val="en-US" w:eastAsia="zh-CN"/>
        </w:rPr>
        <w:instrText xml:space="preserve"> HYPERLINK \l _Toc25964 </w:instrText>
      </w:r>
      <w:r>
        <w:rPr>
          <w:rFonts w:hint="eastAsia" w:ascii="宋体" w:hAnsi="宋体" w:eastAsia="宋体" w:cs="宋体"/>
          <w:bCs w:val="0"/>
          <w:spacing w:val="6"/>
          <w:sz w:val="21"/>
          <w:szCs w:val="32"/>
          <w:highlight w:val="none"/>
          <w:lang w:val="en-US" w:eastAsia="zh-CN"/>
        </w:rPr>
        <w:fldChar w:fldCharType="separate"/>
      </w:r>
      <w:r>
        <w:rPr>
          <w:rFonts w:hint="eastAsia" w:ascii="宋体" w:hAnsi="宋体" w:eastAsia="宋体" w:cs="宋体"/>
          <w:bCs w:val="0"/>
          <w:spacing w:val="6"/>
          <w:sz w:val="21"/>
          <w:szCs w:val="32"/>
          <w:highlight w:val="none"/>
          <w:lang w:val="en-US" w:eastAsia="zh-CN"/>
        </w:rPr>
        <w:t>（9）其他需要提供的材料</w:t>
      </w:r>
      <w:r>
        <w:rPr>
          <w:rFonts w:hint="eastAsia" w:ascii="宋体" w:hAnsi="宋体" w:eastAsia="宋体" w:cs="宋体"/>
          <w:bCs w:val="0"/>
          <w:spacing w:val="6"/>
          <w:sz w:val="21"/>
          <w:szCs w:val="32"/>
          <w:highlight w:val="none"/>
          <w:lang w:val="en-US" w:eastAsia="zh-CN"/>
        </w:rPr>
        <w:fldChar w:fldCharType="end"/>
      </w:r>
    </w:p>
    <w:p w14:paraId="52ADD9E6">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投标人在评标过程中作出的符合法律法规和招标文件规定的问题的澄清，构成投标文件的组成部分。</w:t>
      </w:r>
    </w:p>
    <w:p w14:paraId="091880C9">
      <w:pPr>
        <w:pStyle w:val="4"/>
        <w:spacing w:line="420" w:lineRule="exact"/>
        <w:outlineLvl w:val="2"/>
        <w:rPr>
          <w:rFonts w:hint="eastAsia" w:ascii="宋体" w:hAnsi="宋体" w:eastAsia="宋体" w:cs="宋体"/>
          <w:b/>
          <w:bCs/>
          <w:color w:val="auto"/>
          <w:spacing w:val="6"/>
          <w:sz w:val="24"/>
          <w:szCs w:val="24"/>
          <w:highlight w:val="none"/>
        </w:rPr>
      </w:pPr>
      <w:bookmarkStart w:id="136" w:name="_Toc1660801"/>
      <w:bookmarkStart w:id="137" w:name="_Toc24468"/>
      <w:r>
        <w:rPr>
          <w:rFonts w:hint="eastAsia" w:ascii="宋体" w:hAnsi="宋体" w:eastAsia="宋体" w:cs="宋体"/>
          <w:b/>
          <w:bCs/>
          <w:color w:val="auto"/>
          <w:spacing w:val="6"/>
          <w:sz w:val="24"/>
          <w:szCs w:val="24"/>
          <w:highlight w:val="none"/>
        </w:rPr>
        <w:t>3.2 投标报价</w:t>
      </w:r>
      <w:bookmarkEnd w:id="136"/>
      <w:bookmarkEnd w:id="137"/>
    </w:p>
    <w:p w14:paraId="30A214CF">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3.2.1 投标报价涉及货币的应为人民币，包括国家规定的增值税税金。投标人应按第六章“投标文件格式”的要求进行报价并填写报价明细表。</w:t>
      </w:r>
    </w:p>
    <w:p w14:paraId="11BDBED8">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3.2.2 投标人应充分了解该项目的总体情况以及影响投标报价的其他要素。</w:t>
      </w:r>
    </w:p>
    <w:p w14:paraId="4A5A7BA4">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3.2.3 投标报价为各分项报价金额之和，投标报价与分项报价的合价不一致的，应以各分项合价累计数为准，修正投标报价；如分项报价中存在缺漏项，则视为缺漏项价格已包含在其他分项报价之中。</w:t>
      </w:r>
    </w:p>
    <w:p w14:paraId="3609A1F8">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3.2.4 采购人设有预算控制金额的，投标人的投标报价不得超过预算控制金额，预算控制金额在投标人须知前附表中载明。</w:t>
      </w:r>
    </w:p>
    <w:p w14:paraId="70AD8471">
      <w:pPr>
        <w:pStyle w:val="110"/>
        <w:spacing w:line="420" w:lineRule="exact"/>
        <w:rPr>
          <w:rFonts w:hint="eastAsia" w:ascii="宋体" w:hAnsi="宋体" w:eastAsia="宋体" w:cs="宋体"/>
          <w:b/>
          <w:bCs/>
          <w:color w:val="auto"/>
          <w:spacing w:val="6"/>
          <w:sz w:val="28"/>
          <w:szCs w:val="28"/>
          <w:highlight w:val="none"/>
        </w:rPr>
      </w:pPr>
      <w:r>
        <w:rPr>
          <w:rFonts w:hint="eastAsia" w:ascii="宋体" w:hAnsi="宋体" w:eastAsia="宋体" w:cs="宋体"/>
          <w:color w:val="auto"/>
          <w:spacing w:val="6"/>
          <w:szCs w:val="21"/>
          <w:highlight w:val="none"/>
        </w:rPr>
        <w:t>3.2.5 投标报价的其他要求见投标人须知前附表。</w:t>
      </w:r>
    </w:p>
    <w:p w14:paraId="1091A8C3">
      <w:pPr>
        <w:pStyle w:val="4"/>
        <w:spacing w:line="420" w:lineRule="exact"/>
        <w:outlineLvl w:val="2"/>
        <w:rPr>
          <w:rFonts w:hint="eastAsia" w:ascii="宋体" w:hAnsi="宋体" w:eastAsia="宋体" w:cs="宋体"/>
          <w:b/>
          <w:bCs/>
          <w:color w:val="auto"/>
          <w:spacing w:val="6"/>
          <w:sz w:val="24"/>
          <w:szCs w:val="24"/>
          <w:highlight w:val="none"/>
        </w:rPr>
      </w:pPr>
      <w:bookmarkStart w:id="138" w:name="_Toc19926"/>
      <w:bookmarkStart w:id="139" w:name="_Toc1660802"/>
      <w:r>
        <w:rPr>
          <w:rFonts w:hint="eastAsia" w:ascii="宋体" w:hAnsi="宋体" w:eastAsia="宋体" w:cs="宋体"/>
          <w:b/>
          <w:bCs/>
          <w:color w:val="auto"/>
          <w:spacing w:val="6"/>
          <w:sz w:val="24"/>
          <w:szCs w:val="24"/>
          <w:highlight w:val="none"/>
        </w:rPr>
        <w:t>3.3 投标有效期</w:t>
      </w:r>
      <w:bookmarkEnd w:id="138"/>
      <w:bookmarkEnd w:id="139"/>
    </w:p>
    <w:p w14:paraId="1516EDF6">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3.3.1 除投标人须知前附表另有规定外，投标有效期为</w:t>
      </w:r>
      <w:r>
        <w:rPr>
          <w:rFonts w:hint="eastAsia" w:ascii="宋体" w:hAnsi="宋体" w:eastAsia="宋体" w:cs="宋体"/>
          <w:color w:val="auto"/>
          <w:spacing w:val="6"/>
          <w:kern w:val="0"/>
          <w:szCs w:val="21"/>
          <w:highlight w:val="none"/>
        </w:rPr>
        <w:t>提交投标文件截止之日起</w:t>
      </w:r>
      <w:r>
        <w:rPr>
          <w:rFonts w:hint="eastAsia" w:ascii="宋体" w:hAnsi="宋体" w:eastAsia="宋体" w:cs="宋体"/>
          <w:color w:val="auto"/>
          <w:spacing w:val="6"/>
          <w:szCs w:val="21"/>
          <w:highlight w:val="none"/>
        </w:rPr>
        <w:t>90天。</w:t>
      </w:r>
    </w:p>
    <w:p w14:paraId="7494414B">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3.3.2 在投标有效期内，投标人撤销或修改其投标文件的，应承担招标文件和法律规定的责任。</w:t>
      </w:r>
    </w:p>
    <w:p w14:paraId="52B98517">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3.3.3 出现特殊情况需要延长投标有效期的，采购人以书面形式通知所有投标人延长投标有效期。投标人应予以书面答复，同意延长的，应相应延长其投标保证金的有效期，但不得要求或被允许修改或撤销其投标文件；投标人拒绝延长的，其投标失效，但投标人有权收回其投标保证金。</w:t>
      </w:r>
    </w:p>
    <w:p w14:paraId="4C6DC119">
      <w:pPr>
        <w:pStyle w:val="4"/>
        <w:spacing w:line="420" w:lineRule="exact"/>
        <w:outlineLvl w:val="2"/>
        <w:rPr>
          <w:rFonts w:hint="eastAsia" w:ascii="宋体" w:hAnsi="宋体" w:eastAsia="宋体" w:cs="宋体"/>
          <w:b/>
          <w:bCs/>
          <w:color w:val="auto"/>
          <w:spacing w:val="6"/>
          <w:sz w:val="24"/>
          <w:szCs w:val="24"/>
          <w:highlight w:val="none"/>
          <w:lang w:val="en-US" w:eastAsia="zh-CN"/>
        </w:rPr>
      </w:pPr>
      <w:bookmarkStart w:id="140" w:name="_Toc1660803"/>
      <w:bookmarkStart w:id="141" w:name="_Toc6858"/>
      <w:r>
        <w:rPr>
          <w:rFonts w:hint="eastAsia" w:ascii="宋体" w:hAnsi="宋体" w:eastAsia="宋体" w:cs="宋体"/>
          <w:b/>
          <w:bCs/>
          <w:color w:val="auto"/>
          <w:spacing w:val="6"/>
          <w:sz w:val="24"/>
          <w:szCs w:val="24"/>
          <w:highlight w:val="none"/>
        </w:rPr>
        <w:t>3.4 投标保证金</w:t>
      </w:r>
      <w:bookmarkEnd w:id="140"/>
      <w:bookmarkStart w:id="142" w:name="_Toc1660804"/>
      <w:r>
        <w:rPr>
          <w:rFonts w:hint="eastAsia" w:ascii="宋体" w:hAnsi="宋体" w:eastAsia="宋体" w:cs="宋体"/>
          <w:b/>
          <w:bCs/>
          <w:color w:val="auto"/>
          <w:spacing w:val="6"/>
          <w:sz w:val="24"/>
          <w:szCs w:val="24"/>
          <w:highlight w:val="none"/>
          <w:lang w:eastAsia="zh-CN"/>
        </w:rPr>
        <w:t>（</w:t>
      </w:r>
      <w:r>
        <w:rPr>
          <w:rFonts w:hint="eastAsia" w:ascii="宋体" w:hAnsi="宋体" w:eastAsia="宋体" w:cs="宋体"/>
          <w:b/>
          <w:bCs/>
          <w:color w:val="auto"/>
          <w:spacing w:val="6"/>
          <w:sz w:val="24"/>
          <w:szCs w:val="24"/>
          <w:highlight w:val="none"/>
          <w:lang w:val="en-US" w:eastAsia="zh-CN"/>
        </w:rPr>
        <w:t>本项目免收投标保证金）</w:t>
      </w:r>
      <w:bookmarkEnd w:id="141"/>
    </w:p>
    <w:p w14:paraId="29C4C40B">
      <w:pPr>
        <w:pStyle w:val="4"/>
        <w:spacing w:line="420" w:lineRule="exact"/>
        <w:outlineLvl w:val="2"/>
        <w:rPr>
          <w:rFonts w:hint="eastAsia" w:ascii="宋体" w:hAnsi="宋体" w:eastAsia="宋体" w:cs="宋体"/>
          <w:b/>
          <w:bCs/>
          <w:color w:val="auto"/>
          <w:spacing w:val="6"/>
          <w:sz w:val="24"/>
          <w:szCs w:val="24"/>
          <w:highlight w:val="none"/>
        </w:rPr>
      </w:pPr>
      <w:bookmarkStart w:id="143" w:name="_Toc10995"/>
      <w:r>
        <w:rPr>
          <w:rFonts w:hint="eastAsia" w:ascii="宋体" w:hAnsi="宋体" w:eastAsia="宋体" w:cs="宋体"/>
          <w:b/>
          <w:bCs/>
          <w:color w:val="auto"/>
          <w:spacing w:val="6"/>
          <w:sz w:val="24"/>
          <w:szCs w:val="24"/>
          <w:highlight w:val="none"/>
        </w:rPr>
        <w:t>3.5 资格审查资料</w:t>
      </w:r>
      <w:bookmarkEnd w:id="142"/>
      <w:bookmarkEnd w:id="143"/>
    </w:p>
    <w:p w14:paraId="7EAD9FEA">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3.5.1</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投标人在编制投标文件时，应按本章第1.4.1项的规定提供相关资料的扫描件，以证实其各项资格条件满足招标文件的要求。</w:t>
      </w:r>
    </w:p>
    <w:p w14:paraId="03635D9F">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3.5.2</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投标人须知前附表规定接受联合体投标的，联合体各方均应按照规定提供资格审查资料。</w:t>
      </w:r>
    </w:p>
    <w:p w14:paraId="67A07263">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3.5.3</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资格审查资料的特殊要求见投标人须知前附表。</w:t>
      </w:r>
    </w:p>
    <w:p w14:paraId="140B3741">
      <w:pPr>
        <w:pStyle w:val="4"/>
        <w:spacing w:line="420" w:lineRule="exact"/>
        <w:outlineLvl w:val="2"/>
        <w:rPr>
          <w:rFonts w:hint="eastAsia" w:ascii="宋体" w:hAnsi="宋体" w:eastAsia="宋体" w:cs="宋体"/>
          <w:b/>
          <w:bCs/>
          <w:color w:val="auto"/>
          <w:spacing w:val="6"/>
          <w:sz w:val="24"/>
          <w:szCs w:val="24"/>
          <w:highlight w:val="none"/>
        </w:rPr>
      </w:pPr>
      <w:bookmarkStart w:id="144" w:name="_Toc1660805"/>
      <w:bookmarkStart w:id="145" w:name="_Toc6880"/>
      <w:r>
        <w:rPr>
          <w:rFonts w:hint="eastAsia" w:ascii="宋体" w:hAnsi="宋体" w:eastAsia="宋体" w:cs="宋体"/>
          <w:b/>
          <w:bCs/>
          <w:color w:val="auto"/>
          <w:spacing w:val="6"/>
          <w:sz w:val="24"/>
          <w:szCs w:val="24"/>
          <w:highlight w:val="none"/>
        </w:rPr>
        <w:t>3.6 备选投标方案</w:t>
      </w:r>
      <w:bookmarkEnd w:id="144"/>
      <w:bookmarkEnd w:id="145"/>
    </w:p>
    <w:p w14:paraId="47621CFD">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3.6.1 除投标人须知前附表规定允许外，投标人不得提交备选投标方案，否则其投标将被否决。</w:t>
      </w:r>
    </w:p>
    <w:p w14:paraId="7DD63C97">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3.6.2 允许投标人提交备选投标方案的，只有中标人所提交的备选投标方案方可予以考虑。评标委员会认为中标人的备选投标方案优于其按照招标文件要求编制的</w:t>
      </w:r>
      <w:r>
        <w:rPr>
          <w:rFonts w:hint="eastAsia" w:ascii="宋体" w:hAnsi="宋体" w:eastAsia="宋体" w:cs="宋体"/>
          <w:color w:val="auto"/>
          <w:spacing w:val="6"/>
          <w:szCs w:val="21"/>
          <w:highlight w:val="none"/>
          <w:lang w:eastAsia="zh-CN"/>
        </w:rPr>
        <w:t>投标</w:t>
      </w:r>
      <w:r>
        <w:rPr>
          <w:rFonts w:hint="eastAsia" w:ascii="宋体" w:hAnsi="宋体" w:eastAsia="宋体" w:cs="宋体"/>
          <w:color w:val="auto"/>
          <w:spacing w:val="6"/>
          <w:szCs w:val="21"/>
          <w:highlight w:val="none"/>
          <w:lang w:val="en-US" w:eastAsia="zh-CN"/>
        </w:rPr>
        <w:t>方</w:t>
      </w:r>
      <w:r>
        <w:rPr>
          <w:rFonts w:hint="eastAsia" w:ascii="宋体" w:hAnsi="宋体" w:eastAsia="宋体" w:cs="宋体"/>
          <w:color w:val="auto"/>
          <w:spacing w:val="6"/>
          <w:szCs w:val="21"/>
          <w:highlight w:val="none"/>
        </w:rPr>
        <w:t>案的，采购人可以接受该备选</w:t>
      </w:r>
      <w:r>
        <w:rPr>
          <w:rFonts w:hint="eastAsia" w:ascii="宋体" w:hAnsi="宋体" w:eastAsia="宋体" w:cs="宋体"/>
          <w:color w:val="auto"/>
          <w:spacing w:val="6"/>
          <w:szCs w:val="21"/>
          <w:highlight w:val="none"/>
          <w:lang w:eastAsia="zh-CN"/>
        </w:rPr>
        <w:t>投标人</w:t>
      </w:r>
      <w:r>
        <w:rPr>
          <w:rFonts w:hint="eastAsia" w:ascii="宋体" w:hAnsi="宋体" w:eastAsia="宋体" w:cs="宋体"/>
          <w:color w:val="auto"/>
          <w:spacing w:val="6"/>
          <w:szCs w:val="21"/>
          <w:highlight w:val="none"/>
          <w:lang w:val="en-US" w:eastAsia="zh-CN"/>
        </w:rPr>
        <w:t>方</w:t>
      </w:r>
      <w:r>
        <w:rPr>
          <w:rFonts w:hint="eastAsia" w:ascii="宋体" w:hAnsi="宋体" w:eastAsia="宋体" w:cs="宋体"/>
          <w:color w:val="auto"/>
          <w:spacing w:val="6"/>
          <w:szCs w:val="21"/>
          <w:highlight w:val="none"/>
        </w:rPr>
        <w:t>案。</w:t>
      </w:r>
    </w:p>
    <w:p w14:paraId="5F6709ED">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3.6.3 投标人提供两个或两个以上投标报价，或者在投标文件中提供一个报价，但同时提供两个或两个以上供货方案的，视为提供备选方案。</w:t>
      </w:r>
    </w:p>
    <w:p w14:paraId="32BD3E3E">
      <w:pPr>
        <w:pStyle w:val="4"/>
        <w:spacing w:line="420" w:lineRule="exact"/>
        <w:outlineLvl w:val="2"/>
        <w:rPr>
          <w:rFonts w:hint="eastAsia" w:ascii="宋体" w:hAnsi="宋体" w:eastAsia="宋体" w:cs="宋体"/>
          <w:b/>
          <w:bCs/>
          <w:color w:val="auto"/>
          <w:spacing w:val="6"/>
          <w:sz w:val="24"/>
          <w:szCs w:val="24"/>
          <w:highlight w:val="none"/>
        </w:rPr>
      </w:pPr>
      <w:bookmarkStart w:id="146" w:name="_Toc1660806"/>
      <w:bookmarkStart w:id="147" w:name="_Toc6542"/>
      <w:r>
        <w:rPr>
          <w:rFonts w:hint="eastAsia" w:ascii="宋体" w:hAnsi="宋体" w:eastAsia="宋体" w:cs="宋体"/>
          <w:b/>
          <w:bCs/>
          <w:color w:val="auto"/>
          <w:spacing w:val="6"/>
          <w:sz w:val="24"/>
          <w:szCs w:val="24"/>
          <w:highlight w:val="none"/>
        </w:rPr>
        <w:t>3.7 投标文件的</w:t>
      </w:r>
      <w:bookmarkEnd w:id="146"/>
      <w:r>
        <w:rPr>
          <w:rFonts w:hint="eastAsia" w:ascii="宋体" w:hAnsi="宋体" w:eastAsia="宋体" w:cs="宋体"/>
          <w:b/>
          <w:bCs/>
          <w:color w:val="auto"/>
          <w:spacing w:val="6"/>
          <w:sz w:val="24"/>
          <w:szCs w:val="24"/>
          <w:highlight w:val="none"/>
        </w:rPr>
        <w:t>编制</w:t>
      </w:r>
      <w:bookmarkEnd w:id="147"/>
    </w:p>
    <w:p w14:paraId="23C2A71A">
      <w:pPr>
        <w:pStyle w:val="110"/>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3.7.1</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投标文件应按第六章“投标文件格式”进行编写，如有必要，可以增加附页，作为投标文件的组成部分。其中，投标函在满足招标文件实质性要求的基础上，可以提出比招标文件要求更有利于采购人的承诺。</w:t>
      </w:r>
    </w:p>
    <w:p w14:paraId="68B64311">
      <w:pPr>
        <w:pStyle w:val="110"/>
        <w:spacing w:line="320" w:lineRule="exact"/>
        <w:ind w:firstLine="422"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3.7.2</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投标文件应当对招标</w:t>
      </w:r>
      <w:r>
        <w:rPr>
          <w:rFonts w:hint="eastAsia" w:ascii="宋体" w:hAnsi="宋体" w:eastAsia="宋体" w:cs="宋体"/>
          <w:color w:val="auto"/>
          <w:spacing w:val="6"/>
          <w:kern w:val="2"/>
          <w:sz w:val="21"/>
          <w:szCs w:val="21"/>
          <w:highlight w:val="none"/>
          <w:lang w:val="zh-CN" w:eastAsia="zh-CN" w:bidi="ar-SA"/>
        </w:rPr>
        <w:t>文件有关</w:t>
      </w:r>
      <w:r>
        <w:rPr>
          <w:rFonts w:hint="eastAsia" w:ascii="宋体" w:hAnsi="宋体" w:eastAsia="宋体" w:cs="宋体"/>
          <w:color w:val="auto"/>
          <w:spacing w:val="6"/>
          <w:kern w:val="2"/>
          <w:sz w:val="21"/>
          <w:szCs w:val="21"/>
          <w:highlight w:val="none"/>
          <w:lang w:val="en-US" w:eastAsia="zh-CN" w:bidi="ar-SA"/>
        </w:rPr>
        <w:t>项目工期</w:t>
      </w:r>
      <w:r>
        <w:rPr>
          <w:rFonts w:hint="eastAsia" w:ascii="宋体" w:hAnsi="宋体" w:eastAsia="宋体" w:cs="宋体"/>
          <w:color w:val="auto"/>
          <w:spacing w:val="6"/>
          <w:kern w:val="2"/>
          <w:sz w:val="21"/>
          <w:szCs w:val="21"/>
          <w:highlight w:val="none"/>
          <w:lang w:val="zh-CN" w:eastAsia="zh-CN" w:bidi="ar-SA"/>
        </w:rPr>
        <w:t>、</w:t>
      </w:r>
      <w:r>
        <w:rPr>
          <w:rFonts w:hint="eastAsia" w:ascii="宋体" w:hAnsi="宋体" w:eastAsia="宋体" w:cs="宋体"/>
          <w:color w:val="auto"/>
          <w:spacing w:val="6"/>
          <w:kern w:val="2"/>
          <w:sz w:val="21"/>
          <w:szCs w:val="21"/>
          <w:highlight w:val="none"/>
          <w:lang w:val="en-US" w:eastAsia="zh-CN" w:bidi="ar-SA"/>
        </w:rPr>
        <w:t>项目</w:t>
      </w:r>
      <w:r>
        <w:rPr>
          <w:rFonts w:hint="eastAsia" w:ascii="宋体" w:hAnsi="宋体" w:eastAsia="宋体" w:cs="宋体"/>
          <w:color w:val="auto"/>
          <w:spacing w:val="6"/>
          <w:kern w:val="2"/>
          <w:sz w:val="21"/>
          <w:szCs w:val="21"/>
          <w:highlight w:val="none"/>
          <w:lang w:val="zh-CN" w:eastAsia="zh-CN" w:bidi="ar-SA"/>
        </w:rPr>
        <w:t>地点、付款方式、</w:t>
      </w:r>
      <w:r>
        <w:rPr>
          <w:rFonts w:hint="eastAsia" w:ascii="宋体" w:hAnsi="宋体" w:eastAsia="宋体" w:cs="宋体"/>
          <w:color w:val="auto"/>
          <w:spacing w:val="6"/>
          <w:kern w:val="2"/>
          <w:sz w:val="21"/>
          <w:szCs w:val="21"/>
          <w:highlight w:val="none"/>
          <w:lang w:val="en-US" w:eastAsia="zh-CN" w:bidi="ar-SA"/>
        </w:rPr>
        <w:t>投标有</w:t>
      </w:r>
      <w:r>
        <w:rPr>
          <w:rFonts w:hint="eastAsia" w:ascii="宋体" w:hAnsi="宋体" w:eastAsia="宋体" w:cs="宋体"/>
          <w:color w:val="auto"/>
          <w:spacing w:val="6"/>
          <w:szCs w:val="21"/>
          <w:highlight w:val="none"/>
          <w:lang w:val="en-US" w:eastAsia="zh-CN"/>
        </w:rPr>
        <w:t>效期</w:t>
      </w:r>
      <w:r>
        <w:rPr>
          <w:rFonts w:hint="eastAsia" w:ascii="宋体" w:hAnsi="宋体" w:eastAsia="宋体" w:cs="宋体"/>
          <w:color w:val="auto"/>
          <w:spacing w:val="6"/>
          <w:szCs w:val="21"/>
          <w:highlight w:val="none"/>
        </w:rPr>
        <w:t>等实质性内容作出响应。</w:t>
      </w:r>
    </w:p>
    <w:p w14:paraId="7944EBC3">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kern w:val="2"/>
          <w:sz w:val="21"/>
          <w:szCs w:val="21"/>
          <w:highlight w:val="none"/>
          <w:lang w:val="zh-CN" w:eastAsia="zh-CN" w:bidi="ar-SA"/>
        </w:rPr>
        <w:t>3.7.3</w:t>
      </w:r>
      <w:r>
        <w:rPr>
          <w:rFonts w:hint="eastAsia" w:ascii="宋体" w:hAnsi="宋体" w:eastAsia="宋体" w:cs="宋体"/>
          <w:color w:val="auto"/>
          <w:spacing w:val="6"/>
          <w:kern w:val="2"/>
          <w:sz w:val="21"/>
          <w:szCs w:val="21"/>
          <w:highlight w:val="none"/>
          <w:lang w:val="en-US" w:eastAsia="zh-CN" w:bidi="ar-SA"/>
        </w:rPr>
        <w:t xml:space="preserve"> </w:t>
      </w:r>
      <w:r>
        <w:rPr>
          <w:rFonts w:hint="eastAsia" w:ascii="宋体" w:hAnsi="宋体" w:eastAsia="宋体" w:cs="宋体"/>
          <w:color w:val="auto"/>
          <w:spacing w:val="6"/>
          <w:kern w:val="2"/>
          <w:sz w:val="21"/>
          <w:szCs w:val="21"/>
          <w:highlight w:val="none"/>
          <w:lang w:val="zh-CN" w:eastAsia="zh-CN" w:bidi="ar-SA"/>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655AF230">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color w:val="auto"/>
          <w:spacing w:val="6"/>
          <w:kern w:val="2"/>
          <w:sz w:val="21"/>
          <w:szCs w:val="21"/>
          <w:highlight w:val="none"/>
          <w:lang w:val="zh-CN" w:eastAsia="zh-CN" w:bidi="ar-SA"/>
        </w:rPr>
      </w:pPr>
      <w:r>
        <w:rPr>
          <w:rFonts w:hint="eastAsia" w:ascii="宋体" w:hAnsi="宋体" w:eastAsia="宋体" w:cs="宋体"/>
          <w:color w:val="auto"/>
          <w:spacing w:val="6"/>
          <w:kern w:val="2"/>
          <w:sz w:val="21"/>
          <w:szCs w:val="21"/>
          <w:highlight w:val="none"/>
          <w:lang w:val="zh-CN" w:eastAsia="zh-CN" w:bidi="ar-SA"/>
        </w:rPr>
        <w:t>3.7.4</w:t>
      </w:r>
      <w:r>
        <w:rPr>
          <w:rFonts w:hint="eastAsia" w:ascii="宋体" w:hAnsi="宋体" w:eastAsia="宋体" w:cs="宋体"/>
          <w:color w:val="auto"/>
          <w:spacing w:val="6"/>
          <w:kern w:val="2"/>
          <w:sz w:val="21"/>
          <w:szCs w:val="21"/>
          <w:highlight w:val="none"/>
          <w:lang w:val="en-US" w:eastAsia="zh-CN" w:bidi="ar-SA"/>
        </w:rPr>
        <w:t xml:space="preserve"> </w:t>
      </w:r>
      <w:r>
        <w:rPr>
          <w:rFonts w:hint="eastAsia" w:ascii="宋体" w:hAnsi="宋体" w:eastAsia="宋体" w:cs="宋体"/>
          <w:color w:val="auto"/>
          <w:spacing w:val="6"/>
          <w:kern w:val="2"/>
          <w:sz w:val="21"/>
          <w:szCs w:val="21"/>
          <w:highlight w:val="none"/>
          <w:lang w:val="zh-CN" w:eastAsia="zh-CN" w:bidi="ar-SA"/>
        </w:rPr>
        <w:t>投标所需相关的资质、证明等资料均需先上传至河南省公共资源交易中心诚信库并经核验，投标供应商制作投标文件时所需资料须从诚信库中提取。</w:t>
      </w:r>
    </w:p>
    <w:p w14:paraId="5E550147">
      <w:pPr>
        <w:pStyle w:val="3"/>
        <w:spacing w:line="420" w:lineRule="exact"/>
        <w:outlineLvl w:val="1"/>
        <w:rPr>
          <w:rFonts w:hint="eastAsia" w:ascii="宋体" w:hAnsi="宋体" w:eastAsia="宋体" w:cs="宋体"/>
          <w:b/>
          <w:bCs/>
          <w:color w:val="auto"/>
          <w:spacing w:val="6"/>
          <w:sz w:val="28"/>
          <w:szCs w:val="28"/>
          <w:highlight w:val="none"/>
        </w:rPr>
      </w:pPr>
      <w:bookmarkStart w:id="148" w:name="_Toc1660807"/>
      <w:bookmarkStart w:id="149" w:name="_Toc20598"/>
      <w:bookmarkStart w:id="150" w:name="_Toc1994"/>
      <w:bookmarkStart w:id="151" w:name="_Toc11458"/>
      <w:bookmarkStart w:id="152" w:name="_Toc5064"/>
      <w:bookmarkStart w:id="153" w:name="_Toc25358"/>
      <w:r>
        <w:rPr>
          <w:rFonts w:hint="eastAsia" w:ascii="宋体" w:hAnsi="宋体" w:eastAsia="宋体" w:cs="宋体"/>
          <w:b/>
          <w:bCs/>
          <w:color w:val="auto"/>
          <w:spacing w:val="6"/>
          <w:sz w:val="28"/>
          <w:szCs w:val="28"/>
          <w:highlight w:val="none"/>
        </w:rPr>
        <w:t>4.</w:t>
      </w:r>
      <w:r>
        <w:rPr>
          <w:rFonts w:hint="eastAsia" w:ascii="宋体" w:hAnsi="宋体" w:eastAsia="宋体" w:cs="宋体"/>
          <w:b/>
          <w:bCs/>
          <w:color w:val="auto"/>
          <w:spacing w:val="6"/>
          <w:sz w:val="28"/>
          <w:szCs w:val="28"/>
          <w:highlight w:val="none"/>
          <w:lang w:val="en-US"/>
        </w:rPr>
        <w:t xml:space="preserve"> </w:t>
      </w:r>
      <w:r>
        <w:rPr>
          <w:rFonts w:hint="eastAsia" w:ascii="宋体" w:hAnsi="宋体" w:eastAsia="宋体" w:cs="宋体"/>
          <w:b/>
          <w:bCs/>
          <w:color w:val="auto"/>
          <w:spacing w:val="6"/>
          <w:sz w:val="28"/>
          <w:szCs w:val="28"/>
          <w:highlight w:val="none"/>
        </w:rPr>
        <w:t>投标</w:t>
      </w:r>
      <w:bookmarkEnd w:id="148"/>
      <w:bookmarkEnd w:id="149"/>
      <w:bookmarkEnd w:id="150"/>
      <w:bookmarkEnd w:id="151"/>
      <w:bookmarkEnd w:id="152"/>
      <w:bookmarkEnd w:id="153"/>
    </w:p>
    <w:p w14:paraId="6BBFE3BB">
      <w:pPr>
        <w:pStyle w:val="4"/>
        <w:spacing w:line="420" w:lineRule="exact"/>
        <w:outlineLvl w:val="2"/>
        <w:rPr>
          <w:rFonts w:hint="eastAsia" w:ascii="宋体" w:hAnsi="宋体" w:eastAsia="宋体" w:cs="宋体"/>
          <w:b/>
          <w:bCs/>
          <w:color w:val="auto"/>
          <w:spacing w:val="6"/>
          <w:sz w:val="24"/>
          <w:szCs w:val="24"/>
          <w:highlight w:val="none"/>
          <w:lang w:eastAsia="zh-CN"/>
        </w:rPr>
      </w:pPr>
      <w:bookmarkStart w:id="154" w:name="_Toc1660808"/>
      <w:bookmarkStart w:id="155" w:name="_Toc25378"/>
      <w:r>
        <w:rPr>
          <w:rFonts w:hint="eastAsia" w:ascii="宋体" w:hAnsi="宋体" w:eastAsia="宋体" w:cs="宋体"/>
          <w:b/>
          <w:bCs/>
          <w:color w:val="auto"/>
          <w:spacing w:val="6"/>
          <w:sz w:val="24"/>
          <w:szCs w:val="24"/>
          <w:highlight w:val="none"/>
        </w:rPr>
        <w:t>4.1 投标文件的</w:t>
      </w:r>
      <w:bookmarkEnd w:id="154"/>
      <w:r>
        <w:rPr>
          <w:rFonts w:hint="eastAsia" w:ascii="宋体" w:hAnsi="宋体" w:eastAsia="宋体" w:cs="宋体"/>
          <w:b/>
          <w:bCs/>
          <w:color w:val="auto"/>
          <w:spacing w:val="6"/>
          <w:sz w:val="24"/>
          <w:szCs w:val="24"/>
          <w:highlight w:val="none"/>
          <w:lang w:val="en-US" w:eastAsia="zh-CN"/>
        </w:rPr>
        <w:t>加密</w:t>
      </w:r>
      <w:bookmarkEnd w:id="155"/>
    </w:p>
    <w:p w14:paraId="3BB7DDFA">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4.1.1</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网上上传的电子投标文件应使用数字证书认证并加密。</w:t>
      </w:r>
    </w:p>
    <w:p w14:paraId="79CF0790">
      <w:pPr>
        <w:pStyle w:val="4"/>
        <w:spacing w:line="420" w:lineRule="exact"/>
        <w:outlineLvl w:val="2"/>
        <w:rPr>
          <w:rFonts w:hint="eastAsia" w:ascii="宋体" w:hAnsi="宋体" w:eastAsia="宋体" w:cs="宋体"/>
          <w:b/>
          <w:bCs/>
          <w:color w:val="auto"/>
          <w:spacing w:val="6"/>
          <w:sz w:val="24"/>
          <w:szCs w:val="24"/>
          <w:highlight w:val="none"/>
        </w:rPr>
      </w:pPr>
      <w:bookmarkStart w:id="156" w:name="_Toc1660809"/>
      <w:bookmarkStart w:id="157" w:name="_Toc1437"/>
      <w:r>
        <w:rPr>
          <w:rFonts w:hint="eastAsia" w:ascii="宋体" w:hAnsi="宋体" w:eastAsia="宋体" w:cs="宋体"/>
          <w:b/>
          <w:bCs/>
          <w:color w:val="auto"/>
          <w:spacing w:val="6"/>
          <w:sz w:val="24"/>
          <w:szCs w:val="24"/>
          <w:highlight w:val="none"/>
        </w:rPr>
        <w:t>4.2 投标文件的</w:t>
      </w:r>
      <w:bookmarkEnd w:id="156"/>
      <w:r>
        <w:rPr>
          <w:rFonts w:hint="eastAsia" w:ascii="宋体" w:hAnsi="宋体" w:eastAsia="宋体" w:cs="宋体"/>
          <w:b/>
          <w:bCs/>
          <w:color w:val="auto"/>
          <w:spacing w:val="6"/>
          <w:sz w:val="24"/>
          <w:szCs w:val="24"/>
          <w:highlight w:val="none"/>
        </w:rPr>
        <w:t>递交</w:t>
      </w:r>
      <w:bookmarkEnd w:id="157"/>
    </w:p>
    <w:p w14:paraId="66FE6CA7">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4.2.1 投标人应在本章第2.2.2项规定的投标截止时间前递交投标文件。</w:t>
      </w:r>
    </w:p>
    <w:p w14:paraId="7B41B194">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4.2.2</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远程开标机位地点：见投标人须知前附表。</w:t>
      </w:r>
    </w:p>
    <w:p w14:paraId="5FB92ACE">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4.2.3</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除投标人须知前附表另有规定外，投标人所递交的投标文件不予退还。</w:t>
      </w:r>
    </w:p>
    <w:p w14:paraId="25DDD117">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4.2.4 逾期</w:t>
      </w:r>
      <w:r>
        <w:rPr>
          <w:rFonts w:hint="eastAsia" w:ascii="宋体" w:hAnsi="宋体" w:eastAsia="宋体" w:cs="宋体"/>
          <w:color w:val="auto"/>
          <w:spacing w:val="6"/>
          <w:szCs w:val="21"/>
          <w:highlight w:val="none"/>
          <w:lang w:val="en-US" w:eastAsia="zh-CN"/>
        </w:rPr>
        <w:t>上传</w:t>
      </w:r>
      <w:r>
        <w:rPr>
          <w:rFonts w:hint="eastAsia" w:ascii="宋体" w:hAnsi="宋体" w:eastAsia="宋体" w:cs="宋体"/>
          <w:color w:val="auto"/>
          <w:spacing w:val="6"/>
          <w:szCs w:val="21"/>
          <w:highlight w:val="none"/>
        </w:rPr>
        <w:t>的投标文件，采购人不予受理。</w:t>
      </w:r>
      <w:bookmarkStart w:id="158" w:name="_Toc1660810"/>
    </w:p>
    <w:p w14:paraId="1485BE87">
      <w:pPr>
        <w:pStyle w:val="4"/>
        <w:spacing w:line="420" w:lineRule="exact"/>
        <w:outlineLvl w:val="2"/>
        <w:rPr>
          <w:rFonts w:hint="eastAsia" w:ascii="宋体" w:hAnsi="宋体" w:eastAsia="宋体" w:cs="宋体"/>
          <w:b/>
          <w:bCs/>
          <w:color w:val="auto"/>
          <w:spacing w:val="6"/>
          <w:sz w:val="24"/>
          <w:szCs w:val="24"/>
          <w:highlight w:val="none"/>
        </w:rPr>
      </w:pPr>
      <w:bookmarkStart w:id="159" w:name="_Toc19641"/>
      <w:r>
        <w:rPr>
          <w:rFonts w:hint="eastAsia" w:ascii="宋体" w:hAnsi="宋体" w:eastAsia="宋体" w:cs="宋体"/>
          <w:b/>
          <w:bCs/>
          <w:color w:val="auto"/>
          <w:spacing w:val="6"/>
          <w:sz w:val="24"/>
          <w:szCs w:val="24"/>
          <w:highlight w:val="none"/>
        </w:rPr>
        <w:t>4.3 投标文件的修改与撤回</w:t>
      </w:r>
      <w:bookmarkEnd w:id="158"/>
      <w:bookmarkEnd w:id="159"/>
    </w:p>
    <w:p w14:paraId="556DE55C">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4.3.1</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在</w:t>
      </w:r>
      <w:r>
        <w:rPr>
          <w:rFonts w:hint="eastAsia" w:ascii="宋体" w:hAnsi="宋体" w:eastAsia="宋体" w:cs="宋体"/>
          <w:color w:val="auto"/>
          <w:spacing w:val="6"/>
          <w:szCs w:val="21"/>
          <w:highlight w:val="none"/>
          <w:lang w:val="en-US" w:eastAsia="zh-CN"/>
        </w:rPr>
        <w:t>本章</w:t>
      </w:r>
      <w:r>
        <w:rPr>
          <w:rFonts w:hint="eastAsia" w:ascii="宋体" w:hAnsi="宋体" w:eastAsia="宋体" w:cs="宋体"/>
          <w:color w:val="auto"/>
          <w:spacing w:val="6"/>
          <w:szCs w:val="21"/>
          <w:highlight w:val="none"/>
        </w:rPr>
        <w:t>第2.2.2项规定的投标截止时间前，投标供应商可以多次修改或撤回已递交的投标文件，最终投标文件以投标截止时间前完成上传至河南省公共资源交易中心交易系统最后一份投标文件为准。</w:t>
      </w:r>
    </w:p>
    <w:p w14:paraId="488555E1">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4.3.2 修改的投标文件应按照本章</w:t>
      </w:r>
      <w:r>
        <w:rPr>
          <w:rFonts w:hint="eastAsia" w:ascii="宋体" w:hAnsi="宋体" w:eastAsia="宋体" w:cs="宋体"/>
          <w:color w:val="auto"/>
          <w:spacing w:val="6"/>
          <w:szCs w:val="21"/>
          <w:highlight w:val="none"/>
          <w:lang w:val="en-US" w:eastAsia="zh-CN"/>
        </w:rPr>
        <w:t>相关</w:t>
      </w:r>
      <w:r>
        <w:rPr>
          <w:rFonts w:hint="eastAsia" w:ascii="宋体" w:hAnsi="宋体" w:eastAsia="宋体" w:cs="宋体"/>
          <w:color w:val="auto"/>
          <w:spacing w:val="6"/>
          <w:szCs w:val="21"/>
          <w:highlight w:val="none"/>
        </w:rPr>
        <w:t>规定进行编制和递交。</w:t>
      </w:r>
    </w:p>
    <w:p w14:paraId="02B6648C">
      <w:pPr>
        <w:pStyle w:val="3"/>
        <w:spacing w:line="420" w:lineRule="exact"/>
        <w:outlineLvl w:val="1"/>
        <w:rPr>
          <w:rFonts w:hint="eastAsia" w:ascii="宋体" w:hAnsi="宋体" w:eastAsia="宋体" w:cs="宋体"/>
          <w:b/>
          <w:bCs/>
          <w:color w:val="auto"/>
          <w:spacing w:val="6"/>
          <w:sz w:val="28"/>
          <w:szCs w:val="28"/>
          <w:highlight w:val="none"/>
        </w:rPr>
      </w:pPr>
      <w:bookmarkStart w:id="160" w:name="_Toc1660811"/>
      <w:bookmarkStart w:id="161" w:name="_Toc24422"/>
      <w:bookmarkStart w:id="162" w:name="_Toc10182"/>
      <w:bookmarkStart w:id="163" w:name="_Toc26539"/>
      <w:bookmarkStart w:id="164" w:name="_Toc12727"/>
      <w:bookmarkStart w:id="165" w:name="_Toc12442"/>
      <w:r>
        <w:rPr>
          <w:rFonts w:hint="eastAsia" w:ascii="宋体" w:hAnsi="宋体" w:eastAsia="宋体" w:cs="宋体"/>
          <w:b/>
          <w:bCs/>
          <w:color w:val="auto"/>
          <w:spacing w:val="6"/>
          <w:sz w:val="28"/>
          <w:szCs w:val="28"/>
          <w:highlight w:val="none"/>
        </w:rPr>
        <w:t>5.</w:t>
      </w:r>
      <w:r>
        <w:rPr>
          <w:rFonts w:hint="eastAsia" w:ascii="宋体" w:hAnsi="宋体" w:eastAsia="宋体" w:cs="宋体"/>
          <w:b/>
          <w:bCs/>
          <w:color w:val="auto"/>
          <w:spacing w:val="6"/>
          <w:sz w:val="28"/>
          <w:szCs w:val="28"/>
          <w:highlight w:val="none"/>
          <w:lang w:val="en-US"/>
        </w:rPr>
        <w:t xml:space="preserve"> </w:t>
      </w:r>
      <w:r>
        <w:rPr>
          <w:rFonts w:hint="eastAsia" w:ascii="宋体" w:hAnsi="宋体" w:eastAsia="宋体" w:cs="宋体"/>
          <w:b/>
          <w:bCs/>
          <w:color w:val="auto"/>
          <w:spacing w:val="6"/>
          <w:sz w:val="28"/>
          <w:szCs w:val="28"/>
          <w:highlight w:val="none"/>
        </w:rPr>
        <w:t>开标</w:t>
      </w:r>
      <w:bookmarkEnd w:id="160"/>
      <w:bookmarkEnd w:id="161"/>
      <w:bookmarkEnd w:id="162"/>
      <w:bookmarkEnd w:id="163"/>
      <w:bookmarkEnd w:id="164"/>
      <w:bookmarkEnd w:id="165"/>
    </w:p>
    <w:p w14:paraId="7D9AA41B">
      <w:pPr>
        <w:pStyle w:val="4"/>
        <w:spacing w:line="420" w:lineRule="exact"/>
        <w:outlineLvl w:val="2"/>
        <w:rPr>
          <w:rFonts w:hint="eastAsia" w:ascii="宋体" w:hAnsi="宋体" w:eastAsia="宋体" w:cs="宋体"/>
          <w:b/>
          <w:bCs/>
          <w:color w:val="auto"/>
          <w:spacing w:val="6"/>
          <w:sz w:val="24"/>
          <w:szCs w:val="24"/>
          <w:highlight w:val="none"/>
        </w:rPr>
      </w:pPr>
      <w:bookmarkStart w:id="166" w:name="_Toc1660812"/>
      <w:bookmarkStart w:id="167" w:name="_Toc4662"/>
      <w:r>
        <w:rPr>
          <w:rFonts w:hint="eastAsia" w:ascii="宋体" w:hAnsi="宋体" w:eastAsia="宋体" w:cs="宋体"/>
          <w:b/>
          <w:bCs/>
          <w:color w:val="auto"/>
          <w:spacing w:val="6"/>
          <w:sz w:val="24"/>
          <w:szCs w:val="24"/>
          <w:highlight w:val="none"/>
        </w:rPr>
        <w:t>5.1 开标时间和地点</w:t>
      </w:r>
      <w:bookmarkEnd w:id="166"/>
      <w:bookmarkEnd w:id="167"/>
    </w:p>
    <w:p w14:paraId="0D9A45FB">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5.1.1 采购人在</w:t>
      </w:r>
      <w:r>
        <w:rPr>
          <w:rFonts w:hint="eastAsia" w:ascii="宋体" w:hAnsi="宋体" w:eastAsia="宋体" w:cs="宋体"/>
          <w:color w:val="auto"/>
          <w:spacing w:val="6"/>
          <w:szCs w:val="21"/>
          <w:highlight w:val="none"/>
          <w:lang w:val="en-US" w:eastAsia="zh-CN"/>
        </w:rPr>
        <w:t>本章</w:t>
      </w:r>
      <w:r>
        <w:rPr>
          <w:rFonts w:hint="eastAsia" w:ascii="宋体" w:hAnsi="宋体" w:eastAsia="宋体" w:cs="宋体"/>
          <w:color w:val="auto"/>
          <w:spacing w:val="6"/>
          <w:szCs w:val="21"/>
          <w:highlight w:val="none"/>
        </w:rPr>
        <w:t>第 2.2.2 项规定的投标截止时间（开标时间）和投标人须知前附表规定的地点通过远程进行公开开标。投标供应商不需要到开标现场，只需根据要求进行远程解密。河南省公共资源交易中心现采用“远程不见面”开标方式，投标供应商须提前进入远程开标大厅（</w:t>
      </w:r>
      <w:r>
        <w:rPr>
          <w:rFonts w:hint="eastAsia" w:ascii="Times New Roman" w:hAnsi="Times New Roman" w:cs="Times New Roman" w:eastAsiaTheme="minorEastAsia"/>
          <w:spacing w:val="6"/>
          <w:szCs w:val="21"/>
        </w:rPr>
        <w:t>http://hnsggzyjy.henan.gov.cn/BidOpening/bidopeninghallaction/hall/login</w:t>
      </w:r>
      <w:r>
        <w:rPr>
          <w:rFonts w:hint="eastAsia" w:ascii="宋体" w:hAnsi="宋体" w:eastAsia="宋体" w:cs="宋体"/>
          <w:color w:val="auto"/>
          <w:spacing w:val="6"/>
          <w:szCs w:val="21"/>
          <w:highlight w:val="none"/>
        </w:rPr>
        <w:t>）进行开标操作和投标文件的解密。具体操作流程及程序，请投标供应商查阅河南省公共资源交易平台“办事指南”专区的《河南省公共资源交易平台不见面服务系统使用指南》。</w:t>
      </w:r>
    </w:p>
    <w:p w14:paraId="45C39866">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5.1.2 投标供应商须在系统规定的解密时间内完成解密。</w:t>
      </w:r>
    </w:p>
    <w:p w14:paraId="65D139A0">
      <w:pPr>
        <w:pStyle w:val="4"/>
        <w:spacing w:line="420" w:lineRule="exact"/>
        <w:outlineLvl w:val="2"/>
        <w:rPr>
          <w:rFonts w:hint="eastAsia" w:ascii="宋体" w:hAnsi="宋体" w:eastAsia="宋体" w:cs="宋体"/>
          <w:b/>
          <w:bCs/>
          <w:color w:val="auto"/>
          <w:spacing w:val="6"/>
          <w:sz w:val="24"/>
          <w:szCs w:val="24"/>
          <w:highlight w:val="none"/>
        </w:rPr>
      </w:pPr>
      <w:bookmarkStart w:id="168" w:name="_Toc1660813"/>
      <w:bookmarkStart w:id="169" w:name="_Toc31717"/>
      <w:r>
        <w:rPr>
          <w:rFonts w:hint="eastAsia" w:ascii="宋体" w:hAnsi="宋体" w:eastAsia="宋体" w:cs="宋体"/>
          <w:b/>
          <w:bCs/>
          <w:color w:val="auto"/>
          <w:spacing w:val="6"/>
          <w:sz w:val="24"/>
          <w:szCs w:val="24"/>
          <w:highlight w:val="none"/>
        </w:rPr>
        <w:t>5.2 开标</w:t>
      </w:r>
      <w:bookmarkEnd w:id="168"/>
      <w:r>
        <w:rPr>
          <w:rFonts w:hint="eastAsia" w:ascii="宋体" w:hAnsi="宋体" w:eastAsia="宋体" w:cs="宋体"/>
          <w:b/>
          <w:bCs/>
          <w:color w:val="auto"/>
          <w:spacing w:val="6"/>
          <w:sz w:val="24"/>
          <w:szCs w:val="24"/>
          <w:highlight w:val="none"/>
        </w:rPr>
        <w:t>程序</w:t>
      </w:r>
      <w:bookmarkEnd w:id="169"/>
    </w:p>
    <w:p w14:paraId="484F2D93">
      <w:pPr>
        <w:pStyle w:val="110"/>
        <w:spacing w:line="420" w:lineRule="exact"/>
        <w:rPr>
          <w:rFonts w:hint="eastAsia" w:ascii="Times New Roman" w:hAnsi="Times New Roman" w:cs="Times New Roman" w:eastAsiaTheme="minorEastAsia"/>
          <w:spacing w:val="6"/>
          <w:szCs w:val="21"/>
        </w:rPr>
      </w:pPr>
      <w:bookmarkStart w:id="170" w:name="_Toc1660814"/>
      <w:r>
        <w:rPr>
          <w:rFonts w:hint="eastAsia" w:ascii="Times New Roman" w:hAnsi="Times New Roman" w:cs="Times New Roman" w:eastAsiaTheme="minorEastAsia"/>
          <w:spacing w:val="6"/>
          <w:szCs w:val="21"/>
        </w:rPr>
        <w:t>主持人按下列程序进行开标：</w:t>
      </w:r>
    </w:p>
    <w:p w14:paraId="581E2E84">
      <w:pPr>
        <w:pStyle w:val="110"/>
        <w:spacing w:line="420" w:lineRule="exact"/>
        <w:rPr>
          <w:rFonts w:hint="eastAsia"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（1）公布在投标截止时间前递交投标文件的投标人名称；</w:t>
      </w:r>
    </w:p>
    <w:p w14:paraId="50E5FFDF">
      <w:pPr>
        <w:pStyle w:val="110"/>
        <w:spacing w:line="420" w:lineRule="exact"/>
        <w:rPr>
          <w:rFonts w:hint="eastAsia"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（2）投标人在</w:t>
      </w:r>
      <w:r>
        <w:rPr>
          <w:rFonts w:hint="eastAsia" w:ascii="Times New Roman" w:hAnsi="Times New Roman" w:cs="Times New Roman" w:eastAsiaTheme="minorEastAsia"/>
          <w:spacing w:val="6"/>
          <w:szCs w:val="21"/>
          <w:lang w:val="en-US" w:eastAsia="zh-CN"/>
        </w:rPr>
        <w:t>系统</w:t>
      </w:r>
      <w:r>
        <w:rPr>
          <w:rFonts w:hint="eastAsia" w:ascii="Times New Roman" w:hAnsi="Times New Roman" w:cs="Times New Roman" w:eastAsiaTheme="minorEastAsia"/>
          <w:spacing w:val="6"/>
          <w:szCs w:val="21"/>
        </w:rPr>
        <w:t>规定时间内解密电子投标文件；</w:t>
      </w:r>
    </w:p>
    <w:p w14:paraId="58611A60">
      <w:pPr>
        <w:pStyle w:val="110"/>
        <w:spacing w:line="420" w:lineRule="exact"/>
        <w:rPr>
          <w:rFonts w:hint="eastAsia"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（3）</w:t>
      </w:r>
      <w:r>
        <w:rPr>
          <w:rFonts w:hint="eastAsia" w:ascii="Times New Roman" w:hAnsi="Times New Roman" w:cs="Times New Roman" w:eastAsiaTheme="minorEastAsia"/>
          <w:spacing w:val="6"/>
          <w:szCs w:val="21"/>
          <w:lang w:val="en-US" w:eastAsia="zh-CN"/>
        </w:rPr>
        <w:t>采购人</w:t>
      </w:r>
      <w:r>
        <w:rPr>
          <w:rFonts w:hint="eastAsia" w:ascii="Times New Roman" w:hAnsi="Times New Roman" w:cs="Times New Roman" w:eastAsiaTheme="minorEastAsia"/>
          <w:spacing w:val="6"/>
          <w:szCs w:val="21"/>
        </w:rPr>
        <w:t>批量导入</w:t>
      </w:r>
      <w:r>
        <w:rPr>
          <w:rFonts w:hint="eastAsia" w:ascii="Times New Roman" w:hAnsi="Times New Roman" w:cs="Times New Roman" w:eastAsiaTheme="minorEastAsia"/>
          <w:spacing w:val="6"/>
          <w:szCs w:val="21"/>
          <w:lang w:val="en-US" w:eastAsia="zh-CN"/>
        </w:rPr>
        <w:t>投标</w:t>
      </w:r>
      <w:r>
        <w:rPr>
          <w:rFonts w:hint="eastAsia" w:ascii="Times New Roman" w:hAnsi="Times New Roman" w:cs="Times New Roman" w:eastAsiaTheme="minorEastAsia"/>
          <w:spacing w:val="6"/>
          <w:szCs w:val="21"/>
        </w:rPr>
        <w:t>文件；</w:t>
      </w:r>
    </w:p>
    <w:p w14:paraId="335927B8">
      <w:pPr>
        <w:pStyle w:val="110"/>
        <w:spacing w:line="420" w:lineRule="exact"/>
        <w:rPr>
          <w:rFonts w:hint="eastAsia" w:ascii="Times New Roman" w:hAnsi="Times New Roman" w:cs="Times New Roman" w:eastAsiaTheme="minorEastAsia"/>
          <w:spacing w:val="6"/>
          <w:szCs w:val="21"/>
        </w:rPr>
      </w:pPr>
      <w:r>
        <w:rPr>
          <w:rFonts w:hint="eastAsia" w:ascii="Times New Roman" w:hAnsi="Times New Roman" w:cs="Times New Roman" w:eastAsiaTheme="minorEastAsia"/>
          <w:spacing w:val="6"/>
          <w:szCs w:val="21"/>
        </w:rPr>
        <w:t>（4）公布项目名称、投标人名称、投标报价及其他内容，并记录在案；</w:t>
      </w:r>
    </w:p>
    <w:p w14:paraId="2F6DA718">
      <w:pPr>
        <w:pStyle w:val="110"/>
        <w:spacing w:line="420" w:lineRule="exact"/>
        <w:rPr>
          <w:rFonts w:hint="eastAsia" w:ascii="宋体" w:hAnsi="宋体" w:eastAsia="宋体" w:cs="宋体"/>
          <w:color w:val="auto"/>
          <w:spacing w:val="6"/>
          <w:szCs w:val="21"/>
          <w:highlight w:val="none"/>
        </w:rPr>
      </w:pPr>
      <w:r>
        <w:rPr>
          <w:rFonts w:hint="eastAsia" w:ascii="Times New Roman" w:hAnsi="Times New Roman" w:cs="Times New Roman" w:eastAsiaTheme="minorEastAsia"/>
          <w:spacing w:val="6"/>
          <w:szCs w:val="21"/>
        </w:rPr>
        <w:t>（5）开标结束。</w:t>
      </w:r>
    </w:p>
    <w:p w14:paraId="789CE2FF">
      <w:pPr>
        <w:pStyle w:val="4"/>
        <w:spacing w:line="420" w:lineRule="exact"/>
        <w:outlineLvl w:val="2"/>
        <w:rPr>
          <w:rFonts w:hint="eastAsia" w:ascii="宋体" w:hAnsi="宋体" w:eastAsia="宋体" w:cs="宋体"/>
          <w:b/>
          <w:bCs/>
          <w:color w:val="auto"/>
          <w:spacing w:val="6"/>
          <w:sz w:val="24"/>
          <w:szCs w:val="24"/>
          <w:highlight w:val="none"/>
          <w:lang w:val="en-US" w:eastAsia="zh-CN"/>
        </w:rPr>
      </w:pPr>
      <w:bookmarkStart w:id="171" w:name="_Toc12440"/>
      <w:r>
        <w:rPr>
          <w:rFonts w:hint="eastAsia" w:ascii="宋体" w:hAnsi="宋体" w:eastAsia="宋体" w:cs="宋体"/>
          <w:b/>
          <w:bCs/>
          <w:color w:val="auto"/>
          <w:spacing w:val="6"/>
          <w:sz w:val="24"/>
          <w:szCs w:val="24"/>
          <w:highlight w:val="none"/>
        </w:rPr>
        <w:t>5.3 开标</w:t>
      </w:r>
      <w:bookmarkEnd w:id="170"/>
      <w:r>
        <w:rPr>
          <w:rFonts w:hint="eastAsia" w:ascii="宋体" w:hAnsi="宋体" w:eastAsia="宋体" w:cs="宋体"/>
          <w:b/>
          <w:bCs/>
          <w:color w:val="auto"/>
          <w:spacing w:val="6"/>
          <w:sz w:val="24"/>
          <w:szCs w:val="24"/>
          <w:highlight w:val="none"/>
          <w:lang w:val="en-US" w:eastAsia="zh-CN"/>
        </w:rPr>
        <w:t>疑义</w:t>
      </w:r>
      <w:bookmarkEnd w:id="171"/>
    </w:p>
    <w:p w14:paraId="58936C49">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投标人对开标有</w:t>
      </w:r>
      <w:r>
        <w:rPr>
          <w:rFonts w:hint="eastAsia" w:ascii="宋体" w:hAnsi="宋体" w:eastAsia="宋体" w:cs="宋体"/>
          <w:color w:val="auto"/>
          <w:spacing w:val="6"/>
          <w:szCs w:val="21"/>
          <w:highlight w:val="none"/>
          <w:lang w:val="en-US" w:eastAsia="zh-CN"/>
        </w:rPr>
        <w:t>疑义</w:t>
      </w:r>
      <w:r>
        <w:rPr>
          <w:rFonts w:hint="eastAsia" w:ascii="宋体" w:hAnsi="宋体" w:eastAsia="宋体" w:cs="宋体"/>
          <w:color w:val="auto"/>
          <w:spacing w:val="6"/>
          <w:szCs w:val="21"/>
          <w:highlight w:val="none"/>
        </w:rPr>
        <w:t>的，</w:t>
      </w:r>
      <w:r>
        <w:rPr>
          <w:rFonts w:ascii="Times New Roman" w:hAnsi="Times New Roman" w:cs="Times New Roman" w:eastAsiaTheme="minorEastAsia"/>
          <w:spacing w:val="6"/>
          <w:szCs w:val="21"/>
        </w:rPr>
        <w:t>应</w:t>
      </w:r>
      <w:r>
        <w:rPr>
          <w:rFonts w:hint="eastAsia" w:ascii="Times New Roman" w:hAnsi="Times New Roman" w:cs="Times New Roman" w:eastAsiaTheme="minorEastAsia"/>
          <w:spacing w:val="6"/>
          <w:szCs w:val="21"/>
        </w:rPr>
        <w:t>通过不见面开标大厅在线提出</w:t>
      </w:r>
      <w:r>
        <w:rPr>
          <w:rFonts w:ascii="Times New Roman" w:hAnsi="Times New Roman" w:cs="Times New Roman" w:eastAsiaTheme="minorEastAsia"/>
          <w:spacing w:val="6"/>
          <w:szCs w:val="21"/>
        </w:rPr>
        <w:t>。</w:t>
      </w:r>
    </w:p>
    <w:p w14:paraId="6AC00E7A">
      <w:pPr>
        <w:pStyle w:val="3"/>
        <w:spacing w:line="420" w:lineRule="exact"/>
        <w:outlineLvl w:val="1"/>
        <w:rPr>
          <w:rFonts w:hint="eastAsia" w:ascii="宋体" w:hAnsi="宋体" w:eastAsia="宋体" w:cs="宋体"/>
          <w:b/>
          <w:bCs/>
          <w:color w:val="auto"/>
          <w:spacing w:val="6"/>
          <w:sz w:val="28"/>
          <w:szCs w:val="28"/>
          <w:highlight w:val="none"/>
          <w:lang w:val="en-US"/>
        </w:rPr>
      </w:pPr>
      <w:bookmarkStart w:id="172" w:name="_Toc1660815"/>
      <w:bookmarkStart w:id="173" w:name="_Toc10973"/>
      <w:bookmarkStart w:id="174" w:name="_Toc32363"/>
      <w:bookmarkStart w:id="175" w:name="_Toc29739"/>
      <w:bookmarkStart w:id="176" w:name="_Toc10948"/>
      <w:bookmarkStart w:id="177" w:name="_Toc17294"/>
      <w:r>
        <w:rPr>
          <w:rFonts w:hint="eastAsia" w:ascii="宋体" w:hAnsi="宋体" w:eastAsia="宋体" w:cs="宋体"/>
          <w:b/>
          <w:bCs/>
          <w:color w:val="auto"/>
          <w:spacing w:val="6"/>
          <w:sz w:val="28"/>
          <w:szCs w:val="28"/>
          <w:highlight w:val="none"/>
          <w:lang w:val="en-US"/>
        </w:rPr>
        <w:t>6. 资格审查与评标</w:t>
      </w:r>
      <w:bookmarkEnd w:id="172"/>
      <w:bookmarkEnd w:id="173"/>
      <w:bookmarkEnd w:id="174"/>
      <w:bookmarkEnd w:id="175"/>
      <w:bookmarkEnd w:id="176"/>
      <w:bookmarkEnd w:id="177"/>
    </w:p>
    <w:p w14:paraId="4F8CBD5B">
      <w:pPr>
        <w:pStyle w:val="4"/>
        <w:spacing w:line="420" w:lineRule="exact"/>
        <w:outlineLvl w:val="2"/>
        <w:rPr>
          <w:rFonts w:hint="eastAsia" w:ascii="宋体" w:hAnsi="宋体" w:eastAsia="宋体" w:cs="宋体"/>
          <w:b/>
          <w:bCs/>
          <w:color w:val="auto"/>
          <w:spacing w:val="6"/>
          <w:sz w:val="24"/>
          <w:szCs w:val="24"/>
          <w:highlight w:val="none"/>
        </w:rPr>
      </w:pPr>
      <w:bookmarkStart w:id="178" w:name="_Toc8092"/>
      <w:bookmarkStart w:id="179" w:name="_Toc1660816"/>
      <w:r>
        <w:rPr>
          <w:rFonts w:hint="eastAsia" w:ascii="宋体" w:hAnsi="宋体" w:eastAsia="宋体" w:cs="宋体"/>
          <w:b/>
          <w:bCs/>
          <w:color w:val="auto"/>
          <w:spacing w:val="6"/>
          <w:sz w:val="24"/>
          <w:szCs w:val="24"/>
          <w:highlight w:val="none"/>
        </w:rPr>
        <w:t>6.1 资格审查小组与评标委员会</w:t>
      </w:r>
      <w:bookmarkEnd w:id="178"/>
      <w:bookmarkEnd w:id="179"/>
    </w:p>
    <w:p w14:paraId="1C1258E6">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6.1.1</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采购人负责资格审查。采购人组建资格审查小组，可以由采购人代表以及采购代理机构代表组成。评标由采购人依法组建的评标委员会负责。评标委员会由采购人代表以及评审专家组成。评标委员会成员数量以及评审专家的确定方式见投标人须知前附表。</w:t>
      </w:r>
    </w:p>
    <w:p w14:paraId="5D6AC1F2">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6.1.2 评标委员会成员有下列情形之一的，应当回避：</w:t>
      </w:r>
    </w:p>
    <w:p w14:paraId="03160485">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（1）参加采购活动前3年内与投标人存在劳动关系</w:t>
      </w:r>
      <w:r>
        <w:rPr>
          <w:rFonts w:hint="eastAsia" w:ascii="宋体" w:hAnsi="宋体" w:eastAsia="宋体" w:cs="宋体"/>
          <w:color w:val="auto"/>
          <w:spacing w:val="6"/>
          <w:szCs w:val="21"/>
          <w:highlight w:val="none"/>
          <w:lang w:val="en-US" w:eastAsia="zh-CN"/>
        </w:rPr>
        <w:t>的</w:t>
      </w:r>
      <w:r>
        <w:rPr>
          <w:rFonts w:hint="eastAsia" w:ascii="宋体" w:hAnsi="宋体" w:eastAsia="宋体" w:cs="宋体"/>
          <w:color w:val="auto"/>
          <w:spacing w:val="6"/>
          <w:szCs w:val="21"/>
          <w:highlight w:val="none"/>
        </w:rPr>
        <w:t>；</w:t>
      </w:r>
    </w:p>
    <w:p w14:paraId="596B4C9F">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（2）参加采购活动前3年内担任投标人的董事、监事</w:t>
      </w:r>
      <w:r>
        <w:rPr>
          <w:rFonts w:hint="eastAsia" w:ascii="宋体" w:hAnsi="宋体" w:eastAsia="宋体" w:cs="宋体"/>
          <w:color w:val="auto"/>
          <w:spacing w:val="6"/>
          <w:szCs w:val="21"/>
          <w:highlight w:val="none"/>
          <w:lang w:val="en-US" w:eastAsia="zh-CN"/>
        </w:rPr>
        <w:t>的</w:t>
      </w:r>
      <w:r>
        <w:rPr>
          <w:rFonts w:hint="eastAsia" w:ascii="宋体" w:hAnsi="宋体" w:eastAsia="宋体" w:cs="宋体"/>
          <w:color w:val="auto"/>
          <w:spacing w:val="6"/>
          <w:szCs w:val="21"/>
          <w:highlight w:val="none"/>
        </w:rPr>
        <w:t>；</w:t>
      </w:r>
    </w:p>
    <w:p w14:paraId="1D64B072">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（3）参加采购活动前3年内是投标人的控股股东或者实际控制人</w:t>
      </w:r>
      <w:r>
        <w:rPr>
          <w:rFonts w:hint="eastAsia" w:ascii="宋体" w:hAnsi="宋体" w:eastAsia="宋体" w:cs="宋体"/>
          <w:color w:val="auto"/>
          <w:spacing w:val="6"/>
          <w:szCs w:val="21"/>
          <w:highlight w:val="none"/>
          <w:lang w:val="en-US" w:eastAsia="zh-CN"/>
        </w:rPr>
        <w:t>的</w:t>
      </w:r>
      <w:r>
        <w:rPr>
          <w:rFonts w:hint="eastAsia" w:ascii="宋体" w:hAnsi="宋体" w:eastAsia="宋体" w:cs="宋体"/>
          <w:color w:val="auto"/>
          <w:spacing w:val="6"/>
          <w:szCs w:val="21"/>
          <w:highlight w:val="none"/>
        </w:rPr>
        <w:t>；</w:t>
      </w:r>
    </w:p>
    <w:p w14:paraId="0D6691E7">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（4）与投标人的法定代表人或负责人有夫妻、直系血亲、三代以内旁系血亲或者近姻亲关系</w:t>
      </w:r>
      <w:r>
        <w:rPr>
          <w:rFonts w:hint="eastAsia" w:ascii="宋体" w:hAnsi="宋体" w:eastAsia="宋体" w:cs="宋体"/>
          <w:color w:val="auto"/>
          <w:spacing w:val="6"/>
          <w:szCs w:val="21"/>
          <w:highlight w:val="none"/>
          <w:lang w:val="en-US" w:eastAsia="zh-CN"/>
        </w:rPr>
        <w:t>的</w:t>
      </w:r>
      <w:r>
        <w:rPr>
          <w:rFonts w:hint="eastAsia" w:ascii="宋体" w:hAnsi="宋体" w:eastAsia="宋体" w:cs="宋体"/>
          <w:color w:val="auto"/>
          <w:spacing w:val="6"/>
          <w:szCs w:val="21"/>
          <w:highlight w:val="none"/>
        </w:rPr>
        <w:t>；</w:t>
      </w:r>
    </w:p>
    <w:p w14:paraId="0882C63C">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（5）与投标人有其他可能影响政府采购活动公平、公正进行的关系。</w:t>
      </w:r>
    </w:p>
    <w:p w14:paraId="6DB01467">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6.1.3 评标过程中，评标委员会成员有回避事由、擅离职守或者因健康等原因不能继续评标的，采购人有权更换。被更换的评标委员会成员作出的评审结论无效，由更换后的评标委员会成员重新进行评审。</w:t>
      </w:r>
    </w:p>
    <w:p w14:paraId="43FD4D81">
      <w:pPr>
        <w:pStyle w:val="4"/>
        <w:spacing w:line="420" w:lineRule="exact"/>
        <w:outlineLvl w:val="2"/>
        <w:rPr>
          <w:rFonts w:hint="eastAsia" w:ascii="宋体" w:hAnsi="宋体" w:eastAsia="宋体" w:cs="宋体"/>
          <w:b/>
          <w:bCs/>
          <w:color w:val="auto"/>
          <w:spacing w:val="6"/>
          <w:sz w:val="24"/>
          <w:szCs w:val="24"/>
          <w:highlight w:val="none"/>
        </w:rPr>
      </w:pPr>
      <w:bookmarkStart w:id="180" w:name="_Toc1660817"/>
      <w:bookmarkStart w:id="181" w:name="_Toc10557"/>
      <w:r>
        <w:rPr>
          <w:rFonts w:hint="eastAsia" w:ascii="宋体" w:hAnsi="宋体" w:eastAsia="宋体" w:cs="宋体"/>
          <w:b/>
          <w:bCs/>
          <w:color w:val="auto"/>
          <w:spacing w:val="6"/>
          <w:sz w:val="24"/>
          <w:szCs w:val="24"/>
          <w:highlight w:val="none"/>
        </w:rPr>
        <w:t>6.2 资格审查与评标原则</w:t>
      </w:r>
      <w:bookmarkEnd w:id="180"/>
      <w:bookmarkEnd w:id="181"/>
    </w:p>
    <w:p w14:paraId="4250D38E">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资格审查遵循公平、公正的原则，评标活动遵循公平、公正、科学和择优的原则。</w:t>
      </w:r>
    </w:p>
    <w:p w14:paraId="7E7E6B57">
      <w:pPr>
        <w:pStyle w:val="4"/>
        <w:spacing w:line="420" w:lineRule="exact"/>
        <w:outlineLvl w:val="2"/>
        <w:rPr>
          <w:rFonts w:hint="eastAsia" w:ascii="宋体" w:hAnsi="宋体" w:eastAsia="宋体" w:cs="宋体"/>
          <w:b/>
          <w:bCs/>
          <w:color w:val="auto"/>
          <w:spacing w:val="6"/>
          <w:sz w:val="24"/>
          <w:szCs w:val="24"/>
          <w:highlight w:val="none"/>
        </w:rPr>
      </w:pPr>
      <w:bookmarkStart w:id="182" w:name="_Toc1660818"/>
      <w:bookmarkStart w:id="183" w:name="_Toc23852"/>
      <w:r>
        <w:rPr>
          <w:rFonts w:hint="eastAsia" w:ascii="宋体" w:hAnsi="宋体" w:eastAsia="宋体" w:cs="宋体"/>
          <w:b/>
          <w:bCs/>
          <w:color w:val="auto"/>
          <w:spacing w:val="6"/>
          <w:sz w:val="24"/>
          <w:szCs w:val="24"/>
          <w:highlight w:val="none"/>
        </w:rPr>
        <w:t>6.3</w:t>
      </w:r>
      <w:r>
        <w:rPr>
          <w:rFonts w:hint="eastAsia" w:ascii="宋体" w:hAnsi="宋体" w:eastAsia="宋体" w:cs="宋体"/>
          <w:b/>
          <w:bCs/>
          <w:color w:val="auto"/>
          <w:spacing w:val="6"/>
          <w:sz w:val="24"/>
          <w:szCs w:val="24"/>
          <w:highlight w:val="none"/>
          <w:lang w:val="en-US"/>
        </w:rPr>
        <w:t xml:space="preserve"> </w:t>
      </w:r>
      <w:r>
        <w:rPr>
          <w:rFonts w:hint="eastAsia" w:ascii="宋体" w:hAnsi="宋体" w:eastAsia="宋体" w:cs="宋体"/>
          <w:b/>
          <w:bCs/>
          <w:color w:val="auto"/>
          <w:spacing w:val="6"/>
          <w:sz w:val="24"/>
          <w:szCs w:val="24"/>
          <w:highlight w:val="none"/>
        </w:rPr>
        <w:t>资格审查与评标</w:t>
      </w:r>
      <w:bookmarkEnd w:id="182"/>
      <w:bookmarkEnd w:id="183"/>
    </w:p>
    <w:p w14:paraId="2F697233">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6.3.1 资格审查小组与评标委员会按照第五章“评标办法”规定的方法、评审因素、标准和程序对投标人进行资格审查，并对投标文件进行评审。第五章“评标办法”没有规定的方法、评审因素和标准，不作为资格审查与评标依据。</w:t>
      </w:r>
    </w:p>
    <w:p w14:paraId="37B24E7E">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6.3.2 通过资格审查的投标人的投标文件由评标委员会进行评审。评标完成后，评标委员会应当提交书面评标报告和中标候选人名单。评标委员会推荐中标候选人的数量见投标人须知前附表。</w:t>
      </w:r>
    </w:p>
    <w:p w14:paraId="1ACDBFC0">
      <w:pPr>
        <w:pStyle w:val="4"/>
        <w:spacing w:line="420" w:lineRule="exact"/>
        <w:outlineLvl w:val="2"/>
        <w:rPr>
          <w:rFonts w:hint="eastAsia" w:ascii="宋体" w:hAnsi="宋体" w:eastAsia="宋体" w:cs="宋体"/>
          <w:b/>
          <w:bCs/>
          <w:color w:val="auto"/>
          <w:spacing w:val="6"/>
          <w:sz w:val="24"/>
          <w:szCs w:val="24"/>
          <w:highlight w:val="none"/>
          <w:lang w:val="en-US" w:eastAsia="zh-CN"/>
        </w:rPr>
      </w:pPr>
      <w:r>
        <w:rPr>
          <w:rFonts w:hint="eastAsia" w:ascii="宋体" w:hAnsi="宋体" w:eastAsia="宋体" w:cs="宋体"/>
          <w:b/>
          <w:bCs/>
          <w:color w:val="auto"/>
          <w:spacing w:val="6"/>
          <w:sz w:val="24"/>
          <w:szCs w:val="24"/>
          <w:highlight w:val="none"/>
          <w:lang w:val="en-US" w:eastAsia="zh-CN"/>
        </w:rPr>
        <w:t xml:space="preserve">6.4评标报告审查 </w:t>
      </w:r>
    </w:p>
    <w:p w14:paraId="71B46B8F">
      <w:pPr>
        <w:pStyle w:val="110"/>
        <w:spacing w:line="420" w:lineRule="exact"/>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t>6.4.1 采购人在发布中标结果公告前对评标委员会提交的书面评标报告进行审查。</w:t>
      </w:r>
    </w:p>
    <w:p w14:paraId="4843BF9E">
      <w:pPr>
        <w:pStyle w:val="110"/>
        <w:spacing w:line="420" w:lineRule="exact"/>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t>6.4.2 经审查，发现评标报告存在错误且可能改变中标结果的，按以下原则处理：</w:t>
      </w:r>
    </w:p>
    <w:p w14:paraId="1F7726BC">
      <w:pPr>
        <w:pStyle w:val="110"/>
        <w:spacing w:line="420" w:lineRule="exact"/>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t xml:space="preserve">（1）存在的错误符合《政府采购货物和服务招标投标管理办法》规定的重新评审的情形的，由原评标委员会对评审错误的内容重新评审，但不得改变其他内容的得分分值；原评标委员会存在《政府采购货物和服务招标投标管理办法》第六十七条规定的情形导致评标结果无效的，采购人可以重新组建评标委员会并书面报告本级财政部门； </w:t>
      </w:r>
    </w:p>
    <w:p w14:paraId="25529E92">
      <w:pPr>
        <w:pStyle w:val="110"/>
        <w:spacing w:line="420" w:lineRule="exact"/>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t>（2）存在的错误不符合《政府采购货物和服务招标投标管理办法》规定的重新评审的情形的，采购人依法报告本级财政部门处理。</w:t>
      </w:r>
    </w:p>
    <w:p w14:paraId="65EB18ED">
      <w:pPr>
        <w:pStyle w:val="110"/>
        <w:spacing w:line="420" w:lineRule="exact"/>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t>6.4.3 经审查，发现评标报告存在的错误不影响中标结果的，按以下原则处理：</w:t>
      </w:r>
    </w:p>
    <w:p w14:paraId="55DB6BB2">
      <w:pPr>
        <w:pStyle w:val="110"/>
        <w:spacing w:line="420" w:lineRule="exact"/>
        <w:rPr>
          <w:rFonts w:hint="default"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t>（1）对中标人的报价评审错误的，按照有利于采购人和利于项目实施的原则修正中标价格，并要求中标人书面确认。中标人拒不确认的，采购人依法报告本级财政部门处理。</w:t>
      </w:r>
    </w:p>
    <w:p w14:paraId="6F4FC1D7">
      <w:pPr>
        <w:pStyle w:val="110"/>
        <w:spacing w:line="420" w:lineRule="exact"/>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t>（2）对中标人的商务、技术条件评审错误的，按照有利于采购人和利于项目实施的原则修正相关内容，并要求中标人书面确认。中标人拒不确认的，采购人依法报告本级财政部门处理。</w:t>
      </w:r>
    </w:p>
    <w:p w14:paraId="77D73E92">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eastAsia="zh-CN"/>
        </w:rPr>
        <w:t>6.4.4 需要评标委员会对发现的问题予以复核的，评标委员会成员应当予以配合；拒不配合或评标委员会成员存在违法违规行为的，由采购人依法报告本级财政部门。</w:t>
      </w:r>
    </w:p>
    <w:p w14:paraId="3A4F0F78">
      <w:pPr>
        <w:pStyle w:val="3"/>
        <w:spacing w:line="420" w:lineRule="exact"/>
        <w:outlineLvl w:val="1"/>
        <w:rPr>
          <w:rFonts w:hint="eastAsia" w:ascii="宋体" w:hAnsi="宋体" w:eastAsia="宋体" w:cs="宋体"/>
          <w:b/>
          <w:bCs/>
          <w:color w:val="auto"/>
          <w:spacing w:val="6"/>
          <w:sz w:val="28"/>
          <w:szCs w:val="28"/>
          <w:highlight w:val="none"/>
          <w:lang w:val="en-US"/>
        </w:rPr>
      </w:pPr>
      <w:bookmarkStart w:id="184" w:name="_Toc28076"/>
      <w:bookmarkStart w:id="185" w:name="_Toc14126"/>
      <w:bookmarkStart w:id="186" w:name="_Toc12510"/>
      <w:bookmarkStart w:id="187" w:name="_Toc1660819"/>
      <w:bookmarkStart w:id="188" w:name="_Toc3758"/>
      <w:bookmarkStart w:id="189" w:name="_Toc21462"/>
      <w:r>
        <w:rPr>
          <w:rFonts w:hint="eastAsia" w:ascii="宋体" w:hAnsi="宋体" w:eastAsia="宋体" w:cs="宋体"/>
          <w:b/>
          <w:bCs/>
          <w:color w:val="auto"/>
          <w:spacing w:val="6"/>
          <w:sz w:val="28"/>
          <w:szCs w:val="28"/>
          <w:highlight w:val="none"/>
          <w:lang w:val="en-US"/>
        </w:rPr>
        <w:t>7. 定标及合同授予</w:t>
      </w:r>
      <w:bookmarkEnd w:id="184"/>
      <w:bookmarkEnd w:id="185"/>
      <w:bookmarkEnd w:id="186"/>
      <w:bookmarkEnd w:id="187"/>
      <w:bookmarkEnd w:id="188"/>
      <w:bookmarkEnd w:id="189"/>
    </w:p>
    <w:p w14:paraId="5D5C56C5">
      <w:pPr>
        <w:pStyle w:val="4"/>
        <w:spacing w:line="420" w:lineRule="exact"/>
        <w:outlineLvl w:val="2"/>
        <w:rPr>
          <w:rFonts w:hint="eastAsia" w:ascii="宋体" w:hAnsi="宋体" w:eastAsia="宋体" w:cs="宋体"/>
          <w:b/>
          <w:bCs/>
          <w:color w:val="auto"/>
          <w:spacing w:val="6"/>
          <w:sz w:val="24"/>
          <w:szCs w:val="24"/>
          <w:highlight w:val="none"/>
        </w:rPr>
      </w:pPr>
      <w:bookmarkStart w:id="190" w:name="_Toc373"/>
      <w:bookmarkStart w:id="191" w:name="_Toc1660820"/>
      <w:r>
        <w:rPr>
          <w:rFonts w:hint="eastAsia" w:ascii="宋体" w:hAnsi="宋体" w:eastAsia="宋体" w:cs="宋体"/>
          <w:b/>
          <w:bCs/>
          <w:color w:val="auto"/>
          <w:spacing w:val="6"/>
          <w:sz w:val="24"/>
          <w:szCs w:val="24"/>
          <w:highlight w:val="none"/>
        </w:rPr>
        <w:t>7.1 定标</w:t>
      </w:r>
      <w:bookmarkEnd w:id="190"/>
      <w:bookmarkEnd w:id="191"/>
    </w:p>
    <w:p w14:paraId="4388979F">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rPr>
        <w:t>7.1.1 是否授权</w:t>
      </w:r>
      <w:r>
        <w:rPr>
          <w:rFonts w:hint="eastAsia" w:ascii="宋体" w:hAnsi="宋体" w:eastAsia="宋体" w:cs="宋体"/>
          <w:color w:val="auto"/>
          <w:spacing w:val="6"/>
          <w:szCs w:val="21"/>
          <w:highlight w:val="none"/>
        </w:rPr>
        <w:t>评标委员会</w:t>
      </w:r>
      <w:r>
        <w:rPr>
          <w:rFonts w:hint="eastAsia" w:ascii="宋体" w:hAnsi="宋体" w:eastAsia="宋体" w:cs="宋体"/>
          <w:color w:val="auto"/>
          <w:spacing w:val="6"/>
          <w:szCs w:val="21"/>
          <w:highlight w:val="none"/>
          <w:lang w:val="en-US"/>
        </w:rPr>
        <w:t>确定</w:t>
      </w:r>
      <w:r>
        <w:rPr>
          <w:rFonts w:hint="eastAsia" w:ascii="宋体" w:hAnsi="宋体" w:eastAsia="宋体" w:cs="宋体"/>
          <w:color w:val="auto"/>
          <w:spacing w:val="6"/>
          <w:szCs w:val="21"/>
          <w:highlight w:val="none"/>
        </w:rPr>
        <w:t>中标人</w:t>
      </w:r>
      <w:r>
        <w:rPr>
          <w:rFonts w:hint="eastAsia" w:ascii="宋体" w:hAnsi="宋体" w:eastAsia="宋体" w:cs="宋体"/>
          <w:color w:val="auto"/>
          <w:spacing w:val="6"/>
          <w:szCs w:val="21"/>
          <w:highlight w:val="none"/>
          <w:lang w:val="en-US"/>
        </w:rPr>
        <w:t>：见</w:t>
      </w:r>
      <w:r>
        <w:rPr>
          <w:rFonts w:hint="eastAsia" w:ascii="宋体" w:hAnsi="宋体" w:eastAsia="宋体" w:cs="宋体"/>
          <w:color w:val="auto"/>
          <w:spacing w:val="6"/>
          <w:szCs w:val="21"/>
          <w:highlight w:val="none"/>
        </w:rPr>
        <w:t>投标人</w:t>
      </w:r>
      <w:r>
        <w:rPr>
          <w:rFonts w:hint="eastAsia" w:ascii="宋体" w:hAnsi="宋体" w:eastAsia="宋体" w:cs="宋体"/>
          <w:color w:val="auto"/>
          <w:spacing w:val="6"/>
          <w:szCs w:val="21"/>
          <w:highlight w:val="none"/>
          <w:lang w:val="en-US"/>
        </w:rPr>
        <w:t>须知前附表。</w:t>
      </w:r>
    </w:p>
    <w:p w14:paraId="701F5FA0">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rPr>
        <w:t>7.1.2 确定</w:t>
      </w:r>
      <w:r>
        <w:rPr>
          <w:rFonts w:hint="eastAsia" w:ascii="宋体" w:hAnsi="宋体" w:eastAsia="宋体" w:cs="宋体"/>
          <w:color w:val="auto"/>
          <w:spacing w:val="6"/>
          <w:szCs w:val="21"/>
          <w:highlight w:val="none"/>
        </w:rPr>
        <w:t>中标人</w:t>
      </w:r>
      <w:r>
        <w:rPr>
          <w:rFonts w:hint="eastAsia" w:ascii="宋体" w:hAnsi="宋体" w:eastAsia="宋体" w:cs="宋体"/>
          <w:color w:val="auto"/>
          <w:spacing w:val="6"/>
          <w:szCs w:val="21"/>
          <w:highlight w:val="none"/>
          <w:lang w:val="en-US"/>
        </w:rPr>
        <w:t>的原则：见</w:t>
      </w:r>
      <w:r>
        <w:rPr>
          <w:rFonts w:hint="eastAsia" w:ascii="宋体" w:hAnsi="宋体" w:eastAsia="宋体" w:cs="宋体"/>
          <w:color w:val="auto"/>
          <w:spacing w:val="6"/>
          <w:szCs w:val="21"/>
          <w:highlight w:val="none"/>
        </w:rPr>
        <w:t>投标人</w:t>
      </w:r>
      <w:r>
        <w:rPr>
          <w:rFonts w:hint="eastAsia" w:ascii="宋体" w:hAnsi="宋体" w:eastAsia="宋体" w:cs="宋体"/>
          <w:color w:val="auto"/>
          <w:spacing w:val="6"/>
          <w:szCs w:val="21"/>
          <w:highlight w:val="none"/>
          <w:lang w:val="en-US"/>
        </w:rPr>
        <w:t>须知前附表</w:t>
      </w:r>
      <w:r>
        <w:rPr>
          <w:rFonts w:hint="eastAsia" w:ascii="宋体" w:hAnsi="宋体" w:eastAsia="宋体" w:cs="宋体"/>
          <w:color w:val="auto"/>
          <w:spacing w:val="6"/>
          <w:szCs w:val="21"/>
          <w:highlight w:val="none"/>
        </w:rPr>
        <w:t>。</w:t>
      </w:r>
    </w:p>
    <w:p w14:paraId="3E899460">
      <w:pPr>
        <w:pStyle w:val="4"/>
        <w:spacing w:line="420" w:lineRule="exact"/>
        <w:outlineLvl w:val="2"/>
        <w:rPr>
          <w:rFonts w:hint="eastAsia" w:ascii="宋体" w:hAnsi="宋体" w:eastAsia="宋体" w:cs="宋体"/>
          <w:b/>
          <w:bCs/>
          <w:color w:val="auto"/>
          <w:spacing w:val="6"/>
          <w:sz w:val="24"/>
          <w:szCs w:val="24"/>
          <w:highlight w:val="none"/>
        </w:rPr>
      </w:pPr>
      <w:bookmarkStart w:id="192" w:name="_Toc7705"/>
      <w:bookmarkStart w:id="193" w:name="_Toc1660821"/>
      <w:r>
        <w:rPr>
          <w:rFonts w:hint="eastAsia" w:ascii="宋体" w:hAnsi="宋体" w:eastAsia="宋体" w:cs="宋体"/>
          <w:b/>
          <w:bCs/>
          <w:color w:val="auto"/>
          <w:spacing w:val="6"/>
          <w:sz w:val="24"/>
          <w:szCs w:val="24"/>
          <w:highlight w:val="none"/>
        </w:rPr>
        <w:t>7.2 中标结果</w:t>
      </w:r>
      <w:bookmarkEnd w:id="192"/>
      <w:bookmarkEnd w:id="193"/>
    </w:p>
    <w:p w14:paraId="3DAA3EB9">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自中标人确定之日起</w:t>
      </w:r>
      <w:r>
        <w:rPr>
          <w:rFonts w:hint="eastAsia" w:ascii="宋体" w:hAnsi="宋体" w:eastAsia="宋体" w:cs="宋体"/>
          <w:color w:val="auto"/>
          <w:spacing w:val="6"/>
          <w:szCs w:val="21"/>
          <w:highlight w:val="none"/>
          <w:lang w:val="en-US" w:eastAsia="zh-CN"/>
        </w:rPr>
        <w:t>2</w:t>
      </w:r>
      <w:r>
        <w:rPr>
          <w:rFonts w:hint="eastAsia" w:ascii="宋体" w:hAnsi="宋体" w:eastAsia="宋体" w:cs="宋体"/>
          <w:color w:val="auto"/>
          <w:spacing w:val="6"/>
          <w:szCs w:val="21"/>
          <w:highlight w:val="none"/>
        </w:rPr>
        <w:t>个工作日内，在投标人须知前附表规定的媒体上公告中标结果，招标文件、中标供应商的《中小企业声明函》随中标结果同时公告。</w:t>
      </w:r>
    </w:p>
    <w:p w14:paraId="142E9255">
      <w:pPr>
        <w:pStyle w:val="4"/>
        <w:spacing w:line="420" w:lineRule="exact"/>
        <w:outlineLvl w:val="2"/>
        <w:rPr>
          <w:rFonts w:hint="eastAsia" w:ascii="宋体" w:hAnsi="宋体" w:eastAsia="宋体" w:cs="宋体"/>
          <w:b/>
          <w:bCs/>
          <w:color w:val="auto"/>
          <w:spacing w:val="6"/>
          <w:sz w:val="24"/>
          <w:szCs w:val="24"/>
          <w:highlight w:val="none"/>
        </w:rPr>
      </w:pPr>
      <w:bookmarkStart w:id="194" w:name="_Toc2214"/>
      <w:bookmarkStart w:id="195" w:name="_Toc1660822"/>
      <w:r>
        <w:rPr>
          <w:rFonts w:hint="eastAsia" w:ascii="宋体" w:hAnsi="宋体" w:eastAsia="宋体" w:cs="宋体"/>
          <w:b/>
          <w:bCs/>
          <w:color w:val="auto"/>
          <w:spacing w:val="6"/>
          <w:sz w:val="24"/>
          <w:szCs w:val="24"/>
          <w:highlight w:val="none"/>
        </w:rPr>
        <w:t>7.3 中标通知</w:t>
      </w:r>
      <w:bookmarkEnd w:id="194"/>
      <w:bookmarkEnd w:id="195"/>
    </w:p>
    <w:p w14:paraId="6FFDDFC0">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由采购代理机构向中标人发出《中标通知书》。</w:t>
      </w:r>
    </w:p>
    <w:p w14:paraId="34EEBAEA">
      <w:pPr>
        <w:pStyle w:val="4"/>
        <w:spacing w:line="420" w:lineRule="exact"/>
        <w:outlineLvl w:val="2"/>
        <w:rPr>
          <w:rFonts w:hint="eastAsia" w:ascii="宋体" w:hAnsi="宋体" w:eastAsia="宋体" w:cs="宋体"/>
          <w:b/>
          <w:bCs/>
          <w:color w:val="auto"/>
          <w:spacing w:val="6"/>
          <w:sz w:val="24"/>
          <w:szCs w:val="24"/>
          <w:highlight w:val="none"/>
        </w:rPr>
      </w:pPr>
      <w:bookmarkStart w:id="196" w:name="_Toc1660823"/>
      <w:bookmarkStart w:id="197" w:name="_Toc1152"/>
      <w:r>
        <w:rPr>
          <w:rFonts w:hint="eastAsia" w:ascii="宋体" w:hAnsi="宋体" w:eastAsia="宋体" w:cs="宋体"/>
          <w:b/>
          <w:bCs/>
          <w:color w:val="auto"/>
          <w:spacing w:val="6"/>
          <w:sz w:val="24"/>
          <w:szCs w:val="24"/>
          <w:highlight w:val="none"/>
        </w:rPr>
        <w:t>7.4 履约保证金</w:t>
      </w:r>
      <w:bookmarkEnd w:id="196"/>
      <w:bookmarkEnd w:id="197"/>
    </w:p>
    <w:p w14:paraId="74FE2CFB">
      <w:pPr>
        <w:pStyle w:val="110"/>
        <w:spacing w:line="420" w:lineRule="exact"/>
        <w:rPr>
          <w:rFonts w:hint="eastAsia" w:ascii="宋体" w:hAnsi="宋体" w:eastAsia="宋体" w:cs="宋体"/>
          <w:color w:val="auto"/>
          <w:spacing w:val="6"/>
          <w:szCs w:val="21"/>
          <w:highlight w:val="none"/>
        </w:rPr>
      </w:pPr>
      <w:r>
        <w:rPr>
          <w:rFonts w:hint="eastAsia" w:ascii="Times New Roman" w:hAnsi="Times New Roman" w:cs="Times New Roman" w:eastAsiaTheme="minorEastAsia"/>
          <w:spacing w:val="6"/>
          <w:szCs w:val="21"/>
          <w:lang w:val="en-US"/>
        </w:rPr>
        <w:t>7.4.1本项目免收履约保证金。</w:t>
      </w:r>
    </w:p>
    <w:p w14:paraId="68697406">
      <w:pPr>
        <w:pStyle w:val="4"/>
        <w:spacing w:line="420" w:lineRule="exact"/>
        <w:outlineLvl w:val="2"/>
        <w:rPr>
          <w:rFonts w:hint="eastAsia" w:ascii="宋体" w:hAnsi="宋体" w:eastAsia="宋体" w:cs="宋体"/>
          <w:b/>
          <w:bCs/>
          <w:color w:val="auto"/>
          <w:spacing w:val="6"/>
          <w:sz w:val="24"/>
          <w:szCs w:val="24"/>
          <w:highlight w:val="none"/>
        </w:rPr>
      </w:pPr>
      <w:bookmarkStart w:id="198" w:name="_Toc1660824"/>
      <w:bookmarkStart w:id="199" w:name="_Toc10145"/>
      <w:r>
        <w:rPr>
          <w:rFonts w:hint="eastAsia" w:ascii="宋体" w:hAnsi="宋体" w:eastAsia="宋体" w:cs="宋体"/>
          <w:b/>
          <w:bCs/>
          <w:color w:val="auto"/>
          <w:spacing w:val="6"/>
          <w:sz w:val="24"/>
          <w:szCs w:val="24"/>
          <w:highlight w:val="none"/>
        </w:rPr>
        <w:t>7.5 签订合同</w:t>
      </w:r>
      <w:bookmarkEnd w:id="198"/>
      <w:bookmarkEnd w:id="199"/>
    </w:p>
    <w:p w14:paraId="0627FA67">
      <w:pPr>
        <w:spacing w:line="500" w:lineRule="exact"/>
        <w:ind w:firstLine="422"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7.5.1 采购人和中标人应当在中标通知书发出之日起</w:t>
      </w:r>
      <w:r>
        <w:rPr>
          <w:rFonts w:hint="eastAsia" w:ascii="宋体" w:hAnsi="宋体" w:eastAsia="宋体" w:cs="宋体"/>
          <w:color w:val="auto"/>
          <w:spacing w:val="6"/>
          <w:sz w:val="21"/>
          <w:szCs w:val="21"/>
          <w:highlight w:val="none"/>
          <w:lang w:val="en-US" w:eastAsia="zh-CN"/>
        </w:rPr>
        <w:t>15</w:t>
      </w:r>
      <w:r>
        <w:rPr>
          <w:rFonts w:hint="eastAsia" w:ascii="宋体" w:hAnsi="宋体" w:eastAsia="宋体" w:cs="宋体"/>
          <w:color w:val="auto"/>
          <w:spacing w:val="6"/>
          <w:sz w:val="21"/>
          <w:szCs w:val="21"/>
          <w:highlight w:val="none"/>
        </w:rPr>
        <w:t>日内，根据招标文件和中标人的投标文件订立书面合同。中标人无正当理由拒签合同，在签订合同时向采购人提出附加条件，或者不按照招标文件要求提交履约保证金的，采购人有权取消其中标资格，其投标保证金不予退还；给采购人造成的损失超过投标保证金数额的，中标人还应当对超过部分予以赔偿。</w:t>
      </w:r>
    </w:p>
    <w:p w14:paraId="2B590A08">
      <w:pPr>
        <w:pStyle w:val="110"/>
        <w:spacing w:line="420" w:lineRule="exac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7.5.2 发出中标通知书后，采购人无正当理由拒签合同，或者在签订合同时向中标人提出附加条件的，采购人向中标人退还投标保证金；给中标人造成损失的，还应当赔偿损失。</w:t>
      </w:r>
    </w:p>
    <w:p w14:paraId="0FC1A9D5">
      <w:pPr>
        <w:pStyle w:val="110"/>
        <w:spacing w:line="420" w:lineRule="exac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7.5.3 联合体中标的，联合体各方应当共同与采购人签订合同，就中标项目向采购人承担连带责任。</w:t>
      </w:r>
    </w:p>
    <w:p w14:paraId="7FB81C62">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7.5.4</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依据《政府采购促进中小企业发展管理办法》规定，享受扶持政策获得政府采购合同的，小微企业不得将合同分包给大中型企业，中型企业不得将合同分包给大型企业。</w:t>
      </w:r>
    </w:p>
    <w:p w14:paraId="5ED600FE">
      <w:pPr>
        <w:pStyle w:val="110"/>
        <w:spacing w:line="420" w:lineRule="exact"/>
        <w:rPr>
          <w:rFonts w:hint="eastAsia" w:ascii="宋体" w:hAnsi="宋体" w:eastAsia="宋体" w:cs="宋体"/>
          <w:color w:val="auto"/>
          <w:spacing w:val="6"/>
          <w:highlight w:val="none"/>
        </w:rPr>
      </w:pPr>
      <w:r>
        <w:rPr>
          <w:rFonts w:hint="eastAsia" w:ascii="宋体" w:hAnsi="宋体" w:eastAsia="宋体" w:cs="宋体"/>
          <w:color w:val="auto"/>
          <w:spacing w:val="6"/>
          <w:szCs w:val="21"/>
          <w:highlight w:val="none"/>
        </w:rPr>
        <w:t>7.5.5</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依据《政府采购促进中小企业发展管理办法》规定，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7DC6692C">
      <w:pPr>
        <w:pStyle w:val="3"/>
        <w:spacing w:line="420" w:lineRule="exact"/>
        <w:outlineLvl w:val="1"/>
        <w:rPr>
          <w:rFonts w:hint="eastAsia" w:ascii="宋体" w:hAnsi="宋体" w:eastAsia="宋体" w:cs="宋体"/>
          <w:b/>
          <w:bCs/>
          <w:color w:val="auto"/>
          <w:spacing w:val="6"/>
          <w:sz w:val="28"/>
          <w:szCs w:val="28"/>
          <w:highlight w:val="none"/>
        </w:rPr>
      </w:pPr>
      <w:bookmarkStart w:id="200" w:name="_Toc24227"/>
      <w:bookmarkStart w:id="201" w:name="_Toc32035"/>
      <w:bookmarkStart w:id="202" w:name="_Toc1660825"/>
      <w:bookmarkStart w:id="203" w:name="_Toc305"/>
      <w:bookmarkStart w:id="204" w:name="_Toc28701"/>
      <w:bookmarkStart w:id="205" w:name="_Toc19221"/>
      <w:r>
        <w:rPr>
          <w:rFonts w:hint="eastAsia" w:ascii="宋体" w:hAnsi="宋体" w:eastAsia="宋体" w:cs="宋体"/>
          <w:b/>
          <w:bCs/>
          <w:color w:val="auto"/>
          <w:spacing w:val="6"/>
          <w:sz w:val="28"/>
          <w:szCs w:val="28"/>
          <w:highlight w:val="none"/>
        </w:rPr>
        <w:t>8.</w:t>
      </w:r>
      <w:r>
        <w:rPr>
          <w:rFonts w:hint="eastAsia" w:ascii="宋体" w:hAnsi="宋体" w:eastAsia="宋体" w:cs="宋体"/>
          <w:b/>
          <w:bCs/>
          <w:color w:val="auto"/>
          <w:spacing w:val="6"/>
          <w:sz w:val="28"/>
          <w:szCs w:val="28"/>
          <w:highlight w:val="none"/>
          <w:lang w:val="en-US"/>
        </w:rPr>
        <w:t xml:space="preserve"> </w:t>
      </w:r>
      <w:r>
        <w:rPr>
          <w:rFonts w:hint="eastAsia" w:ascii="宋体" w:hAnsi="宋体" w:eastAsia="宋体" w:cs="宋体"/>
          <w:b/>
          <w:bCs/>
          <w:color w:val="auto"/>
          <w:spacing w:val="6"/>
          <w:sz w:val="28"/>
          <w:szCs w:val="28"/>
          <w:highlight w:val="none"/>
        </w:rPr>
        <w:t>纪律和监督</w:t>
      </w:r>
      <w:bookmarkEnd w:id="200"/>
      <w:bookmarkEnd w:id="201"/>
      <w:bookmarkEnd w:id="202"/>
      <w:bookmarkEnd w:id="203"/>
      <w:bookmarkEnd w:id="204"/>
      <w:bookmarkEnd w:id="205"/>
    </w:p>
    <w:p w14:paraId="6F9614F3">
      <w:pPr>
        <w:pStyle w:val="4"/>
        <w:spacing w:line="420" w:lineRule="exact"/>
        <w:outlineLvl w:val="2"/>
        <w:rPr>
          <w:rFonts w:hint="eastAsia" w:ascii="宋体" w:hAnsi="宋体" w:eastAsia="宋体" w:cs="宋体"/>
          <w:b/>
          <w:bCs/>
          <w:color w:val="auto"/>
          <w:spacing w:val="6"/>
          <w:sz w:val="24"/>
          <w:szCs w:val="24"/>
          <w:highlight w:val="none"/>
        </w:rPr>
      </w:pPr>
      <w:bookmarkStart w:id="206" w:name="_Toc27423"/>
      <w:bookmarkStart w:id="207" w:name="_Toc1660826"/>
      <w:r>
        <w:rPr>
          <w:rFonts w:hint="eastAsia" w:ascii="宋体" w:hAnsi="宋体" w:eastAsia="宋体" w:cs="宋体"/>
          <w:b/>
          <w:bCs/>
          <w:color w:val="auto"/>
          <w:spacing w:val="6"/>
          <w:sz w:val="24"/>
          <w:szCs w:val="24"/>
          <w:highlight w:val="none"/>
        </w:rPr>
        <w:t>8.1 对采购人的纪律要求</w:t>
      </w:r>
      <w:bookmarkEnd w:id="206"/>
      <w:bookmarkEnd w:id="207"/>
    </w:p>
    <w:p w14:paraId="76281F9D">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8.1.1</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不得以不合理的条件对投标人实行差别待遇或者歧视待遇，排斥其他投标人公平参与竞争；</w:t>
      </w:r>
    </w:p>
    <w:p w14:paraId="68217952">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8.1.2</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不得与投标人或采购代理机构串通损害国家利益、社会公共利益或者他人合法权益；</w:t>
      </w:r>
    </w:p>
    <w:p w14:paraId="5F8AFB48">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8.1.3</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不得诱导、干预或影响评标委员会依法依规评标，不得诱导、干预或影响评标专家依法依规独立评标；</w:t>
      </w:r>
    </w:p>
    <w:p w14:paraId="435DE74A">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8.1.4</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不得泄漏采购活动中应当保密的情况和资料；</w:t>
      </w:r>
    </w:p>
    <w:p w14:paraId="0021CE70">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8.1.5</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不得接受投标人或采购代理机构的贿赂，或获取其他不正当利益；</w:t>
      </w:r>
    </w:p>
    <w:p w14:paraId="3FFA68FC">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8.1.6</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不得无正当理拒绝与中标人签订合同；</w:t>
      </w:r>
    </w:p>
    <w:p w14:paraId="4BCA888C">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8.1.7</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参与采购活动的相关人员与投标人有利害关系的应当回避；</w:t>
      </w:r>
    </w:p>
    <w:p w14:paraId="1CB4B056">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8.1.8</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采购过程中，不得有其他违法违规行为。</w:t>
      </w:r>
    </w:p>
    <w:p w14:paraId="62F0EA5D">
      <w:pPr>
        <w:pStyle w:val="4"/>
        <w:spacing w:line="420" w:lineRule="exact"/>
        <w:outlineLvl w:val="2"/>
        <w:rPr>
          <w:rFonts w:hint="eastAsia" w:ascii="宋体" w:hAnsi="宋体" w:eastAsia="宋体" w:cs="宋体"/>
          <w:b/>
          <w:bCs/>
          <w:color w:val="auto"/>
          <w:spacing w:val="6"/>
          <w:sz w:val="24"/>
          <w:szCs w:val="24"/>
          <w:highlight w:val="none"/>
        </w:rPr>
      </w:pPr>
      <w:bookmarkStart w:id="208" w:name="_Toc1660827"/>
      <w:bookmarkStart w:id="209" w:name="_Toc14614"/>
      <w:r>
        <w:rPr>
          <w:rFonts w:hint="eastAsia" w:ascii="宋体" w:hAnsi="宋体" w:eastAsia="宋体" w:cs="宋体"/>
          <w:b/>
          <w:bCs/>
          <w:color w:val="auto"/>
          <w:spacing w:val="6"/>
          <w:sz w:val="24"/>
          <w:szCs w:val="24"/>
          <w:highlight w:val="none"/>
        </w:rPr>
        <w:t>8.2 对投标人的纪律要求</w:t>
      </w:r>
      <w:bookmarkEnd w:id="208"/>
      <w:bookmarkEnd w:id="209"/>
    </w:p>
    <w:p w14:paraId="0DC428E1">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8.2.1</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不得以他人名义投标；</w:t>
      </w:r>
    </w:p>
    <w:p w14:paraId="3AF6B5DE">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8.2.2</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投标人不得相互串通投标，不得与采购人、与采购代理机构串通投标；</w:t>
      </w:r>
    </w:p>
    <w:p w14:paraId="151948D1">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8.2.3</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不得向采购人或者评标委员会成员行贿，或提供其他不正当利益谋取中标；</w:t>
      </w:r>
    </w:p>
    <w:p w14:paraId="280A55F3">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8.2.4</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不得弄虚作假骗取中标，不得虚假应标，不得恶意低价抢标；</w:t>
      </w:r>
    </w:p>
    <w:p w14:paraId="4BDE69B3">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8.2.5</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不得以任何方式干扰、影响评标工作；</w:t>
      </w:r>
    </w:p>
    <w:p w14:paraId="1FA6DF92">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8.2.6</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不得无正当理由弃标或中标后拒绝与采购人签订合同；</w:t>
      </w:r>
    </w:p>
    <w:p w14:paraId="080FFF0F">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8.2.7</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不得恶意诋毁其他投标人、采购人或采购代理机构；</w:t>
      </w:r>
    </w:p>
    <w:p w14:paraId="0E0F59D4">
      <w:pPr>
        <w:pStyle w:val="110"/>
        <w:spacing w:line="420" w:lineRule="exact"/>
        <w:rPr>
          <w:rFonts w:hint="eastAsia" w:ascii="宋体" w:hAnsi="宋体" w:eastAsia="宋体" w:cs="宋体"/>
          <w:color w:val="auto"/>
          <w:highlight w:val="none"/>
        </w:rPr>
      </w:pPr>
      <w:r>
        <w:rPr>
          <w:rFonts w:hint="eastAsia" w:ascii="宋体" w:hAnsi="宋体" w:eastAsia="宋体" w:cs="宋体"/>
          <w:color w:val="auto"/>
          <w:spacing w:val="6"/>
          <w:szCs w:val="21"/>
          <w:highlight w:val="none"/>
        </w:rPr>
        <w:t>8.2.8</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在参与政府采购活动中，不得有其他违法违规行为。</w:t>
      </w:r>
    </w:p>
    <w:p w14:paraId="33011D6C">
      <w:pPr>
        <w:pStyle w:val="4"/>
        <w:spacing w:line="420" w:lineRule="exact"/>
        <w:outlineLvl w:val="2"/>
        <w:rPr>
          <w:rFonts w:hint="eastAsia" w:ascii="宋体" w:hAnsi="宋体" w:eastAsia="宋体" w:cs="宋体"/>
          <w:b/>
          <w:bCs/>
          <w:color w:val="auto"/>
          <w:spacing w:val="6"/>
          <w:sz w:val="24"/>
          <w:szCs w:val="24"/>
          <w:highlight w:val="none"/>
        </w:rPr>
      </w:pPr>
      <w:bookmarkStart w:id="210" w:name="_Toc1660828"/>
      <w:bookmarkStart w:id="211" w:name="_Toc7452"/>
      <w:r>
        <w:rPr>
          <w:rFonts w:hint="eastAsia" w:ascii="宋体" w:hAnsi="宋体" w:eastAsia="宋体" w:cs="宋体"/>
          <w:b/>
          <w:bCs/>
          <w:color w:val="auto"/>
          <w:spacing w:val="6"/>
          <w:sz w:val="24"/>
          <w:szCs w:val="24"/>
          <w:highlight w:val="none"/>
        </w:rPr>
        <w:t>8.3 对评标委员会成员的纪律要求</w:t>
      </w:r>
      <w:bookmarkEnd w:id="210"/>
      <w:bookmarkEnd w:id="211"/>
    </w:p>
    <w:p w14:paraId="0AAE7DB9">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8.3.1</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确定参与评标至评标结束前，不得私自接触投标人；</w:t>
      </w:r>
    </w:p>
    <w:p w14:paraId="122863EB">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8.3.2</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不得与投标人或采购代理机构串通损害国家利益、社会公共利益或者他人合法权益；</w:t>
      </w:r>
    </w:p>
    <w:p w14:paraId="60882A5D">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8.3.3</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不得接受投标人主动提出的与投标文件不一致的澄清和说明；</w:t>
      </w:r>
    </w:p>
    <w:p w14:paraId="1884AC47">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8.3.4</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不得征询采购人的倾向性意见；</w:t>
      </w:r>
    </w:p>
    <w:p w14:paraId="7DE69E63">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8.3.5</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不得对主观评审因素协商评分；</w:t>
      </w:r>
    </w:p>
    <w:p w14:paraId="6E6AAB75">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8.3.6</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不得对客观评审因素评分不一致；</w:t>
      </w:r>
    </w:p>
    <w:p w14:paraId="362C8BA8">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8.3.7</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不得接受投标人、采购人和采购代理机构等他人的贿赂或者其他不正当利益；</w:t>
      </w:r>
    </w:p>
    <w:p w14:paraId="433F789B">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8.3.8</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不得以不合理的条件对投标人实行差别待遇或者歧视待遇，排斥其他投标人公平参与竞争；</w:t>
      </w:r>
    </w:p>
    <w:p w14:paraId="4AFDA33B">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8.3.9</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不得使用招标文件没有规定的评标方法和评标标准进行评标；</w:t>
      </w:r>
    </w:p>
    <w:p w14:paraId="51F4048A">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8.3.10</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不得诱导、干预或影响其他评标专家依法依规独立评标；</w:t>
      </w:r>
    </w:p>
    <w:p w14:paraId="79F0B3C2">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8.3.11</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不得擅离职守，影响评标工作正常进行；</w:t>
      </w:r>
    </w:p>
    <w:p w14:paraId="250395B8">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8.3.12</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不得记录、复制或带走任何评标资料；</w:t>
      </w:r>
    </w:p>
    <w:p w14:paraId="4210587E">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8.3.13</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不得泄露评标过程中获悉的对投标文件的评审和比较、中标候选人的推荐情况以及与评标有关的应当保密的情况和资料；</w:t>
      </w:r>
    </w:p>
    <w:p w14:paraId="5F7E3D02">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8.3.14</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评标委员会成员与投标人有利害关系</w:t>
      </w:r>
      <w:r>
        <w:rPr>
          <w:rFonts w:hint="eastAsia" w:ascii="宋体" w:hAnsi="宋体" w:eastAsia="宋体" w:cs="宋体"/>
          <w:color w:val="auto"/>
          <w:spacing w:val="6"/>
          <w:szCs w:val="21"/>
          <w:highlight w:val="none"/>
          <w:lang w:val="en-US"/>
        </w:rPr>
        <w:t>的</w:t>
      </w:r>
      <w:r>
        <w:rPr>
          <w:rFonts w:hint="eastAsia" w:ascii="宋体" w:hAnsi="宋体" w:eastAsia="宋体" w:cs="宋体"/>
          <w:color w:val="auto"/>
          <w:spacing w:val="6"/>
          <w:szCs w:val="21"/>
          <w:highlight w:val="none"/>
        </w:rPr>
        <w:t>应当回避；</w:t>
      </w:r>
    </w:p>
    <w:p w14:paraId="05509D3C">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8.3.15</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在参与政府采购评标活动中，不得有其他违法违规行为。</w:t>
      </w:r>
    </w:p>
    <w:p w14:paraId="3D35D36C">
      <w:pPr>
        <w:pStyle w:val="4"/>
        <w:spacing w:line="420" w:lineRule="exact"/>
        <w:outlineLvl w:val="2"/>
        <w:rPr>
          <w:rFonts w:hint="eastAsia" w:ascii="宋体" w:hAnsi="宋体" w:eastAsia="宋体" w:cs="宋体"/>
          <w:b/>
          <w:bCs/>
          <w:color w:val="auto"/>
          <w:spacing w:val="6"/>
          <w:sz w:val="24"/>
          <w:szCs w:val="24"/>
          <w:highlight w:val="none"/>
        </w:rPr>
      </w:pPr>
      <w:bookmarkStart w:id="212" w:name="_Toc20152"/>
      <w:bookmarkStart w:id="213" w:name="_Toc1660829"/>
      <w:r>
        <w:rPr>
          <w:rFonts w:hint="eastAsia" w:ascii="宋体" w:hAnsi="宋体" w:eastAsia="宋体" w:cs="宋体"/>
          <w:b/>
          <w:bCs/>
          <w:color w:val="auto"/>
          <w:spacing w:val="6"/>
          <w:sz w:val="24"/>
          <w:szCs w:val="24"/>
          <w:highlight w:val="none"/>
        </w:rPr>
        <w:t>8.4 对与评标活动有关的工作人员的纪律要求</w:t>
      </w:r>
      <w:bookmarkEnd w:id="212"/>
      <w:bookmarkEnd w:id="213"/>
    </w:p>
    <w:p w14:paraId="0772623D">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8.4.1</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不得接受投标人、采购人和采购代理机构等他人的贿赂或者其他不正当利益；</w:t>
      </w:r>
    </w:p>
    <w:p w14:paraId="20C0494E">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8.4.2</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不得与投标人、采购代理机构或评标专家串通损害国家利益、社会公共利益或者他人合法权益；</w:t>
      </w:r>
    </w:p>
    <w:p w14:paraId="78327BF3">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8.4.3</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不得以不合理的条件对投标人实行差别待遇或者歧视待遇，排斥其他投标人公平参与竞争；</w:t>
      </w:r>
    </w:p>
    <w:p w14:paraId="6E7A04F4">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8.4.4</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不得诱导、干预或影响评标委员会及其成员依法依规独立评标；</w:t>
      </w:r>
    </w:p>
    <w:p w14:paraId="31DEF5E5">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8.4.5</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不得擅离职守，影响评标工作正常进行；</w:t>
      </w:r>
    </w:p>
    <w:p w14:paraId="6778881A">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8.4.6</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不得泄漏采购活动中应当保密的情况和资料；</w:t>
      </w:r>
    </w:p>
    <w:p w14:paraId="661D8B25">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8.4.7</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与投标人有利害关系的应当回避；</w:t>
      </w:r>
    </w:p>
    <w:p w14:paraId="75F6EDEC">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8.4.8</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在参与或服务政府采购活动中，不得有其他违法违规行为。</w:t>
      </w:r>
    </w:p>
    <w:p w14:paraId="779A7BE4">
      <w:pPr>
        <w:pStyle w:val="4"/>
        <w:spacing w:line="420" w:lineRule="exact"/>
        <w:outlineLvl w:val="2"/>
        <w:rPr>
          <w:rFonts w:hint="eastAsia" w:ascii="宋体" w:hAnsi="宋体" w:eastAsia="宋体" w:cs="宋体"/>
          <w:b w:val="0"/>
          <w:bCs w:val="0"/>
          <w:color w:val="auto"/>
          <w:spacing w:val="6"/>
          <w:sz w:val="24"/>
          <w:szCs w:val="24"/>
          <w:highlight w:val="none"/>
        </w:rPr>
      </w:pPr>
      <w:bookmarkStart w:id="214" w:name="_Toc2697"/>
      <w:bookmarkStart w:id="215" w:name="_Toc1660830"/>
      <w:r>
        <w:rPr>
          <w:rFonts w:hint="eastAsia" w:ascii="宋体" w:hAnsi="宋体" w:eastAsia="宋体" w:cs="宋体"/>
          <w:b/>
          <w:bCs/>
          <w:color w:val="auto"/>
          <w:spacing w:val="6"/>
          <w:sz w:val="24"/>
          <w:szCs w:val="24"/>
          <w:highlight w:val="none"/>
        </w:rPr>
        <w:t>8.5</w:t>
      </w:r>
      <w:r>
        <w:rPr>
          <w:rFonts w:hint="eastAsia" w:ascii="宋体" w:hAnsi="宋体" w:eastAsia="宋体" w:cs="宋体"/>
          <w:b/>
          <w:bCs/>
          <w:color w:val="auto"/>
          <w:spacing w:val="6"/>
          <w:sz w:val="24"/>
          <w:szCs w:val="24"/>
          <w:highlight w:val="none"/>
          <w:lang w:val="en-US"/>
        </w:rPr>
        <w:t xml:space="preserve"> </w:t>
      </w:r>
      <w:r>
        <w:rPr>
          <w:rFonts w:hint="eastAsia" w:ascii="宋体" w:hAnsi="宋体" w:eastAsia="宋体" w:cs="宋体"/>
          <w:b/>
          <w:bCs/>
          <w:color w:val="auto"/>
          <w:spacing w:val="6"/>
          <w:sz w:val="24"/>
          <w:szCs w:val="24"/>
          <w:highlight w:val="none"/>
        </w:rPr>
        <w:t>质疑和投诉</w:t>
      </w:r>
      <w:bookmarkEnd w:id="214"/>
      <w:bookmarkEnd w:id="215"/>
    </w:p>
    <w:p w14:paraId="01C26B4F">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8.5.1</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投标人认为本次招标活动的招标文件、采购过程和中标结果使自己的权益受到损害的，可以在知道或应知其权益受到损害之日起7个工作日内，按规定的程序针对同一采购程序环节一次性实名向采购人、采购代理机构提出书面质疑。质疑函应采用财政部制定的范本（见附件：质疑函范本）。质疑函及授权委托书应按规定签字并加盖公章。</w:t>
      </w:r>
    </w:p>
    <w:p w14:paraId="317E9BF4">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8.5.2</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 xml:space="preserve">质疑函的递交方式：见投标人须知前附表。 </w:t>
      </w:r>
    </w:p>
    <w:p w14:paraId="70A8092C">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8.5.3</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对采购人、采购代理机构的答复不满意或者采购人、采购代理机构未在规定的时间内作出答复的，投标人可以在质疑答复期满后15个工作日内实名向（项目所属）同级政府采购监督管理部门投诉。</w:t>
      </w:r>
    </w:p>
    <w:p w14:paraId="4A35FF52">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8.5.4</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质疑和投诉应有具体的质疑（投诉）事项和必要的证明材料或事实根据，投标人对其质疑和投诉内容的真实性及其来源的合法性承担法律责任。</w:t>
      </w:r>
    </w:p>
    <w:p w14:paraId="2ECD822D">
      <w:pPr>
        <w:pStyle w:val="3"/>
        <w:spacing w:line="420" w:lineRule="exact"/>
        <w:outlineLvl w:val="1"/>
        <w:rPr>
          <w:rFonts w:hint="eastAsia" w:ascii="宋体" w:hAnsi="宋体" w:eastAsia="宋体" w:cs="宋体"/>
          <w:b/>
          <w:bCs/>
          <w:color w:val="auto"/>
          <w:spacing w:val="6"/>
          <w:sz w:val="28"/>
          <w:szCs w:val="28"/>
          <w:highlight w:val="none"/>
          <w:lang w:val="en-US" w:eastAsia="zh-CN"/>
        </w:rPr>
      </w:pPr>
      <w:bookmarkStart w:id="216" w:name="_Toc24381"/>
      <w:bookmarkStart w:id="217" w:name="_Toc24181"/>
      <w:bookmarkStart w:id="218" w:name="_Toc9477"/>
      <w:bookmarkStart w:id="219" w:name="_Toc1812"/>
      <w:bookmarkStart w:id="220" w:name="_Toc15704"/>
      <w:bookmarkStart w:id="221" w:name="_Toc26649"/>
      <w:bookmarkStart w:id="222" w:name="_Toc20863"/>
      <w:r>
        <w:rPr>
          <w:rFonts w:hint="eastAsia" w:ascii="宋体" w:hAnsi="宋体" w:eastAsia="宋体" w:cs="宋体"/>
          <w:b/>
          <w:bCs/>
          <w:color w:val="auto"/>
          <w:spacing w:val="6"/>
          <w:sz w:val="28"/>
          <w:szCs w:val="28"/>
          <w:highlight w:val="none"/>
          <w:lang w:val="en-US" w:eastAsia="zh-CN"/>
        </w:rPr>
        <w:t>9</w:t>
      </w:r>
      <w:r>
        <w:rPr>
          <w:rFonts w:hint="eastAsia" w:ascii="宋体" w:hAnsi="宋体" w:eastAsia="宋体" w:cs="宋体"/>
          <w:b/>
          <w:bCs/>
          <w:color w:val="auto"/>
          <w:spacing w:val="6"/>
          <w:sz w:val="28"/>
          <w:szCs w:val="28"/>
          <w:highlight w:val="none"/>
        </w:rPr>
        <w:t>.</w:t>
      </w:r>
      <w:r>
        <w:rPr>
          <w:rFonts w:hint="eastAsia" w:ascii="宋体" w:hAnsi="宋体" w:eastAsia="宋体" w:cs="宋体"/>
          <w:b/>
          <w:bCs/>
          <w:color w:val="auto"/>
          <w:spacing w:val="6"/>
          <w:sz w:val="28"/>
          <w:szCs w:val="28"/>
          <w:highlight w:val="none"/>
          <w:lang w:val="en-US"/>
        </w:rPr>
        <w:t xml:space="preserve"> </w:t>
      </w:r>
      <w:r>
        <w:rPr>
          <w:rFonts w:hint="eastAsia" w:ascii="宋体" w:hAnsi="宋体" w:eastAsia="宋体" w:cs="宋体"/>
          <w:b/>
          <w:bCs/>
          <w:color w:val="auto"/>
          <w:spacing w:val="6"/>
          <w:sz w:val="28"/>
          <w:szCs w:val="28"/>
          <w:highlight w:val="none"/>
          <w:lang w:val="en-US" w:eastAsia="zh-CN"/>
        </w:rPr>
        <w:t>投标人信用查询</w:t>
      </w:r>
      <w:bookmarkEnd w:id="216"/>
      <w:bookmarkEnd w:id="217"/>
      <w:bookmarkEnd w:id="218"/>
      <w:bookmarkEnd w:id="219"/>
      <w:bookmarkEnd w:id="220"/>
      <w:bookmarkEnd w:id="221"/>
      <w:bookmarkEnd w:id="222"/>
    </w:p>
    <w:p w14:paraId="66FEF377">
      <w:pPr>
        <w:pStyle w:val="110"/>
        <w:spacing w:line="420" w:lineRule="exact"/>
        <w:ind w:firstLine="422"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eastAsia="zh-CN"/>
        </w:rPr>
        <w:t>信用查询要求</w:t>
      </w:r>
      <w:r>
        <w:rPr>
          <w:rFonts w:hint="eastAsia" w:ascii="宋体" w:hAnsi="宋体" w:eastAsia="宋体" w:cs="宋体"/>
          <w:color w:val="auto"/>
          <w:spacing w:val="6"/>
          <w:szCs w:val="21"/>
          <w:highlight w:val="none"/>
        </w:rPr>
        <w:t>见投标人须知前附表</w:t>
      </w:r>
    </w:p>
    <w:p w14:paraId="136E80B9">
      <w:pPr>
        <w:pStyle w:val="3"/>
        <w:spacing w:line="420" w:lineRule="exact"/>
        <w:outlineLvl w:val="1"/>
        <w:rPr>
          <w:rFonts w:hint="eastAsia" w:ascii="宋体" w:hAnsi="宋体" w:eastAsia="宋体" w:cs="宋体"/>
          <w:b/>
          <w:bCs/>
          <w:color w:val="auto"/>
          <w:spacing w:val="6"/>
          <w:sz w:val="28"/>
          <w:szCs w:val="28"/>
          <w:highlight w:val="none"/>
          <w:lang w:eastAsia="zh-CN"/>
        </w:rPr>
      </w:pPr>
      <w:bookmarkStart w:id="223" w:name="_Toc19059"/>
      <w:bookmarkStart w:id="224" w:name="_Toc21789"/>
      <w:bookmarkStart w:id="225" w:name="_Toc29842"/>
      <w:bookmarkStart w:id="226" w:name="_Toc31096"/>
      <w:bookmarkStart w:id="227" w:name="_Toc22080"/>
      <w:bookmarkStart w:id="228" w:name="_Toc3202"/>
      <w:bookmarkStart w:id="229" w:name="_Toc21390"/>
      <w:r>
        <w:rPr>
          <w:rFonts w:hint="eastAsia" w:ascii="宋体" w:hAnsi="宋体" w:eastAsia="宋体" w:cs="宋体"/>
          <w:b/>
          <w:bCs/>
          <w:color w:val="auto"/>
          <w:spacing w:val="6"/>
          <w:sz w:val="28"/>
          <w:szCs w:val="28"/>
          <w:highlight w:val="none"/>
        </w:rPr>
        <w:t>1</w:t>
      </w:r>
      <w:r>
        <w:rPr>
          <w:rFonts w:hint="eastAsia" w:ascii="宋体" w:hAnsi="宋体" w:eastAsia="宋体" w:cs="宋体"/>
          <w:b/>
          <w:bCs/>
          <w:color w:val="auto"/>
          <w:spacing w:val="6"/>
          <w:sz w:val="28"/>
          <w:szCs w:val="28"/>
          <w:highlight w:val="none"/>
          <w:lang w:val="en-US" w:eastAsia="zh-CN"/>
        </w:rPr>
        <w:t>0</w:t>
      </w:r>
      <w:r>
        <w:rPr>
          <w:rFonts w:hint="eastAsia" w:ascii="宋体" w:hAnsi="宋体" w:eastAsia="宋体" w:cs="宋体"/>
          <w:b/>
          <w:bCs/>
          <w:color w:val="auto"/>
          <w:spacing w:val="6"/>
          <w:sz w:val="28"/>
          <w:szCs w:val="28"/>
          <w:highlight w:val="none"/>
        </w:rPr>
        <w:t>.</w:t>
      </w:r>
      <w:r>
        <w:rPr>
          <w:rFonts w:hint="eastAsia" w:ascii="宋体" w:hAnsi="宋体" w:eastAsia="宋体" w:cs="宋体"/>
          <w:b/>
          <w:bCs/>
          <w:color w:val="auto"/>
          <w:spacing w:val="6"/>
          <w:sz w:val="28"/>
          <w:szCs w:val="28"/>
          <w:highlight w:val="none"/>
          <w:lang w:val="en-US"/>
        </w:rPr>
        <w:t xml:space="preserve"> </w:t>
      </w:r>
      <w:r>
        <w:rPr>
          <w:rFonts w:hint="eastAsia" w:ascii="宋体" w:hAnsi="宋体" w:eastAsia="宋体" w:cs="宋体"/>
          <w:b/>
          <w:bCs/>
          <w:color w:val="auto"/>
          <w:spacing w:val="6"/>
          <w:sz w:val="28"/>
          <w:szCs w:val="28"/>
          <w:highlight w:val="none"/>
          <w:lang w:val="en-US" w:eastAsia="zh-CN"/>
        </w:rPr>
        <w:t>解释权</w:t>
      </w:r>
      <w:bookmarkEnd w:id="223"/>
      <w:bookmarkEnd w:id="224"/>
      <w:bookmarkEnd w:id="225"/>
      <w:bookmarkEnd w:id="226"/>
      <w:bookmarkEnd w:id="227"/>
      <w:bookmarkEnd w:id="228"/>
      <w:bookmarkEnd w:id="229"/>
    </w:p>
    <w:p w14:paraId="1B98E434">
      <w:pPr>
        <w:pStyle w:val="110"/>
        <w:spacing w:line="420" w:lineRule="exact"/>
        <w:ind w:firstLine="422" w:firstLineChars="200"/>
        <w:rPr>
          <w:rFonts w:hint="eastAsia" w:ascii="宋体" w:hAnsi="宋体" w:eastAsia="宋体" w:cs="宋体"/>
          <w:color w:val="auto"/>
          <w:highlight w:val="none"/>
        </w:rPr>
      </w:pPr>
      <w:r>
        <w:rPr>
          <w:rFonts w:hint="eastAsia" w:ascii="宋体" w:hAnsi="宋体" w:eastAsia="宋体" w:cs="宋体"/>
          <w:color w:val="auto"/>
          <w:spacing w:val="6"/>
          <w:szCs w:val="21"/>
          <w:highlight w:val="none"/>
          <w:lang w:val="en-US" w:eastAsia="zh-CN"/>
        </w:rPr>
        <w:t>详</w:t>
      </w:r>
      <w:r>
        <w:rPr>
          <w:rFonts w:hint="eastAsia" w:ascii="宋体" w:hAnsi="宋体" w:eastAsia="宋体" w:cs="宋体"/>
          <w:color w:val="auto"/>
          <w:spacing w:val="6"/>
          <w:szCs w:val="21"/>
          <w:highlight w:val="none"/>
        </w:rPr>
        <w:t>见投标人须知前附表。</w:t>
      </w:r>
    </w:p>
    <w:p w14:paraId="2152C936">
      <w:pPr>
        <w:pStyle w:val="3"/>
        <w:spacing w:line="420" w:lineRule="exact"/>
        <w:outlineLvl w:val="1"/>
        <w:rPr>
          <w:rFonts w:hint="eastAsia" w:ascii="宋体" w:hAnsi="宋体" w:eastAsia="宋体" w:cs="宋体"/>
          <w:b/>
          <w:bCs/>
          <w:color w:val="auto"/>
          <w:spacing w:val="6"/>
          <w:sz w:val="28"/>
          <w:szCs w:val="28"/>
          <w:highlight w:val="none"/>
        </w:rPr>
      </w:pPr>
      <w:bookmarkStart w:id="230" w:name="_Toc28215"/>
      <w:bookmarkStart w:id="231" w:name="_Toc22208"/>
      <w:bookmarkStart w:id="232" w:name="_Toc32569"/>
      <w:bookmarkStart w:id="233" w:name="_Toc7987"/>
      <w:bookmarkStart w:id="234" w:name="_Toc1660833"/>
      <w:bookmarkStart w:id="235" w:name="_Toc12299"/>
      <w:bookmarkStart w:id="236" w:name="_Toc28117"/>
      <w:bookmarkStart w:id="237" w:name="_Toc12835"/>
      <w:r>
        <w:rPr>
          <w:rFonts w:hint="eastAsia" w:ascii="宋体" w:hAnsi="宋体" w:eastAsia="宋体" w:cs="宋体"/>
          <w:b/>
          <w:bCs/>
          <w:color w:val="auto"/>
          <w:spacing w:val="6"/>
          <w:sz w:val="28"/>
          <w:szCs w:val="28"/>
          <w:highlight w:val="none"/>
        </w:rPr>
        <w:t>1</w:t>
      </w:r>
      <w:r>
        <w:rPr>
          <w:rFonts w:hint="eastAsia" w:ascii="宋体" w:hAnsi="宋体" w:eastAsia="宋体" w:cs="宋体"/>
          <w:b/>
          <w:bCs/>
          <w:color w:val="auto"/>
          <w:spacing w:val="6"/>
          <w:sz w:val="28"/>
          <w:szCs w:val="28"/>
          <w:highlight w:val="none"/>
          <w:lang w:val="en-US" w:eastAsia="zh-CN"/>
        </w:rPr>
        <w:t>1</w:t>
      </w:r>
      <w:r>
        <w:rPr>
          <w:rFonts w:hint="eastAsia" w:ascii="宋体" w:hAnsi="宋体" w:eastAsia="宋体" w:cs="宋体"/>
          <w:b/>
          <w:bCs/>
          <w:color w:val="auto"/>
          <w:spacing w:val="6"/>
          <w:sz w:val="28"/>
          <w:szCs w:val="28"/>
          <w:highlight w:val="none"/>
        </w:rPr>
        <w:t>.</w:t>
      </w:r>
      <w:r>
        <w:rPr>
          <w:rFonts w:hint="eastAsia" w:ascii="宋体" w:hAnsi="宋体" w:eastAsia="宋体" w:cs="宋体"/>
          <w:b/>
          <w:bCs/>
          <w:color w:val="auto"/>
          <w:spacing w:val="6"/>
          <w:sz w:val="28"/>
          <w:szCs w:val="28"/>
          <w:highlight w:val="none"/>
          <w:lang w:val="en-US"/>
        </w:rPr>
        <w:t xml:space="preserve"> </w:t>
      </w:r>
      <w:r>
        <w:rPr>
          <w:rFonts w:hint="eastAsia" w:ascii="宋体" w:hAnsi="宋体" w:eastAsia="宋体" w:cs="宋体"/>
          <w:b/>
          <w:bCs/>
          <w:color w:val="auto"/>
          <w:spacing w:val="6"/>
          <w:sz w:val="28"/>
          <w:szCs w:val="28"/>
          <w:highlight w:val="none"/>
        </w:rPr>
        <w:t>需要补充的其他内容</w:t>
      </w:r>
      <w:bookmarkEnd w:id="230"/>
      <w:bookmarkEnd w:id="231"/>
      <w:bookmarkEnd w:id="232"/>
      <w:bookmarkEnd w:id="233"/>
      <w:bookmarkEnd w:id="234"/>
      <w:bookmarkEnd w:id="235"/>
      <w:bookmarkEnd w:id="236"/>
      <w:bookmarkEnd w:id="237"/>
    </w:p>
    <w:p w14:paraId="0491F678">
      <w:pPr>
        <w:pStyle w:val="110"/>
        <w:spacing w:line="420" w:lineRule="exact"/>
        <w:ind w:firstLine="422"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需要补充的其他内容：见投标人须知前附表。</w:t>
      </w:r>
    </w:p>
    <w:p w14:paraId="3F343047">
      <w:pPr>
        <w:rPr>
          <w:rFonts w:hint="eastAsia" w:ascii="宋体" w:hAnsi="宋体" w:eastAsia="宋体" w:cs="宋体"/>
          <w:b w:val="0"/>
          <w:bCs w:val="0"/>
          <w:color w:val="auto"/>
          <w:spacing w:val="6"/>
          <w:highlight w:val="none"/>
        </w:rPr>
      </w:pPr>
      <w:bookmarkStart w:id="238" w:name="_Toc247085740"/>
      <w:bookmarkStart w:id="239" w:name="_Toc19771"/>
      <w:bookmarkStart w:id="240" w:name="_Toc152042359"/>
      <w:bookmarkStart w:id="241" w:name="_Toc246996225"/>
      <w:bookmarkStart w:id="242" w:name="_Toc246996968"/>
      <w:bookmarkStart w:id="243" w:name="_Toc296602470"/>
      <w:bookmarkStart w:id="244" w:name="_Toc144974549"/>
      <w:bookmarkStart w:id="245" w:name="_Toc152045582"/>
      <w:bookmarkStart w:id="246" w:name="_Toc179632600"/>
      <w:r>
        <w:rPr>
          <w:rFonts w:hint="eastAsia" w:ascii="宋体" w:hAnsi="宋体" w:eastAsia="宋体" w:cs="宋体"/>
          <w:b w:val="0"/>
          <w:bCs w:val="0"/>
          <w:color w:val="auto"/>
          <w:spacing w:val="6"/>
          <w:highlight w:val="none"/>
        </w:rPr>
        <w:br w:type="page"/>
      </w:r>
    </w:p>
    <w:p w14:paraId="294E35F4">
      <w:pPr>
        <w:pStyle w:val="5"/>
        <w:rPr>
          <w:rFonts w:hint="eastAsia" w:ascii="黑体" w:hAnsi="黑体" w:eastAsia="黑体" w:cs="黑体"/>
          <w:b w:val="0"/>
          <w:bCs w:val="0"/>
          <w:spacing w:val="6"/>
          <w:lang w:val="en-US" w:eastAsia="zh-CN"/>
        </w:rPr>
      </w:pPr>
      <w:bookmarkStart w:id="247" w:name="_Toc25744"/>
      <w:r>
        <w:rPr>
          <w:rFonts w:hint="eastAsia" w:ascii="黑体" w:hAnsi="黑体" w:eastAsia="黑体" w:cs="黑体"/>
          <w:b w:val="0"/>
          <w:bCs w:val="0"/>
          <w:spacing w:val="6"/>
          <w:lang w:val="en-US" w:eastAsia="zh-CN"/>
        </w:rPr>
        <w:t>附件1：</w:t>
      </w:r>
      <w:bookmarkEnd w:id="247"/>
    </w:p>
    <w:p w14:paraId="71EA21B9">
      <w:pPr>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统计上大中小微型企业划分标准</w:t>
      </w:r>
    </w:p>
    <w:tbl>
      <w:tblPr>
        <w:tblStyle w:val="26"/>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1DEA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exact"/>
          <w:jc w:val="center"/>
        </w:trPr>
        <w:tc>
          <w:tcPr>
            <w:tcW w:w="2113" w:type="dxa"/>
            <w:noWrap w:val="0"/>
            <w:vAlign w:val="center"/>
          </w:tcPr>
          <w:p w14:paraId="0B78C906">
            <w:pPr>
              <w:widowControl/>
              <w:spacing w:line="240" w:lineRule="exact"/>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行业名称</w:t>
            </w:r>
          </w:p>
        </w:tc>
        <w:tc>
          <w:tcPr>
            <w:tcW w:w="1369" w:type="dxa"/>
            <w:noWrap w:val="0"/>
            <w:vAlign w:val="center"/>
          </w:tcPr>
          <w:p w14:paraId="346FC024">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指标名称</w:t>
            </w:r>
          </w:p>
        </w:tc>
        <w:tc>
          <w:tcPr>
            <w:tcW w:w="709" w:type="dxa"/>
            <w:noWrap w:val="0"/>
            <w:vAlign w:val="center"/>
          </w:tcPr>
          <w:p w14:paraId="32DC8923">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计量</w:t>
            </w:r>
            <w:r>
              <w:rPr>
                <w:rFonts w:hint="eastAsia" w:ascii="宋体" w:hAnsi="宋体" w:eastAsia="宋体" w:cs="宋体"/>
                <w:b/>
                <w:bCs/>
                <w:color w:val="000000"/>
                <w:kern w:val="0"/>
                <w:sz w:val="21"/>
                <w:szCs w:val="21"/>
              </w:rPr>
              <w:br w:type="textWrapping"/>
            </w:r>
            <w:r>
              <w:rPr>
                <w:rFonts w:hint="eastAsia" w:ascii="宋体" w:hAnsi="宋体" w:eastAsia="宋体" w:cs="宋体"/>
                <w:b/>
                <w:bCs/>
                <w:color w:val="000000"/>
                <w:kern w:val="0"/>
                <w:sz w:val="21"/>
                <w:szCs w:val="21"/>
              </w:rPr>
              <w:t>单位</w:t>
            </w:r>
          </w:p>
        </w:tc>
        <w:tc>
          <w:tcPr>
            <w:tcW w:w="1125" w:type="dxa"/>
            <w:noWrap w:val="0"/>
            <w:vAlign w:val="center"/>
          </w:tcPr>
          <w:p w14:paraId="24271F0C">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大型</w:t>
            </w:r>
          </w:p>
        </w:tc>
        <w:tc>
          <w:tcPr>
            <w:tcW w:w="1701" w:type="dxa"/>
            <w:noWrap w:val="0"/>
            <w:vAlign w:val="center"/>
          </w:tcPr>
          <w:p w14:paraId="7538C09F">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中型</w:t>
            </w:r>
          </w:p>
        </w:tc>
        <w:tc>
          <w:tcPr>
            <w:tcW w:w="1426" w:type="dxa"/>
            <w:noWrap w:val="0"/>
            <w:vAlign w:val="center"/>
          </w:tcPr>
          <w:p w14:paraId="1EA6E359">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小型</w:t>
            </w:r>
          </w:p>
        </w:tc>
        <w:tc>
          <w:tcPr>
            <w:tcW w:w="992" w:type="dxa"/>
            <w:noWrap w:val="0"/>
            <w:vAlign w:val="center"/>
          </w:tcPr>
          <w:p w14:paraId="75F62C52">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微型</w:t>
            </w:r>
          </w:p>
        </w:tc>
      </w:tr>
      <w:tr w14:paraId="0F0D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2113" w:type="dxa"/>
            <w:noWrap w:val="0"/>
            <w:vAlign w:val="center"/>
          </w:tcPr>
          <w:p w14:paraId="713B95FC">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农、林、牧、渔业</w:t>
            </w:r>
          </w:p>
        </w:tc>
        <w:tc>
          <w:tcPr>
            <w:tcW w:w="1369" w:type="dxa"/>
            <w:noWrap w:val="0"/>
            <w:vAlign w:val="center"/>
          </w:tcPr>
          <w:p w14:paraId="61D2ECF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营业收入(Y)</w:t>
            </w:r>
          </w:p>
        </w:tc>
        <w:tc>
          <w:tcPr>
            <w:tcW w:w="709" w:type="dxa"/>
            <w:noWrap w:val="0"/>
            <w:vAlign w:val="center"/>
          </w:tcPr>
          <w:p w14:paraId="688F5FB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787C023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Y≥20000</w:t>
            </w:r>
          </w:p>
        </w:tc>
        <w:tc>
          <w:tcPr>
            <w:tcW w:w="1701" w:type="dxa"/>
            <w:noWrap w:val="0"/>
            <w:vAlign w:val="center"/>
          </w:tcPr>
          <w:p w14:paraId="663DB3D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500≤Y＜20000</w:t>
            </w:r>
          </w:p>
        </w:tc>
        <w:tc>
          <w:tcPr>
            <w:tcW w:w="1426" w:type="dxa"/>
            <w:noWrap w:val="0"/>
            <w:vAlign w:val="center"/>
          </w:tcPr>
          <w:p w14:paraId="3D38283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50≤Y＜500</w:t>
            </w:r>
          </w:p>
        </w:tc>
        <w:tc>
          <w:tcPr>
            <w:tcW w:w="992" w:type="dxa"/>
            <w:noWrap w:val="0"/>
            <w:vAlign w:val="center"/>
          </w:tcPr>
          <w:p w14:paraId="04C9779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Y＜50</w:t>
            </w:r>
          </w:p>
        </w:tc>
      </w:tr>
      <w:tr w14:paraId="0A28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13" w:type="dxa"/>
            <w:vMerge w:val="restart"/>
            <w:noWrap w:val="0"/>
            <w:vAlign w:val="center"/>
          </w:tcPr>
          <w:p w14:paraId="6CB9D555">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工业 *</w:t>
            </w:r>
          </w:p>
        </w:tc>
        <w:tc>
          <w:tcPr>
            <w:tcW w:w="1369" w:type="dxa"/>
            <w:noWrap w:val="0"/>
            <w:vAlign w:val="center"/>
          </w:tcPr>
          <w:p w14:paraId="37C5657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从业人员(X)</w:t>
            </w:r>
          </w:p>
        </w:tc>
        <w:tc>
          <w:tcPr>
            <w:tcW w:w="709" w:type="dxa"/>
            <w:noWrap w:val="0"/>
            <w:vAlign w:val="center"/>
          </w:tcPr>
          <w:p w14:paraId="3696488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w:t>
            </w:r>
          </w:p>
        </w:tc>
        <w:tc>
          <w:tcPr>
            <w:tcW w:w="1125" w:type="dxa"/>
            <w:noWrap w:val="0"/>
            <w:vAlign w:val="center"/>
          </w:tcPr>
          <w:p w14:paraId="6B4D39E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X≥1000</w:t>
            </w:r>
          </w:p>
        </w:tc>
        <w:tc>
          <w:tcPr>
            <w:tcW w:w="1701" w:type="dxa"/>
            <w:noWrap w:val="0"/>
            <w:vAlign w:val="center"/>
          </w:tcPr>
          <w:p w14:paraId="710A327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300≤X＜1000</w:t>
            </w:r>
          </w:p>
        </w:tc>
        <w:tc>
          <w:tcPr>
            <w:tcW w:w="1426" w:type="dxa"/>
            <w:noWrap w:val="0"/>
            <w:vAlign w:val="center"/>
          </w:tcPr>
          <w:p w14:paraId="52BE57B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20≤X＜300</w:t>
            </w:r>
          </w:p>
        </w:tc>
        <w:tc>
          <w:tcPr>
            <w:tcW w:w="992" w:type="dxa"/>
            <w:noWrap w:val="0"/>
            <w:vAlign w:val="center"/>
          </w:tcPr>
          <w:p w14:paraId="0BB3D40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X＜20</w:t>
            </w:r>
          </w:p>
        </w:tc>
      </w:tr>
      <w:tr w14:paraId="3F67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2113" w:type="dxa"/>
            <w:vMerge w:val="continue"/>
            <w:noWrap w:val="0"/>
            <w:vAlign w:val="center"/>
          </w:tcPr>
          <w:p w14:paraId="7705A4ED">
            <w:pPr>
              <w:widowControl/>
              <w:jc w:val="center"/>
              <w:rPr>
                <w:rFonts w:hint="eastAsia" w:ascii="宋体" w:hAnsi="宋体" w:eastAsia="宋体" w:cs="宋体"/>
                <w:color w:val="000000"/>
                <w:kern w:val="0"/>
                <w:sz w:val="21"/>
                <w:szCs w:val="21"/>
              </w:rPr>
            </w:pPr>
          </w:p>
        </w:tc>
        <w:tc>
          <w:tcPr>
            <w:tcW w:w="1369" w:type="dxa"/>
            <w:noWrap w:val="0"/>
            <w:vAlign w:val="center"/>
          </w:tcPr>
          <w:p w14:paraId="55D5DA57">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营业收入(Y)</w:t>
            </w:r>
          </w:p>
        </w:tc>
        <w:tc>
          <w:tcPr>
            <w:tcW w:w="709" w:type="dxa"/>
            <w:noWrap w:val="0"/>
            <w:vAlign w:val="center"/>
          </w:tcPr>
          <w:p w14:paraId="1F44DAD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273D33F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Y≥40000</w:t>
            </w:r>
          </w:p>
        </w:tc>
        <w:tc>
          <w:tcPr>
            <w:tcW w:w="1701" w:type="dxa"/>
            <w:noWrap w:val="0"/>
            <w:vAlign w:val="center"/>
          </w:tcPr>
          <w:p w14:paraId="6699B4A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2000≤Y＜40000</w:t>
            </w:r>
          </w:p>
        </w:tc>
        <w:tc>
          <w:tcPr>
            <w:tcW w:w="1426" w:type="dxa"/>
            <w:noWrap w:val="0"/>
            <w:vAlign w:val="center"/>
          </w:tcPr>
          <w:p w14:paraId="49E2D21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300≤Y＜2000</w:t>
            </w:r>
          </w:p>
        </w:tc>
        <w:tc>
          <w:tcPr>
            <w:tcW w:w="992" w:type="dxa"/>
            <w:noWrap w:val="0"/>
            <w:vAlign w:val="center"/>
          </w:tcPr>
          <w:p w14:paraId="5F9AE4C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Y＜300</w:t>
            </w:r>
          </w:p>
        </w:tc>
      </w:tr>
      <w:tr w14:paraId="217C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2113" w:type="dxa"/>
            <w:vMerge w:val="restart"/>
            <w:noWrap w:val="0"/>
            <w:vAlign w:val="center"/>
          </w:tcPr>
          <w:p w14:paraId="1809AA4D">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建筑业</w:t>
            </w:r>
          </w:p>
        </w:tc>
        <w:tc>
          <w:tcPr>
            <w:tcW w:w="1369" w:type="dxa"/>
            <w:noWrap w:val="0"/>
            <w:vAlign w:val="center"/>
          </w:tcPr>
          <w:p w14:paraId="02307D9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营业收入(Y)</w:t>
            </w:r>
          </w:p>
        </w:tc>
        <w:tc>
          <w:tcPr>
            <w:tcW w:w="709" w:type="dxa"/>
            <w:noWrap w:val="0"/>
            <w:vAlign w:val="center"/>
          </w:tcPr>
          <w:p w14:paraId="016843D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3A3E3AC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Y≥80000</w:t>
            </w:r>
          </w:p>
        </w:tc>
        <w:tc>
          <w:tcPr>
            <w:tcW w:w="1701" w:type="dxa"/>
            <w:noWrap w:val="0"/>
            <w:vAlign w:val="center"/>
          </w:tcPr>
          <w:p w14:paraId="0B03957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6000≤Y＜80000</w:t>
            </w:r>
          </w:p>
        </w:tc>
        <w:tc>
          <w:tcPr>
            <w:tcW w:w="1426" w:type="dxa"/>
            <w:noWrap w:val="0"/>
            <w:vAlign w:val="center"/>
          </w:tcPr>
          <w:p w14:paraId="66816FE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300≤Y＜6000</w:t>
            </w:r>
          </w:p>
        </w:tc>
        <w:tc>
          <w:tcPr>
            <w:tcW w:w="992" w:type="dxa"/>
            <w:noWrap w:val="0"/>
            <w:vAlign w:val="center"/>
          </w:tcPr>
          <w:p w14:paraId="4BA7ADD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Y＜300</w:t>
            </w:r>
          </w:p>
        </w:tc>
      </w:tr>
      <w:tr w14:paraId="0536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2113" w:type="dxa"/>
            <w:vMerge w:val="continue"/>
            <w:noWrap w:val="0"/>
            <w:vAlign w:val="center"/>
          </w:tcPr>
          <w:p w14:paraId="683FA2BC">
            <w:pPr>
              <w:widowControl/>
              <w:jc w:val="center"/>
              <w:rPr>
                <w:rFonts w:hint="eastAsia" w:ascii="宋体" w:hAnsi="宋体" w:eastAsia="宋体" w:cs="宋体"/>
                <w:color w:val="000000"/>
                <w:kern w:val="0"/>
                <w:sz w:val="21"/>
                <w:szCs w:val="21"/>
              </w:rPr>
            </w:pPr>
          </w:p>
        </w:tc>
        <w:tc>
          <w:tcPr>
            <w:tcW w:w="1369" w:type="dxa"/>
            <w:noWrap w:val="0"/>
            <w:vAlign w:val="center"/>
          </w:tcPr>
          <w:p w14:paraId="08F1350B">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资产总额(Z)</w:t>
            </w:r>
          </w:p>
        </w:tc>
        <w:tc>
          <w:tcPr>
            <w:tcW w:w="709" w:type="dxa"/>
            <w:noWrap w:val="0"/>
            <w:vAlign w:val="center"/>
          </w:tcPr>
          <w:p w14:paraId="3EE8769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563DE35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Z≥80000</w:t>
            </w:r>
          </w:p>
        </w:tc>
        <w:tc>
          <w:tcPr>
            <w:tcW w:w="1701" w:type="dxa"/>
            <w:noWrap w:val="0"/>
            <w:vAlign w:val="center"/>
          </w:tcPr>
          <w:p w14:paraId="2EA9F22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5000≤Z＜80000</w:t>
            </w:r>
          </w:p>
        </w:tc>
        <w:tc>
          <w:tcPr>
            <w:tcW w:w="1426" w:type="dxa"/>
            <w:noWrap w:val="0"/>
            <w:vAlign w:val="center"/>
          </w:tcPr>
          <w:p w14:paraId="5800E83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300≤Z＜5000</w:t>
            </w:r>
          </w:p>
        </w:tc>
        <w:tc>
          <w:tcPr>
            <w:tcW w:w="992" w:type="dxa"/>
            <w:noWrap w:val="0"/>
            <w:vAlign w:val="center"/>
          </w:tcPr>
          <w:p w14:paraId="09AB4AE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Z＜300</w:t>
            </w:r>
          </w:p>
        </w:tc>
      </w:tr>
      <w:tr w14:paraId="784A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2113" w:type="dxa"/>
            <w:vMerge w:val="restart"/>
            <w:noWrap w:val="0"/>
            <w:vAlign w:val="center"/>
          </w:tcPr>
          <w:p w14:paraId="6B7D7747">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批发业</w:t>
            </w:r>
          </w:p>
        </w:tc>
        <w:tc>
          <w:tcPr>
            <w:tcW w:w="1369" w:type="dxa"/>
            <w:noWrap w:val="0"/>
            <w:vAlign w:val="center"/>
          </w:tcPr>
          <w:p w14:paraId="7D7C58D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从业人员(X)</w:t>
            </w:r>
          </w:p>
        </w:tc>
        <w:tc>
          <w:tcPr>
            <w:tcW w:w="709" w:type="dxa"/>
            <w:noWrap w:val="0"/>
            <w:vAlign w:val="center"/>
          </w:tcPr>
          <w:p w14:paraId="3C40AE7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w:t>
            </w:r>
          </w:p>
        </w:tc>
        <w:tc>
          <w:tcPr>
            <w:tcW w:w="1125" w:type="dxa"/>
            <w:noWrap w:val="0"/>
            <w:vAlign w:val="center"/>
          </w:tcPr>
          <w:p w14:paraId="527EDBA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X≥200</w:t>
            </w:r>
          </w:p>
        </w:tc>
        <w:tc>
          <w:tcPr>
            <w:tcW w:w="1701" w:type="dxa"/>
            <w:noWrap w:val="0"/>
            <w:vAlign w:val="center"/>
          </w:tcPr>
          <w:p w14:paraId="16A8801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20≤X＜200</w:t>
            </w:r>
          </w:p>
        </w:tc>
        <w:tc>
          <w:tcPr>
            <w:tcW w:w="1426" w:type="dxa"/>
            <w:noWrap w:val="0"/>
            <w:vAlign w:val="center"/>
          </w:tcPr>
          <w:p w14:paraId="424D664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5≤X＜20</w:t>
            </w:r>
          </w:p>
        </w:tc>
        <w:tc>
          <w:tcPr>
            <w:tcW w:w="992" w:type="dxa"/>
            <w:noWrap w:val="0"/>
            <w:vAlign w:val="center"/>
          </w:tcPr>
          <w:p w14:paraId="5EA8D3F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X＜5</w:t>
            </w:r>
          </w:p>
        </w:tc>
      </w:tr>
      <w:tr w14:paraId="7574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exact"/>
          <w:jc w:val="center"/>
        </w:trPr>
        <w:tc>
          <w:tcPr>
            <w:tcW w:w="2113" w:type="dxa"/>
            <w:vMerge w:val="continue"/>
            <w:noWrap w:val="0"/>
            <w:vAlign w:val="center"/>
          </w:tcPr>
          <w:p w14:paraId="4F0BEC1E">
            <w:pPr>
              <w:widowControl/>
              <w:jc w:val="center"/>
              <w:rPr>
                <w:rFonts w:hint="eastAsia" w:ascii="宋体" w:hAnsi="宋体" w:eastAsia="宋体" w:cs="宋体"/>
                <w:color w:val="000000"/>
                <w:kern w:val="0"/>
                <w:sz w:val="21"/>
                <w:szCs w:val="21"/>
              </w:rPr>
            </w:pPr>
          </w:p>
        </w:tc>
        <w:tc>
          <w:tcPr>
            <w:tcW w:w="1369" w:type="dxa"/>
            <w:noWrap w:val="0"/>
            <w:vAlign w:val="center"/>
          </w:tcPr>
          <w:p w14:paraId="5FD1D3C9">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营业收入(Y)</w:t>
            </w:r>
          </w:p>
        </w:tc>
        <w:tc>
          <w:tcPr>
            <w:tcW w:w="709" w:type="dxa"/>
            <w:noWrap w:val="0"/>
            <w:vAlign w:val="center"/>
          </w:tcPr>
          <w:p w14:paraId="3460F40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3E38F9C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Y≥40000</w:t>
            </w:r>
          </w:p>
        </w:tc>
        <w:tc>
          <w:tcPr>
            <w:tcW w:w="1701" w:type="dxa"/>
            <w:noWrap w:val="0"/>
            <w:vAlign w:val="center"/>
          </w:tcPr>
          <w:p w14:paraId="1A0E057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5000≤Y＜40000</w:t>
            </w:r>
          </w:p>
        </w:tc>
        <w:tc>
          <w:tcPr>
            <w:tcW w:w="1426" w:type="dxa"/>
            <w:noWrap w:val="0"/>
            <w:vAlign w:val="center"/>
          </w:tcPr>
          <w:p w14:paraId="697384A7">
            <w:pPr>
              <w:widowControl/>
              <w:ind w:left="0" w:leftChars="-1" w:hanging="1"/>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1000≤Y＜5000</w:t>
            </w:r>
          </w:p>
        </w:tc>
        <w:tc>
          <w:tcPr>
            <w:tcW w:w="992" w:type="dxa"/>
            <w:noWrap w:val="0"/>
            <w:vAlign w:val="center"/>
          </w:tcPr>
          <w:p w14:paraId="5521F7E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Y＜1000</w:t>
            </w:r>
          </w:p>
        </w:tc>
      </w:tr>
      <w:tr w14:paraId="5C57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2113" w:type="dxa"/>
            <w:vMerge w:val="restart"/>
            <w:noWrap w:val="0"/>
            <w:vAlign w:val="center"/>
          </w:tcPr>
          <w:p w14:paraId="57A1D7B5">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零售业</w:t>
            </w:r>
          </w:p>
        </w:tc>
        <w:tc>
          <w:tcPr>
            <w:tcW w:w="1369" w:type="dxa"/>
            <w:noWrap w:val="0"/>
            <w:vAlign w:val="center"/>
          </w:tcPr>
          <w:p w14:paraId="5417619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从业人员(X)</w:t>
            </w:r>
          </w:p>
        </w:tc>
        <w:tc>
          <w:tcPr>
            <w:tcW w:w="709" w:type="dxa"/>
            <w:noWrap w:val="0"/>
            <w:vAlign w:val="center"/>
          </w:tcPr>
          <w:p w14:paraId="2BC1940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w:t>
            </w:r>
          </w:p>
        </w:tc>
        <w:tc>
          <w:tcPr>
            <w:tcW w:w="1125" w:type="dxa"/>
            <w:noWrap w:val="0"/>
            <w:vAlign w:val="center"/>
          </w:tcPr>
          <w:p w14:paraId="589FD04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X≥300</w:t>
            </w:r>
          </w:p>
        </w:tc>
        <w:tc>
          <w:tcPr>
            <w:tcW w:w="1701" w:type="dxa"/>
            <w:noWrap w:val="0"/>
            <w:vAlign w:val="center"/>
          </w:tcPr>
          <w:p w14:paraId="091884F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50≤X＜300</w:t>
            </w:r>
          </w:p>
        </w:tc>
        <w:tc>
          <w:tcPr>
            <w:tcW w:w="1426" w:type="dxa"/>
            <w:noWrap w:val="0"/>
            <w:vAlign w:val="center"/>
          </w:tcPr>
          <w:p w14:paraId="6E682A6D">
            <w:pPr>
              <w:widowControl/>
              <w:ind w:left="0" w:leftChars="-1" w:hanging="1"/>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10≤X＜50</w:t>
            </w:r>
          </w:p>
        </w:tc>
        <w:tc>
          <w:tcPr>
            <w:tcW w:w="992" w:type="dxa"/>
            <w:noWrap w:val="0"/>
            <w:vAlign w:val="center"/>
          </w:tcPr>
          <w:p w14:paraId="5CB0090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X＜10</w:t>
            </w:r>
          </w:p>
        </w:tc>
      </w:tr>
      <w:tr w14:paraId="7C3A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jc w:val="center"/>
        </w:trPr>
        <w:tc>
          <w:tcPr>
            <w:tcW w:w="2113" w:type="dxa"/>
            <w:vMerge w:val="continue"/>
            <w:noWrap w:val="0"/>
            <w:vAlign w:val="center"/>
          </w:tcPr>
          <w:p w14:paraId="65E97CDB">
            <w:pPr>
              <w:widowControl/>
              <w:jc w:val="center"/>
              <w:rPr>
                <w:rFonts w:hint="eastAsia" w:ascii="宋体" w:hAnsi="宋体" w:eastAsia="宋体" w:cs="宋体"/>
                <w:color w:val="000000"/>
                <w:kern w:val="0"/>
                <w:sz w:val="21"/>
                <w:szCs w:val="21"/>
              </w:rPr>
            </w:pPr>
          </w:p>
        </w:tc>
        <w:tc>
          <w:tcPr>
            <w:tcW w:w="1369" w:type="dxa"/>
            <w:noWrap w:val="0"/>
            <w:vAlign w:val="center"/>
          </w:tcPr>
          <w:p w14:paraId="66B0C7A5">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营业收入(Y)</w:t>
            </w:r>
          </w:p>
        </w:tc>
        <w:tc>
          <w:tcPr>
            <w:tcW w:w="709" w:type="dxa"/>
            <w:noWrap w:val="0"/>
            <w:vAlign w:val="center"/>
          </w:tcPr>
          <w:p w14:paraId="2046660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55516D5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Y≥20000</w:t>
            </w:r>
          </w:p>
        </w:tc>
        <w:tc>
          <w:tcPr>
            <w:tcW w:w="1701" w:type="dxa"/>
            <w:noWrap w:val="0"/>
            <w:vAlign w:val="center"/>
          </w:tcPr>
          <w:p w14:paraId="475391B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500≤Y＜20000</w:t>
            </w:r>
          </w:p>
        </w:tc>
        <w:tc>
          <w:tcPr>
            <w:tcW w:w="1426" w:type="dxa"/>
            <w:noWrap w:val="0"/>
            <w:vAlign w:val="center"/>
          </w:tcPr>
          <w:p w14:paraId="26255A7A">
            <w:pPr>
              <w:widowControl/>
              <w:ind w:left="0" w:leftChars="-1" w:hanging="1"/>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100≤Y＜500</w:t>
            </w:r>
          </w:p>
        </w:tc>
        <w:tc>
          <w:tcPr>
            <w:tcW w:w="992" w:type="dxa"/>
            <w:noWrap w:val="0"/>
            <w:vAlign w:val="center"/>
          </w:tcPr>
          <w:p w14:paraId="669D00C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Y＜100</w:t>
            </w:r>
          </w:p>
        </w:tc>
      </w:tr>
      <w:tr w14:paraId="4563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2113" w:type="dxa"/>
            <w:vMerge w:val="restart"/>
            <w:noWrap w:val="0"/>
            <w:vAlign w:val="center"/>
          </w:tcPr>
          <w:p w14:paraId="6AF1EC41">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交通运输业 *</w:t>
            </w:r>
          </w:p>
        </w:tc>
        <w:tc>
          <w:tcPr>
            <w:tcW w:w="1369" w:type="dxa"/>
            <w:noWrap w:val="0"/>
            <w:vAlign w:val="center"/>
          </w:tcPr>
          <w:p w14:paraId="096F099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从业人员(X)</w:t>
            </w:r>
          </w:p>
        </w:tc>
        <w:tc>
          <w:tcPr>
            <w:tcW w:w="709" w:type="dxa"/>
            <w:noWrap w:val="0"/>
            <w:vAlign w:val="center"/>
          </w:tcPr>
          <w:p w14:paraId="529111F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w:t>
            </w:r>
          </w:p>
        </w:tc>
        <w:tc>
          <w:tcPr>
            <w:tcW w:w="1125" w:type="dxa"/>
            <w:noWrap w:val="0"/>
            <w:vAlign w:val="center"/>
          </w:tcPr>
          <w:p w14:paraId="6387BC8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X≥1000</w:t>
            </w:r>
          </w:p>
        </w:tc>
        <w:tc>
          <w:tcPr>
            <w:tcW w:w="1701" w:type="dxa"/>
            <w:noWrap w:val="0"/>
            <w:vAlign w:val="center"/>
          </w:tcPr>
          <w:p w14:paraId="33D5EAF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300≤X＜1000</w:t>
            </w:r>
          </w:p>
        </w:tc>
        <w:tc>
          <w:tcPr>
            <w:tcW w:w="1426" w:type="dxa"/>
            <w:noWrap w:val="0"/>
            <w:vAlign w:val="center"/>
          </w:tcPr>
          <w:p w14:paraId="626F410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20≤X＜300</w:t>
            </w:r>
          </w:p>
        </w:tc>
        <w:tc>
          <w:tcPr>
            <w:tcW w:w="992" w:type="dxa"/>
            <w:noWrap w:val="0"/>
            <w:vAlign w:val="center"/>
          </w:tcPr>
          <w:p w14:paraId="774414D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X＜20</w:t>
            </w:r>
          </w:p>
        </w:tc>
      </w:tr>
      <w:tr w14:paraId="5DC8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2113" w:type="dxa"/>
            <w:vMerge w:val="continue"/>
            <w:noWrap w:val="0"/>
            <w:vAlign w:val="center"/>
          </w:tcPr>
          <w:p w14:paraId="4040B346">
            <w:pPr>
              <w:widowControl/>
              <w:jc w:val="center"/>
              <w:rPr>
                <w:rFonts w:hint="eastAsia" w:ascii="宋体" w:hAnsi="宋体" w:eastAsia="宋体" w:cs="宋体"/>
                <w:color w:val="000000"/>
                <w:kern w:val="0"/>
                <w:sz w:val="21"/>
                <w:szCs w:val="21"/>
              </w:rPr>
            </w:pPr>
          </w:p>
        </w:tc>
        <w:tc>
          <w:tcPr>
            <w:tcW w:w="1369" w:type="dxa"/>
            <w:noWrap w:val="0"/>
            <w:vAlign w:val="center"/>
          </w:tcPr>
          <w:p w14:paraId="6D4A5F2E">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营业收入(Y)</w:t>
            </w:r>
          </w:p>
        </w:tc>
        <w:tc>
          <w:tcPr>
            <w:tcW w:w="709" w:type="dxa"/>
            <w:noWrap w:val="0"/>
            <w:vAlign w:val="center"/>
          </w:tcPr>
          <w:p w14:paraId="593500E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57A46B6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Y≥30000</w:t>
            </w:r>
          </w:p>
        </w:tc>
        <w:tc>
          <w:tcPr>
            <w:tcW w:w="1701" w:type="dxa"/>
            <w:noWrap w:val="0"/>
            <w:vAlign w:val="center"/>
          </w:tcPr>
          <w:p w14:paraId="197EA8C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3000≤Y＜30000</w:t>
            </w:r>
          </w:p>
        </w:tc>
        <w:tc>
          <w:tcPr>
            <w:tcW w:w="1426" w:type="dxa"/>
            <w:noWrap w:val="0"/>
            <w:vAlign w:val="center"/>
          </w:tcPr>
          <w:p w14:paraId="3B50B2E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200≤Y＜3000</w:t>
            </w:r>
          </w:p>
        </w:tc>
        <w:tc>
          <w:tcPr>
            <w:tcW w:w="992" w:type="dxa"/>
            <w:noWrap w:val="0"/>
            <w:vAlign w:val="center"/>
          </w:tcPr>
          <w:p w14:paraId="3DA0C41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Y＜200</w:t>
            </w:r>
          </w:p>
        </w:tc>
      </w:tr>
      <w:tr w14:paraId="1905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2113" w:type="dxa"/>
            <w:vMerge w:val="restart"/>
            <w:noWrap w:val="0"/>
            <w:vAlign w:val="center"/>
          </w:tcPr>
          <w:p w14:paraId="7B53673E">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仓储业*</w:t>
            </w:r>
          </w:p>
        </w:tc>
        <w:tc>
          <w:tcPr>
            <w:tcW w:w="1369" w:type="dxa"/>
            <w:noWrap w:val="0"/>
            <w:vAlign w:val="center"/>
          </w:tcPr>
          <w:p w14:paraId="243DC82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从业人员(X)</w:t>
            </w:r>
          </w:p>
        </w:tc>
        <w:tc>
          <w:tcPr>
            <w:tcW w:w="709" w:type="dxa"/>
            <w:noWrap w:val="0"/>
            <w:vAlign w:val="center"/>
          </w:tcPr>
          <w:p w14:paraId="101262D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w:t>
            </w:r>
          </w:p>
        </w:tc>
        <w:tc>
          <w:tcPr>
            <w:tcW w:w="1125" w:type="dxa"/>
            <w:noWrap w:val="0"/>
            <w:vAlign w:val="center"/>
          </w:tcPr>
          <w:p w14:paraId="6BA2CA5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X≥200</w:t>
            </w:r>
          </w:p>
        </w:tc>
        <w:tc>
          <w:tcPr>
            <w:tcW w:w="1701" w:type="dxa"/>
            <w:noWrap w:val="0"/>
            <w:vAlign w:val="center"/>
          </w:tcPr>
          <w:p w14:paraId="6A2B84F0">
            <w:pPr>
              <w:widowControl/>
              <w:ind w:left="24" w:leftChars="-51" w:hanging="120" w:hangingChars="6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100≤X＜200</w:t>
            </w:r>
          </w:p>
        </w:tc>
        <w:tc>
          <w:tcPr>
            <w:tcW w:w="1426" w:type="dxa"/>
            <w:noWrap w:val="0"/>
            <w:vAlign w:val="center"/>
          </w:tcPr>
          <w:p w14:paraId="4DC8EFD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20≤X＜100</w:t>
            </w:r>
          </w:p>
        </w:tc>
        <w:tc>
          <w:tcPr>
            <w:tcW w:w="992" w:type="dxa"/>
            <w:noWrap w:val="0"/>
            <w:vAlign w:val="center"/>
          </w:tcPr>
          <w:p w14:paraId="3130C47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X＜20</w:t>
            </w:r>
          </w:p>
        </w:tc>
      </w:tr>
      <w:tr w14:paraId="6337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2113" w:type="dxa"/>
            <w:vMerge w:val="continue"/>
            <w:noWrap w:val="0"/>
            <w:vAlign w:val="center"/>
          </w:tcPr>
          <w:p w14:paraId="70F3F788">
            <w:pPr>
              <w:widowControl/>
              <w:jc w:val="center"/>
              <w:rPr>
                <w:rFonts w:hint="eastAsia" w:ascii="宋体" w:hAnsi="宋体" w:eastAsia="宋体" w:cs="宋体"/>
                <w:color w:val="000000"/>
                <w:kern w:val="0"/>
                <w:sz w:val="21"/>
                <w:szCs w:val="21"/>
              </w:rPr>
            </w:pPr>
          </w:p>
        </w:tc>
        <w:tc>
          <w:tcPr>
            <w:tcW w:w="1369" w:type="dxa"/>
            <w:noWrap w:val="0"/>
            <w:vAlign w:val="center"/>
          </w:tcPr>
          <w:p w14:paraId="16754239">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营业收入(Y)</w:t>
            </w:r>
          </w:p>
        </w:tc>
        <w:tc>
          <w:tcPr>
            <w:tcW w:w="709" w:type="dxa"/>
            <w:noWrap w:val="0"/>
            <w:vAlign w:val="center"/>
          </w:tcPr>
          <w:p w14:paraId="4C80C64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07D29F0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Y≥30000</w:t>
            </w:r>
          </w:p>
        </w:tc>
        <w:tc>
          <w:tcPr>
            <w:tcW w:w="1701" w:type="dxa"/>
            <w:noWrap w:val="0"/>
            <w:vAlign w:val="center"/>
          </w:tcPr>
          <w:p w14:paraId="555FFE8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1000≤Y＜30000</w:t>
            </w:r>
          </w:p>
        </w:tc>
        <w:tc>
          <w:tcPr>
            <w:tcW w:w="1426" w:type="dxa"/>
            <w:noWrap w:val="0"/>
            <w:vAlign w:val="center"/>
          </w:tcPr>
          <w:p w14:paraId="436079D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100≤Y＜1000</w:t>
            </w:r>
          </w:p>
        </w:tc>
        <w:tc>
          <w:tcPr>
            <w:tcW w:w="992" w:type="dxa"/>
            <w:noWrap w:val="0"/>
            <w:vAlign w:val="center"/>
          </w:tcPr>
          <w:p w14:paraId="4474EDA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Y＜100</w:t>
            </w:r>
          </w:p>
        </w:tc>
      </w:tr>
      <w:tr w14:paraId="3883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2113" w:type="dxa"/>
            <w:vMerge w:val="restart"/>
            <w:noWrap w:val="0"/>
            <w:vAlign w:val="center"/>
          </w:tcPr>
          <w:p w14:paraId="70C293C5">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邮政业</w:t>
            </w:r>
          </w:p>
        </w:tc>
        <w:tc>
          <w:tcPr>
            <w:tcW w:w="1369" w:type="dxa"/>
            <w:noWrap w:val="0"/>
            <w:vAlign w:val="center"/>
          </w:tcPr>
          <w:p w14:paraId="480B3B2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从业人员(X)</w:t>
            </w:r>
          </w:p>
        </w:tc>
        <w:tc>
          <w:tcPr>
            <w:tcW w:w="709" w:type="dxa"/>
            <w:noWrap w:val="0"/>
            <w:vAlign w:val="center"/>
          </w:tcPr>
          <w:p w14:paraId="4CB7351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w:t>
            </w:r>
          </w:p>
        </w:tc>
        <w:tc>
          <w:tcPr>
            <w:tcW w:w="1125" w:type="dxa"/>
            <w:noWrap w:val="0"/>
            <w:vAlign w:val="center"/>
          </w:tcPr>
          <w:p w14:paraId="2A7A205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X≥1000</w:t>
            </w:r>
          </w:p>
        </w:tc>
        <w:tc>
          <w:tcPr>
            <w:tcW w:w="1701" w:type="dxa"/>
            <w:noWrap w:val="0"/>
            <w:vAlign w:val="center"/>
          </w:tcPr>
          <w:p w14:paraId="218B79E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300≤X＜1000</w:t>
            </w:r>
          </w:p>
        </w:tc>
        <w:tc>
          <w:tcPr>
            <w:tcW w:w="1426" w:type="dxa"/>
            <w:noWrap w:val="0"/>
            <w:vAlign w:val="center"/>
          </w:tcPr>
          <w:p w14:paraId="3AE3439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20≤X＜300</w:t>
            </w:r>
          </w:p>
        </w:tc>
        <w:tc>
          <w:tcPr>
            <w:tcW w:w="992" w:type="dxa"/>
            <w:noWrap w:val="0"/>
            <w:vAlign w:val="center"/>
          </w:tcPr>
          <w:p w14:paraId="0ABEE5C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X＜20</w:t>
            </w:r>
          </w:p>
        </w:tc>
      </w:tr>
      <w:tr w14:paraId="2702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jc w:val="center"/>
        </w:trPr>
        <w:tc>
          <w:tcPr>
            <w:tcW w:w="2113" w:type="dxa"/>
            <w:vMerge w:val="continue"/>
            <w:noWrap w:val="0"/>
            <w:vAlign w:val="center"/>
          </w:tcPr>
          <w:p w14:paraId="778E7870">
            <w:pPr>
              <w:widowControl/>
              <w:jc w:val="center"/>
              <w:rPr>
                <w:rFonts w:hint="eastAsia" w:ascii="宋体" w:hAnsi="宋体" w:eastAsia="宋体" w:cs="宋体"/>
                <w:color w:val="000000"/>
                <w:kern w:val="0"/>
                <w:sz w:val="21"/>
                <w:szCs w:val="21"/>
              </w:rPr>
            </w:pPr>
          </w:p>
        </w:tc>
        <w:tc>
          <w:tcPr>
            <w:tcW w:w="1369" w:type="dxa"/>
            <w:noWrap w:val="0"/>
            <w:vAlign w:val="center"/>
          </w:tcPr>
          <w:p w14:paraId="7A91B5EC">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营业收入(Y)</w:t>
            </w:r>
          </w:p>
        </w:tc>
        <w:tc>
          <w:tcPr>
            <w:tcW w:w="709" w:type="dxa"/>
            <w:noWrap w:val="0"/>
            <w:vAlign w:val="center"/>
          </w:tcPr>
          <w:p w14:paraId="285029A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4328046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Y≥30000</w:t>
            </w:r>
          </w:p>
        </w:tc>
        <w:tc>
          <w:tcPr>
            <w:tcW w:w="1701" w:type="dxa"/>
            <w:noWrap w:val="0"/>
            <w:vAlign w:val="center"/>
          </w:tcPr>
          <w:p w14:paraId="75551B0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2000≤Y＜30000</w:t>
            </w:r>
          </w:p>
        </w:tc>
        <w:tc>
          <w:tcPr>
            <w:tcW w:w="1426" w:type="dxa"/>
            <w:noWrap w:val="0"/>
            <w:vAlign w:val="center"/>
          </w:tcPr>
          <w:p w14:paraId="7B94647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100≤Y＜2000</w:t>
            </w:r>
          </w:p>
        </w:tc>
        <w:tc>
          <w:tcPr>
            <w:tcW w:w="992" w:type="dxa"/>
            <w:noWrap w:val="0"/>
            <w:vAlign w:val="center"/>
          </w:tcPr>
          <w:p w14:paraId="3F4BF44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Y＜100</w:t>
            </w:r>
          </w:p>
        </w:tc>
      </w:tr>
      <w:tr w14:paraId="7DF9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jc w:val="center"/>
        </w:trPr>
        <w:tc>
          <w:tcPr>
            <w:tcW w:w="2113" w:type="dxa"/>
            <w:vMerge w:val="restart"/>
            <w:noWrap w:val="0"/>
            <w:vAlign w:val="center"/>
          </w:tcPr>
          <w:p w14:paraId="3BF6302A">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住宿业</w:t>
            </w:r>
          </w:p>
        </w:tc>
        <w:tc>
          <w:tcPr>
            <w:tcW w:w="1369" w:type="dxa"/>
            <w:noWrap w:val="0"/>
            <w:vAlign w:val="center"/>
          </w:tcPr>
          <w:p w14:paraId="6728BB1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从业人员(X)</w:t>
            </w:r>
          </w:p>
        </w:tc>
        <w:tc>
          <w:tcPr>
            <w:tcW w:w="709" w:type="dxa"/>
            <w:noWrap w:val="0"/>
            <w:vAlign w:val="center"/>
          </w:tcPr>
          <w:p w14:paraId="385D8E1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w:t>
            </w:r>
          </w:p>
        </w:tc>
        <w:tc>
          <w:tcPr>
            <w:tcW w:w="1125" w:type="dxa"/>
            <w:noWrap w:val="0"/>
            <w:vAlign w:val="center"/>
          </w:tcPr>
          <w:p w14:paraId="66034D1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X≥300</w:t>
            </w:r>
          </w:p>
        </w:tc>
        <w:tc>
          <w:tcPr>
            <w:tcW w:w="1701" w:type="dxa"/>
            <w:noWrap w:val="0"/>
            <w:vAlign w:val="center"/>
          </w:tcPr>
          <w:p w14:paraId="09001234">
            <w:pPr>
              <w:widowControl/>
              <w:ind w:left="24" w:leftChars="-51" w:hanging="120" w:hangingChars="6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100≤X＜300</w:t>
            </w:r>
          </w:p>
        </w:tc>
        <w:tc>
          <w:tcPr>
            <w:tcW w:w="1426" w:type="dxa"/>
            <w:noWrap w:val="0"/>
            <w:vAlign w:val="center"/>
          </w:tcPr>
          <w:p w14:paraId="007F5A9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10≤X＜100</w:t>
            </w:r>
          </w:p>
        </w:tc>
        <w:tc>
          <w:tcPr>
            <w:tcW w:w="992" w:type="dxa"/>
            <w:noWrap w:val="0"/>
            <w:vAlign w:val="center"/>
          </w:tcPr>
          <w:p w14:paraId="17453BD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X＜10</w:t>
            </w:r>
          </w:p>
        </w:tc>
      </w:tr>
      <w:tr w14:paraId="4677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2113" w:type="dxa"/>
            <w:vMerge w:val="continue"/>
            <w:noWrap w:val="0"/>
            <w:vAlign w:val="center"/>
          </w:tcPr>
          <w:p w14:paraId="702ADC7A">
            <w:pPr>
              <w:widowControl/>
              <w:jc w:val="center"/>
              <w:rPr>
                <w:rFonts w:hint="eastAsia" w:ascii="宋体" w:hAnsi="宋体" w:eastAsia="宋体" w:cs="宋体"/>
                <w:color w:val="000000"/>
                <w:kern w:val="0"/>
                <w:sz w:val="21"/>
                <w:szCs w:val="21"/>
              </w:rPr>
            </w:pPr>
          </w:p>
        </w:tc>
        <w:tc>
          <w:tcPr>
            <w:tcW w:w="1369" w:type="dxa"/>
            <w:noWrap w:val="0"/>
            <w:vAlign w:val="center"/>
          </w:tcPr>
          <w:p w14:paraId="450D287A">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营业收入(Y)</w:t>
            </w:r>
          </w:p>
        </w:tc>
        <w:tc>
          <w:tcPr>
            <w:tcW w:w="709" w:type="dxa"/>
            <w:noWrap w:val="0"/>
            <w:vAlign w:val="center"/>
          </w:tcPr>
          <w:p w14:paraId="6B5DA8B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7C6755B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Y≥10000</w:t>
            </w:r>
          </w:p>
        </w:tc>
        <w:tc>
          <w:tcPr>
            <w:tcW w:w="1701" w:type="dxa"/>
            <w:noWrap w:val="0"/>
            <w:vAlign w:val="center"/>
          </w:tcPr>
          <w:p w14:paraId="514764B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2000≤Y＜10000</w:t>
            </w:r>
          </w:p>
        </w:tc>
        <w:tc>
          <w:tcPr>
            <w:tcW w:w="1426" w:type="dxa"/>
            <w:noWrap w:val="0"/>
            <w:vAlign w:val="center"/>
          </w:tcPr>
          <w:p w14:paraId="0162FB6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100≤Y＜2000</w:t>
            </w:r>
          </w:p>
        </w:tc>
        <w:tc>
          <w:tcPr>
            <w:tcW w:w="992" w:type="dxa"/>
            <w:noWrap w:val="0"/>
            <w:vAlign w:val="center"/>
          </w:tcPr>
          <w:p w14:paraId="6BD139A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Y＜100</w:t>
            </w:r>
          </w:p>
        </w:tc>
      </w:tr>
      <w:tr w14:paraId="71A1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2113" w:type="dxa"/>
            <w:vMerge w:val="restart"/>
            <w:noWrap w:val="0"/>
            <w:vAlign w:val="center"/>
          </w:tcPr>
          <w:p w14:paraId="1C6C16F3">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餐饮业</w:t>
            </w:r>
          </w:p>
        </w:tc>
        <w:tc>
          <w:tcPr>
            <w:tcW w:w="1369" w:type="dxa"/>
            <w:noWrap w:val="0"/>
            <w:vAlign w:val="center"/>
          </w:tcPr>
          <w:p w14:paraId="7F0C1B1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从业人员(X)</w:t>
            </w:r>
          </w:p>
        </w:tc>
        <w:tc>
          <w:tcPr>
            <w:tcW w:w="709" w:type="dxa"/>
            <w:noWrap w:val="0"/>
            <w:vAlign w:val="center"/>
          </w:tcPr>
          <w:p w14:paraId="668BC62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w:t>
            </w:r>
          </w:p>
        </w:tc>
        <w:tc>
          <w:tcPr>
            <w:tcW w:w="1125" w:type="dxa"/>
            <w:noWrap w:val="0"/>
            <w:vAlign w:val="center"/>
          </w:tcPr>
          <w:p w14:paraId="5FAA073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X≥300</w:t>
            </w:r>
          </w:p>
        </w:tc>
        <w:tc>
          <w:tcPr>
            <w:tcW w:w="1701" w:type="dxa"/>
            <w:noWrap w:val="0"/>
            <w:vAlign w:val="center"/>
          </w:tcPr>
          <w:p w14:paraId="71F214F7">
            <w:pPr>
              <w:widowControl/>
              <w:ind w:left="24" w:leftChars="-51" w:hanging="120" w:hangingChars="6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100≤X＜300</w:t>
            </w:r>
          </w:p>
        </w:tc>
        <w:tc>
          <w:tcPr>
            <w:tcW w:w="1426" w:type="dxa"/>
            <w:noWrap w:val="0"/>
            <w:vAlign w:val="center"/>
          </w:tcPr>
          <w:p w14:paraId="3F99B73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10≤X＜100</w:t>
            </w:r>
          </w:p>
        </w:tc>
        <w:tc>
          <w:tcPr>
            <w:tcW w:w="992" w:type="dxa"/>
            <w:noWrap w:val="0"/>
            <w:vAlign w:val="center"/>
          </w:tcPr>
          <w:p w14:paraId="3ECC079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X＜10</w:t>
            </w:r>
          </w:p>
        </w:tc>
      </w:tr>
      <w:tr w14:paraId="1B93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2113" w:type="dxa"/>
            <w:vMerge w:val="continue"/>
            <w:noWrap w:val="0"/>
            <w:vAlign w:val="center"/>
          </w:tcPr>
          <w:p w14:paraId="28D7184B">
            <w:pPr>
              <w:widowControl/>
              <w:jc w:val="center"/>
              <w:rPr>
                <w:rFonts w:hint="eastAsia" w:ascii="宋体" w:hAnsi="宋体" w:eastAsia="宋体" w:cs="宋体"/>
                <w:color w:val="000000"/>
                <w:kern w:val="0"/>
                <w:sz w:val="21"/>
                <w:szCs w:val="21"/>
              </w:rPr>
            </w:pPr>
          </w:p>
        </w:tc>
        <w:tc>
          <w:tcPr>
            <w:tcW w:w="1369" w:type="dxa"/>
            <w:noWrap w:val="0"/>
            <w:vAlign w:val="center"/>
          </w:tcPr>
          <w:p w14:paraId="7DA59833">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营业收入(Y)</w:t>
            </w:r>
          </w:p>
        </w:tc>
        <w:tc>
          <w:tcPr>
            <w:tcW w:w="709" w:type="dxa"/>
            <w:noWrap w:val="0"/>
            <w:vAlign w:val="center"/>
          </w:tcPr>
          <w:p w14:paraId="76F11C3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77E6811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Y≥10000</w:t>
            </w:r>
          </w:p>
        </w:tc>
        <w:tc>
          <w:tcPr>
            <w:tcW w:w="1701" w:type="dxa"/>
            <w:noWrap w:val="0"/>
            <w:vAlign w:val="center"/>
          </w:tcPr>
          <w:p w14:paraId="5954A19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2000≤Y＜10000</w:t>
            </w:r>
          </w:p>
        </w:tc>
        <w:tc>
          <w:tcPr>
            <w:tcW w:w="1426" w:type="dxa"/>
            <w:noWrap w:val="0"/>
            <w:vAlign w:val="center"/>
          </w:tcPr>
          <w:p w14:paraId="29CC3EF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100≤Y＜2000</w:t>
            </w:r>
          </w:p>
        </w:tc>
        <w:tc>
          <w:tcPr>
            <w:tcW w:w="992" w:type="dxa"/>
            <w:noWrap w:val="0"/>
            <w:vAlign w:val="center"/>
          </w:tcPr>
          <w:p w14:paraId="4921B12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Y＜100</w:t>
            </w:r>
          </w:p>
        </w:tc>
      </w:tr>
      <w:tr w14:paraId="4776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2113" w:type="dxa"/>
            <w:vMerge w:val="restart"/>
            <w:noWrap w:val="0"/>
            <w:vAlign w:val="center"/>
          </w:tcPr>
          <w:p w14:paraId="44152D6B">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信息传输业 *</w:t>
            </w:r>
          </w:p>
        </w:tc>
        <w:tc>
          <w:tcPr>
            <w:tcW w:w="1369" w:type="dxa"/>
            <w:noWrap w:val="0"/>
            <w:vAlign w:val="center"/>
          </w:tcPr>
          <w:p w14:paraId="5CB0A04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从业人员(X)</w:t>
            </w:r>
          </w:p>
        </w:tc>
        <w:tc>
          <w:tcPr>
            <w:tcW w:w="709" w:type="dxa"/>
            <w:noWrap w:val="0"/>
            <w:vAlign w:val="center"/>
          </w:tcPr>
          <w:p w14:paraId="015C4E7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w:t>
            </w:r>
          </w:p>
        </w:tc>
        <w:tc>
          <w:tcPr>
            <w:tcW w:w="1125" w:type="dxa"/>
            <w:noWrap w:val="0"/>
            <w:vAlign w:val="center"/>
          </w:tcPr>
          <w:p w14:paraId="132887C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X≥2000</w:t>
            </w:r>
          </w:p>
        </w:tc>
        <w:tc>
          <w:tcPr>
            <w:tcW w:w="1701" w:type="dxa"/>
            <w:noWrap w:val="0"/>
            <w:vAlign w:val="center"/>
          </w:tcPr>
          <w:p w14:paraId="7D562B0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100≤X＜2000</w:t>
            </w:r>
          </w:p>
        </w:tc>
        <w:tc>
          <w:tcPr>
            <w:tcW w:w="1426" w:type="dxa"/>
            <w:noWrap w:val="0"/>
            <w:vAlign w:val="center"/>
          </w:tcPr>
          <w:p w14:paraId="0818937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10≤X＜100</w:t>
            </w:r>
          </w:p>
        </w:tc>
        <w:tc>
          <w:tcPr>
            <w:tcW w:w="992" w:type="dxa"/>
            <w:noWrap w:val="0"/>
            <w:vAlign w:val="center"/>
          </w:tcPr>
          <w:p w14:paraId="721305C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X＜10</w:t>
            </w:r>
          </w:p>
        </w:tc>
      </w:tr>
      <w:tr w14:paraId="13BA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exact"/>
          <w:jc w:val="center"/>
        </w:trPr>
        <w:tc>
          <w:tcPr>
            <w:tcW w:w="2113" w:type="dxa"/>
            <w:vMerge w:val="continue"/>
            <w:noWrap w:val="0"/>
            <w:vAlign w:val="center"/>
          </w:tcPr>
          <w:p w14:paraId="3F567782">
            <w:pPr>
              <w:widowControl/>
              <w:jc w:val="center"/>
              <w:rPr>
                <w:rFonts w:hint="eastAsia" w:ascii="宋体" w:hAnsi="宋体" w:eastAsia="宋体" w:cs="宋体"/>
                <w:color w:val="000000"/>
                <w:kern w:val="0"/>
                <w:sz w:val="21"/>
                <w:szCs w:val="21"/>
              </w:rPr>
            </w:pPr>
          </w:p>
        </w:tc>
        <w:tc>
          <w:tcPr>
            <w:tcW w:w="1369" w:type="dxa"/>
            <w:noWrap w:val="0"/>
            <w:vAlign w:val="center"/>
          </w:tcPr>
          <w:p w14:paraId="06E8DE73">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营业收入(Y)</w:t>
            </w:r>
          </w:p>
        </w:tc>
        <w:tc>
          <w:tcPr>
            <w:tcW w:w="709" w:type="dxa"/>
            <w:noWrap w:val="0"/>
            <w:vAlign w:val="center"/>
          </w:tcPr>
          <w:p w14:paraId="3EB5CCC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75D8467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Y≥100000</w:t>
            </w:r>
          </w:p>
        </w:tc>
        <w:tc>
          <w:tcPr>
            <w:tcW w:w="1701" w:type="dxa"/>
            <w:noWrap w:val="0"/>
            <w:vAlign w:val="center"/>
          </w:tcPr>
          <w:p w14:paraId="663698D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1000≤Y＜100000</w:t>
            </w:r>
          </w:p>
        </w:tc>
        <w:tc>
          <w:tcPr>
            <w:tcW w:w="1426" w:type="dxa"/>
            <w:noWrap w:val="0"/>
            <w:vAlign w:val="center"/>
          </w:tcPr>
          <w:p w14:paraId="1B40A83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100≤Y＜1000</w:t>
            </w:r>
          </w:p>
        </w:tc>
        <w:tc>
          <w:tcPr>
            <w:tcW w:w="992" w:type="dxa"/>
            <w:noWrap w:val="0"/>
            <w:vAlign w:val="center"/>
          </w:tcPr>
          <w:p w14:paraId="38A159B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Y＜100</w:t>
            </w:r>
          </w:p>
        </w:tc>
      </w:tr>
      <w:tr w14:paraId="72E5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2113" w:type="dxa"/>
            <w:vMerge w:val="restart"/>
            <w:noWrap w:val="0"/>
            <w:vAlign w:val="center"/>
          </w:tcPr>
          <w:p w14:paraId="4F5B93B3">
            <w:pPr>
              <w:widowControl/>
              <w:spacing w:line="240" w:lineRule="exact"/>
              <w:jc w:val="center"/>
              <w:rPr>
                <w:rFonts w:hint="eastAsia" w:ascii="宋体" w:hAnsi="宋体" w:eastAsia="宋体" w:cs="宋体"/>
                <w:color w:val="000000"/>
                <w:spacing w:val="-12"/>
                <w:kern w:val="0"/>
                <w:sz w:val="21"/>
                <w:szCs w:val="21"/>
              </w:rPr>
            </w:pPr>
            <w:r>
              <w:rPr>
                <w:rFonts w:hint="eastAsia" w:ascii="宋体" w:hAnsi="宋体" w:eastAsia="宋体" w:cs="宋体"/>
                <w:color w:val="000000"/>
                <w:spacing w:val="-12"/>
                <w:kern w:val="0"/>
                <w:sz w:val="21"/>
                <w:szCs w:val="21"/>
              </w:rPr>
              <w:t>软件和信息技术服</w:t>
            </w:r>
            <w:r>
              <w:rPr>
                <w:rFonts w:hint="eastAsia" w:ascii="宋体" w:hAnsi="宋体" w:eastAsia="宋体" w:cs="宋体"/>
                <w:color w:val="000000"/>
                <w:kern w:val="0"/>
                <w:sz w:val="21"/>
                <w:szCs w:val="21"/>
              </w:rPr>
              <w:t>务业</w:t>
            </w:r>
          </w:p>
        </w:tc>
        <w:tc>
          <w:tcPr>
            <w:tcW w:w="1369" w:type="dxa"/>
            <w:noWrap w:val="0"/>
            <w:vAlign w:val="center"/>
          </w:tcPr>
          <w:p w14:paraId="75FD878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从业人员(X)</w:t>
            </w:r>
          </w:p>
        </w:tc>
        <w:tc>
          <w:tcPr>
            <w:tcW w:w="709" w:type="dxa"/>
            <w:noWrap w:val="0"/>
            <w:vAlign w:val="center"/>
          </w:tcPr>
          <w:p w14:paraId="3BD6952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w:t>
            </w:r>
          </w:p>
        </w:tc>
        <w:tc>
          <w:tcPr>
            <w:tcW w:w="1125" w:type="dxa"/>
            <w:noWrap w:val="0"/>
            <w:vAlign w:val="center"/>
          </w:tcPr>
          <w:p w14:paraId="64D48E1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X≥300</w:t>
            </w:r>
          </w:p>
        </w:tc>
        <w:tc>
          <w:tcPr>
            <w:tcW w:w="1701" w:type="dxa"/>
            <w:noWrap w:val="0"/>
            <w:vAlign w:val="center"/>
          </w:tcPr>
          <w:p w14:paraId="54100D65">
            <w:pPr>
              <w:widowControl/>
              <w:ind w:left="24" w:leftChars="-51" w:hanging="120" w:hangingChars="6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100≤X＜300</w:t>
            </w:r>
          </w:p>
        </w:tc>
        <w:tc>
          <w:tcPr>
            <w:tcW w:w="1426" w:type="dxa"/>
            <w:noWrap w:val="0"/>
            <w:vAlign w:val="center"/>
          </w:tcPr>
          <w:p w14:paraId="2E8BD5F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10≤X＜100</w:t>
            </w:r>
          </w:p>
        </w:tc>
        <w:tc>
          <w:tcPr>
            <w:tcW w:w="992" w:type="dxa"/>
            <w:noWrap w:val="0"/>
            <w:vAlign w:val="center"/>
          </w:tcPr>
          <w:p w14:paraId="76EE2F3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X＜10</w:t>
            </w:r>
          </w:p>
        </w:tc>
      </w:tr>
      <w:tr w14:paraId="3F78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2113" w:type="dxa"/>
            <w:vMerge w:val="continue"/>
            <w:noWrap w:val="0"/>
            <w:vAlign w:val="center"/>
          </w:tcPr>
          <w:p w14:paraId="3FAF048B">
            <w:pPr>
              <w:widowControl/>
              <w:jc w:val="center"/>
              <w:rPr>
                <w:rFonts w:hint="eastAsia" w:ascii="宋体" w:hAnsi="宋体" w:eastAsia="宋体" w:cs="宋体"/>
                <w:color w:val="000000"/>
                <w:spacing w:val="-12"/>
                <w:kern w:val="0"/>
                <w:sz w:val="21"/>
                <w:szCs w:val="21"/>
              </w:rPr>
            </w:pPr>
          </w:p>
        </w:tc>
        <w:tc>
          <w:tcPr>
            <w:tcW w:w="1369" w:type="dxa"/>
            <w:noWrap w:val="0"/>
            <w:vAlign w:val="center"/>
          </w:tcPr>
          <w:p w14:paraId="76ECD5B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营业收入(Y)</w:t>
            </w:r>
          </w:p>
        </w:tc>
        <w:tc>
          <w:tcPr>
            <w:tcW w:w="709" w:type="dxa"/>
            <w:noWrap w:val="0"/>
            <w:vAlign w:val="center"/>
          </w:tcPr>
          <w:p w14:paraId="383BE39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21B77B1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Y≥10000</w:t>
            </w:r>
          </w:p>
        </w:tc>
        <w:tc>
          <w:tcPr>
            <w:tcW w:w="1701" w:type="dxa"/>
            <w:noWrap w:val="0"/>
            <w:vAlign w:val="center"/>
          </w:tcPr>
          <w:p w14:paraId="58747A0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1000≤Y＜10000</w:t>
            </w:r>
          </w:p>
        </w:tc>
        <w:tc>
          <w:tcPr>
            <w:tcW w:w="1426" w:type="dxa"/>
            <w:noWrap w:val="0"/>
            <w:vAlign w:val="center"/>
          </w:tcPr>
          <w:p w14:paraId="051A9AF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50≤Y＜1000</w:t>
            </w:r>
          </w:p>
        </w:tc>
        <w:tc>
          <w:tcPr>
            <w:tcW w:w="992" w:type="dxa"/>
            <w:noWrap w:val="0"/>
            <w:vAlign w:val="center"/>
          </w:tcPr>
          <w:p w14:paraId="73182E8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Y＜50</w:t>
            </w:r>
          </w:p>
        </w:tc>
      </w:tr>
      <w:tr w14:paraId="3A46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2113" w:type="dxa"/>
            <w:vMerge w:val="restart"/>
            <w:noWrap w:val="0"/>
            <w:vAlign w:val="center"/>
          </w:tcPr>
          <w:p w14:paraId="739E1091">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房地产开发经营</w:t>
            </w:r>
          </w:p>
        </w:tc>
        <w:tc>
          <w:tcPr>
            <w:tcW w:w="1369" w:type="dxa"/>
            <w:noWrap w:val="0"/>
            <w:vAlign w:val="center"/>
          </w:tcPr>
          <w:p w14:paraId="3D2B846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营业收入(Y)</w:t>
            </w:r>
          </w:p>
        </w:tc>
        <w:tc>
          <w:tcPr>
            <w:tcW w:w="709" w:type="dxa"/>
            <w:noWrap w:val="0"/>
            <w:vAlign w:val="center"/>
          </w:tcPr>
          <w:p w14:paraId="3DF3172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7FE126E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Y≥200000</w:t>
            </w:r>
          </w:p>
        </w:tc>
        <w:tc>
          <w:tcPr>
            <w:tcW w:w="1701" w:type="dxa"/>
            <w:noWrap w:val="0"/>
            <w:vAlign w:val="center"/>
          </w:tcPr>
          <w:p w14:paraId="6F743BB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1000≤Y＜200000</w:t>
            </w:r>
          </w:p>
        </w:tc>
        <w:tc>
          <w:tcPr>
            <w:tcW w:w="1426" w:type="dxa"/>
            <w:noWrap w:val="0"/>
            <w:vAlign w:val="center"/>
          </w:tcPr>
          <w:p w14:paraId="676044B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100≤Y＜1000</w:t>
            </w:r>
          </w:p>
        </w:tc>
        <w:tc>
          <w:tcPr>
            <w:tcW w:w="992" w:type="dxa"/>
            <w:noWrap w:val="0"/>
            <w:vAlign w:val="center"/>
          </w:tcPr>
          <w:p w14:paraId="3A44E2D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Y＜100</w:t>
            </w:r>
          </w:p>
        </w:tc>
      </w:tr>
      <w:tr w14:paraId="465C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jc w:val="center"/>
        </w:trPr>
        <w:tc>
          <w:tcPr>
            <w:tcW w:w="2113" w:type="dxa"/>
            <w:vMerge w:val="continue"/>
            <w:noWrap w:val="0"/>
            <w:vAlign w:val="center"/>
          </w:tcPr>
          <w:p w14:paraId="7647B05A">
            <w:pPr>
              <w:widowControl/>
              <w:jc w:val="center"/>
              <w:rPr>
                <w:rFonts w:hint="eastAsia" w:ascii="宋体" w:hAnsi="宋体" w:eastAsia="宋体" w:cs="宋体"/>
                <w:color w:val="000000"/>
                <w:kern w:val="0"/>
                <w:sz w:val="21"/>
                <w:szCs w:val="21"/>
              </w:rPr>
            </w:pPr>
          </w:p>
        </w:tc>
        <w:tc>
          <w:tcPr>
            <w:tcW w:w="1369" w:type="dxa"/>
            <w:noWrap w:val="0"/>
            <w:vAlign w:val="center"/>
          </w:tcPr>
          <w:p w14:paraId="0FA358BB">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资产总额(Z)</w:t>
            </w:r>
          </w:p>
        </w:tc>
        <w:tc>
          <w:tcPr>
            <w:tcW w:w="709" w:type="dxa"/>
            <w:noWrap w:val="0"/>
            <w:vAlign w:val="center"/>
          </w:tcPr>
          <w:p w14:paraId="5AA2060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230F2A8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Z≥10000</w:t>
            </w:r>
          </w:p>
        </w:tc>
        <w:tc>
          <w:tcPr>
            <w:tcW w:w="1701" w:type="dxa"/>
            <w:noWrap w:val="0"/>
            <w:vAlign w:val="center"/>
          </w:tcPr>
          <w:p w14:paraId="57E1115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5000≤Z＜10000</w:t>
            </w:r>
          </w:p>
        </w:tc>
        <w:tc>
          <w:tcPr>
            <w:tcW w:w="1426" w:type="dxa"/>
            <w:noWrap w:val="0"/>
            <w:vAlign w:val="center"/>
          </w:tcPr>
          <w:p w14:paraId="15773C2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2000≤Z＜5000</w:t>
            </w:r>
          </w:p>
        </w:tc>
        <w:tc>
          <w:tcPr>
            <w:tcW w:w="992" w:type="dxa"/>
            <w:noWrap w:val="0"/>
            <w:vAlign w:val="center"/>
          </w:tcPr>
          <w:p w14:paraId="278D605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Z＜2000</w:t>
            </w:r>
          </w:p>
        </w:tc>
      </w:tr>
      <w:tr w14:paraId="2DD5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2113" w:type="dxa"/>
            <w:vMerge w:val="restart"/>
            <w:noWrap w:val="0"/>
            <w:vAlign w:val="center"/>
          </w:tcPr>
          <w:p w14:paraId="60EA5E6E">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物业管理</w:t>
            </w:r>
          </w:p>
        </w:tc>
        <w:tc>
          <w:tcPr>
            <w:tcW w:w="1369" w:type="dxa"/>
            <w:noWrap w:val="0"/>
            <w:vAlign w:val="center"/>
          </w:tcPr>
          <w:p w14:paraId="5FB47B4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从业人员(X)</w:t>
            </w:r>
          </w:p>
        </w:tc>
        <w:tc>
          <w:tcPr>
            <w:tcW w:w="709" w:type="dxa"/>
            <w:noWrap w:val="0"/>
            <w:vAlign w:val="center"/>
          </w:tcPr>
          <w:p w14:paraId="33EB35D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w:t>
            </w:r>
          </w:p>
        </w:tc>
        <w:tc>
          <w:tcPr>
            <w:tcW w:w="1125" w:type="dxa"/>
            <w:noWrap w:val="0"/>
            <w:vAlign w:val="center"/>
          </w:tcPr>
          <w:p w14:paraId="5FA4A90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X≥1000</w:t>
            </w:r>
          </w:p>
        </w:tc>
        <w:tc>
          <w:tcPr>
            <w:tcW w:w="1701" w:type="dxa"/>
            <w:noWrap w:val="0"/>
            <w:vAlign w:val="center"/>
          </w:tcPr>
          <w:p w14:paraId="13699C5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300≤X＜1000</w:t>
            </w:r>
          </w:p>
        </w:tc>
        <w:tc>
          <w:tcPr>
            <w:tcW w:w="1426" w:type="dxa"/>
            <w:noWrap w:val="0"/>
            <w:vAlign w:val="center"/>
          </w:tcPr>
          <w:p w14:paraId="348361D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100≤X＜300</w:t>
            </w:r>
          </w:p>
        </w:tc>
        <w:tc>
          <w:tcPr>
            <w:tcW w:w="992" w:type="dxa"/>
            <w:noWrap w:val="0"/>
            <w:vAlign w:val="center"/>
          </w:tcPr>
          <w:p w14:paraId="5CFA763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X＜100</w:t>
            </w:r>
          </w:p>
        </w:tc>
      </w:tr>
      <w:tr w14:paraId="1855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2113" w:type="dxa"/>
            <w:vMerge w:val="continue"/>
            <w:noWrap w:val="0"/>
            <w:vAlign w:val="center"/>
          </w:tcPr>
          <w:p w14:paraId="501B5AFA">
            <w:pPr>
              <w:widowControl/>
              <w:jc w:val="center"/>
              <w:rPr>
                <w:rFonts w:hint="eastAsia" w:ascii="宋体" w:hAnsi="宋体" w:eastAsia="宋体" w:cs="宋体"/>
                <w:color w:val="000000"/>
                <w:kern w:val="0"/>
                <w:sz w:val="21"/>
                <w:szCs w:val="21"/>
              </w:rPr>
            </w:pPr>
          </w:p>
        </w:tc>
        <w:tc>
          <w:tcPr>
            <w:tcW w:w="1369" w:type="dxa"/>
            <w:noWrap w:val="0"/>
            <w:vAlign w:val="center"/>
          </w:tcPr>
          <w:p w14:paraId="7D361619">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营业收入(Y)</w:t>
            </w:r>
          </w:p>
        </w:tc>
        <w:tc>
          <w:tcPr>
            <w:tcW w:w="709" w:type="dxa"/>
            <w:noWrap w:val="0"/>
            <w:vAlign w:val="center"/>
          </w:tcPr>
          <w:p w14:paraId="115191C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4E85CD6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Y≥5000</w:t>
            </w:r>
          </w:p>
        </w:tc>
        <w:tc>
          <w:tcPr>
            <w:tcW w:w="1701" w:type="dxa"/>
            <w:noWrap w:val="0"/>
            <w:vAlign w:val="center"/>
          </w:tcPr>
          <w:p w14:paraId="1323D0F8">
            <w:pPr>
              <w:widowControl/>
              <w:ind w:left="24" w:leftChars="-51" w:hanging="120" w:hangingChars="6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1000≤Y＜5000</w:t>
            </w:r>
          </w:p>
        </w:tc>
        <w:tc>
          <w:tcPr>
            <w:tcW w:w="1426" w:type="dxa"/>
            <w:noWrap w:val="0"/>
            <w:vAlign w:val="center"/>
          </w:tcPr>
          <w:p w14:paraId="032E6E1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500≤Y＜1000</w:t>
            </w:r>
          </w:p>
        </w:tc>
        <w:tc>
          <w:tcPr>
            <w:tcW w:w="992" w:type="dxa"/>
            <w:noWrap w:val="0"/>
            <w:vAlign w:val="center"/>
          </w:tcPr>
          <w:p w14:paraId="5795006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Y＜500</w:t>
            </w:r>
          </w:p>
        </w:tc>
      </w:tr>
      <w:tr w14:paraId="4DE8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13" w:type="dxa"/>
            <w:vMerge w:val="restart"/>
            <w:noWrap w:val="0"/>
            <w:vAlign w:val="center"/>
          </w:tcPr>
          <w:p w14:paraId="26BB8595">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租赁和商务服务业</w:t>
            </w:r>
          </w:p>
        </w:tc>
        <w:tc>
          <w:tcPr>
            <w:tcW w:w="1369" w:type="dxa"/>
            <w:noWrap w:val="0"/>
            <w:vAlign w:val="center"/>
          </w:tcPr>
          <w:p w14:paraId="6480B0E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从业人员(X)</w:t>
            </w:r>
          </w:p>
        </w:tc>
        <w:tc>
          <w:tcPr>
            <w:tcW w:w="709" w:type="dxa"/>
            <w:noWrap w:val="0"/>
            <w:vAlign w:val="center"/>
          </w:tcPr>
          <w:p w14:paraId="3EA4536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w:t>
            </w:r>
          </w:p>
        </w:tc>
        <w:tc>
          <w:tcPr>
            <w:tcW w:w="1125" w:type="dxa"/>
            <w:noWrap w:val="0"/>
            <w:vAlign w:val="center"/>
          </w:tcPr>
          <w:p w14:paraId="65707AD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X≥300</w:t>
            </w:r>
          </w:p>
        </w:tc>
        <w:tc>
          <w:tcPr>
            <w:tcW w:w="1701" w:type="dxa"/>
            <w:noWrap w:val="0"/>
            <w:vAlign w:val="center"/>
          </w:tcPr>
          <w:p w14:paraId="5258C6D2">
            <w:pPr>
              <w:widowControl/>
              <w:ind w:left="24" w:leftChars="-51" w:hanging="120" w:hangingChars="6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100≤X＜300</w:t>
            </w:r>
          </w:p>
        </w:tc>
        <w:tc>
          <w:tcPr>
            <w:tcW w:w="1426" w:type="dxa"/>
            <w:noWrap w:val="0"/>
            <w:vAlign w:val="center"/>
          </w:tcPr>
          <w:p w14:paraId="1BE4E85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10≤X＜100</w:t>
            </w:r>
          </w:p>
        </w:tc>
        <w:tc>
          <w:tcPr>
            <w:tcW w:w="992" w:type="dxa"/>
            <w:noWrap w:val="0"/>
            <w:vAlign w:val="center"/>
          </w:tcPr>
          <w:p w14:paraId="6AC9E7E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X＜10</w:t>
            </w:r>
          </w:p>
        </w:tc>
      </w:tr>
      <w:tr w14:paraId="6A35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jc w:val="center"/>
        </w:trPr>
        <w:tc>
          <w:tcPr>
            <w:tcW w:w="2113" w:type="dxa"/>
            <w:vMerge w:val="continue"/>
            <w:noWrap w:val="0"/>
            <w:vAlign w:val="center"/>
          </w:tcPr>
          <w:p w14:paraId="76A6D414">
            <w:pPr>
              <w:widowControl/>
              <w:jc w:val="center"/>
              <w:rPr>
                <w:rFonts w:hint="eastAsia" w:ascii="宋体" w:hAnsi="宋体" w:eastAsia="宋体" w:cs="宋体"/>
                <w:color w:val="000000"/>
                <w:kern w:val="0"/>
                <w:sz w:val="21"/>
                <w:szCs w:val="21"/>
              </w:rPr>
            </w:pPr>
          </w:p>
        </w:tc>
        <w:tc>
          <w:tcPr>
            <w:tcW w:w="1369" w:type="dxa"/>
            <w:noWrap w:val="0"/>
            <w:vAlign w:val="center"/>
          </w:tcPr>
          <w:p w14:paraId="0B4C928F">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资产总额(Z)</w:t>
            </w:r>
          </w:p>
        </w:tc>
        <w:tc>
          <w:tcPr>
            <w:tcW w:w="709" w:type="dxa"/>
            <w:noWrap w:val="0"/>
            <w:vAlign w:val="center"/>
          </w:tcPr>
          <w:p w14:paraId="6223485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125" w:type="dxa"/>
            <w:noWrap w:val="0"/>
            <w:vAlign w:val="center"/>
          </w:tcPr>
          <w:p w14:paraId="07C7490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Z≥120000</w:t>
            </w:r>
          </w:p>
        </w:tc>
        <w:tc>
          <w:tcPr>
            <w:tcW w:w="1701" w:type="dxa"/>
            <w:noWrap w:val="0"/>
            <w:vAlign w:val="center"/>
          </w:tcPr>
          <w:p w14:paraId="08BCE53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8000≤Z＜120000</w:t>
            </w:r>
          </w:p>
        </w:tc>
        <w:tc>
          <w:tcPr>
            <w:tcW w:w="1426" w:type="dxa"/>
            <w:noWrap w:val="0"/>
            <w:vAlign w:val="center"/>
          </w:tcPr>
          <w:p w14:paraId="3E03D02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100≤Z＜8000</w:t>
            </w:r>
          </w:p>
        </w:tc>
        <w:tc>
          <w:tcPr>
            <w:tcW w:w="992" w:type="dxa"/>
            <w:noWrap w:val="0"/>
            <w:vAlign w:val="center"/>
          </w:tcPr>
          <w:p w14:paraId="59E4323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Z＜100</w:t>
            </w:r>
          </w:p>
        </w:tc>
      </w:tr>
      <w:tr w14:paraId="18AE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2113" w:type="dxa"/>
            <w:noWrap w:val="0"/>
            <w:vAlign w:val="center"/>
          </w:tcPr>
          <w:p w14:paraId="041A0E1F">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其他未列明行业 *</w:t>
            </w:r>
          </w:p>
        </w:tc>
        <w:tc>
          <w:tcPr>
            <w:tcW w:w="1369" w:type="dxa"/>
            <w:noWrap w:val="0"/>
            <w:vAlign w:val="center"/>
          </w:tcPr>
          <w:p w14:paraId="47957C8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从业人员(X)</w:t>
            </w:r>
          </w:p>
        </w:tc>
        <w:tc>
          <w:tcPr>
            <w:tcW w:w="709" w:type="dxa"/>
            <w:noWrap w:val="0"/>
            <w:vAlign w:val="center"/>
          </w:tcPr>
          <w:p w14:paraId="7D7748F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w:t>
            </w:r>
          </w:p>
        </w:tc>
        <w:tc>
          <w:tcPr>
            <w:tcW w:w="1125" w:type="dxa"/>
            <w:noWrap w:val="0"/>
            <w:vAlign w:val="center"/>
          </w:tcPr>
          <w:p w14:paraId="1AAE78D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X≥300</w:t>
            </w:r>
          </w:p>
        </w:tc>
        <w:tc>
          <w:tcPr>
            <w:tcW w:w="1701" w:type="dxa"/>
            <w:noWrap w:val="0"/>
            <w:vAlign w:val="center"/>
          </w:tcPr>
          <w:p w14:paraId="6F15C5D0">
            <w:pPr>
              <w:widowControl/>
              <w:ind w:left="24" w:leftChars="-51" w:hanging="120" w:hangingChars="6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100≤X＜300</w:t>
            </w:r>
          </w:p>
        </w:tc>
        <w:tc>
          <w:tcPr>
            <w:tcW w:w="1426" w:type="dxa"/>
            <w:noWrap w:val="0"/>
            <w:vAlign w:val="center"/>
          </w:tcPr>
          <w:p w14:paraId="3A1B304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10≤X＜100</w:t>
            </w:r>
          </w:p>
        </w:tc>
        <w:tc>
          <w:tcPr>
            <w:tcW w:w="992" w:type="dxa"/>
            <w:noWrap w:val="0"/>
            <w:vAlign w:val="center"/>
          </w:tcPr>
          <w:p w14:paraId="7248E68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X＜10</w:t>
            </w:r>
          </w:p>
        </w:tc>
      </w:tr>
    </w:tbl>
    <w:p w14:paraId="2636FFCC">
      <w:pPr>
        <w:widowControl/>
        <w:spacing w:line="540" w:lineRule="exact"/>
        <w:rPr>
          <w:rFonts w:hint="eastAsia" w:ascii="宋体" w:hAnsi="宋体" w:eastAsia="宋体" w:cs="宋体"/>
          <w:color w:val="000000"/>
          <w:spacing w:val="8"/>
          <w:kern w:val="0"/>
          <w:sz w:val="21"/>
          <w:szCs w:val="21"/>
        </w:rPr>
      </w:pPr>
      <w:r>
        <w:rPr>
          <w:rFonts w:hint="eastAsia" w:ascii="宋体" w:hAnsi="宋体" w:eastAsia="宋体" w:cs="宋体"/>
          <w:color w:val="000000"/>
          <w:spacing w:val="8"/>
          <w:kern w:val="0"/>
          <w:sz w:val="21"/>
          <w:szCs w:val="21"/>
        </w:rPr>
        <w:t>说明：</w:t>
      </w:r>
    </w:p>
    <w:p w14:paraId="70E9BFE3">
      <w:pPr>
        <w:spacing w:line="540" w:lineRule="exact"/>
        <w:ind w:firstLine="430" w:firstLineChars="200"/>
        <w:rPr>
          <w:rFonts w:hint="eastAsia" w:ascii="宋体" w:hAnsi="宋体" w:eastAsia="宋体" w:cs="宋体"/>
          <w:color w:val="000000"/>
          <w:spacing w:val="8"/>
          <w:kern w:val="0"/>
          <w:sz w:val="21"/>
          <w:szCs w:val="21"/>
        </w:rPr>
      </w:pPr>
      <w:r>
        <w:rPr>
          <w:rFonts w:hint="eastAsia" w:ascii="宋体" w:hAnsi="宋体" w:eastAsia="宋体" w:cs="宋体"/>
          <w:color w:val="000000"/>
          <w:spacing w:val="8"/>
          <w:kern w:val="0"/>
          <w:sz w:val="21"/>
          <w:szCs w:val="21"/>
        </w:rPr>
        <w:t>1.大型、中型和小型企业须同时满足所列指标的下限，否则下划一档；微型企业只须满足所列指标中的一项即可。</w:t>
      </w:r>
    </w:p>
    <w:p w14:paraId="4061587B">
      <w:pPr>
        <w:spacing w:line="540" w:lineRule="exact"/>
        <w:ind w:firstLine="430" w:firstLineChars="200"/>
        <w:rPr>
          <w:rFonts w:hint="eastAsia" w:ascii="宋体" w:hAnsi="宋体" w:eastAsia="宋体" w:cs="宋体"/>
          <w:color w:val="000000"/>
          <w:spacing w:val="8"/>
          <w:kern w:val="0"/>
          <w:sz w:val="21"/>
          <w:szCs w:val="21"/>
        </w:rPr>
      </w:pPr>
      <w:r>
        <w:rPr>
          <w:rFonts w:hint="eastAsia" w:ascii="宋体" w:hAnsi="宋体" w:eastAsia="宋体" w:cs="宋体"/>
          <w:color w:val="000000"/>
          <w:spacing w:val="8"/>
          <w:kern w:val="0"/>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678687E">
      <w:pPr>
        <w:spacing w:line="540" w:lineRule="exact"/>
        <w:ind w:firstLine="430" w:firstLineChars="200"/>
        <w:rPr>
          <w:rFonts w:hint="eastAsia" w:ascii="宋体" w:hAnsi="宋体" w:eastAsia="宋体" w:cs="宋体"/>
          <w:color w:val="000000"/>
          <w:spacing w:val="8"/>
          <w:kern w:val="0"/>
          <w:sz w:val="21"/>
          <w:szCs w:val="21"/>
        </w:rPr>
      </w:pPr>
      <w:r>
        <w:rPr>
          <w:rFonts w:hint="eastAsia" w:ascii="宋体" w:hAnsi="宋体" w:eastAsia="宋体" w:cs="宋体"/>
          <w:color w:val="000000"/>
          <w:spacing w:val="8"/>
          <w:kern w:val="0"/>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33750F8">
      <w:pPr>
        <w:rPr>
          <w:rFonts w:hint="eastAsia" w:ascii="宋体" w:hAnsi="宋体" w:eastAsia="宋体" w:cs="宋体"/>
          <w:color w:val="000000"/>
          <w:spacing w:val="8"/>
          <w:kern w:val="0"/>
          <w:sz w:val="21"/>
          <w:szCs w:val="21"/>
        </w:rPr>
      </w:pPr>
      <w:r>
        <w:rPr>
          <w:rFonts w:hint="eastAsia" w:ascii="宋体" w:hAnsi="宋体" w:eastAsia="宋体" w:cs="宋体"/>
          <w:color w:val="000000"/>
          <w:spacing w:val="8"/>
          <w:kern w:val="0"/>
          <w:sz w:val="21"/>
          <w:szCs w:val="21"/>
        </w:rPr>
        <w:br w:type="page"/>
      </w:r>
    </w:p>
    <w:p w14:paraId="7BA11AAC">
      <w:pPr>
        <w:pStyle w:val="5"/>
        <w:rPr>
          <w:rFonts w:hint="eastAsia" w:ascii="宋体" w:hAnsi="宋体" w:eastAsia="宋体" w:cs="宋体"/>
          <w:b/>
          <w:bCs/>
          <w:color w:val="auto"/>
          <w:spacing w:val="6"/>
          <w:highlight w:val="none"/>
        </w:rPr>
      </w:pPr>
      <w:r>
        <w:rPr>
          <w:rFonts w:hint="eastAsia" w:ascii="宋体" w:hAnsi="宋体" w:eastAsia="宋体" w:cs="宋体"/>
          <w:b/>
          <w:bCs/>
          <w:color w:val="auto"/>
          <w:spacing w:val="6"/>
          <w:highlight w:val="none"/>
        </w:rPr>
        <w:t>附件</w:t>
      </w:r>
      <w:r>
        <w:rPr>
          <w:rFonts w:hint="eastAsia" w:ascii="宋体" w:hAnsi="宋体" w:eastAsia="宋体" w:cs="宋体"/>
          <w:b/>
          <w:bCs/>
          <w:color w:val="auto"/>
          <w:spacing w:val="6"/>
          <w:highlight w:val="none"/>
          <w:lang w:val="en-US" w:eastAsia="zh-CN"/>
        </w:rPr>
        <w:t>2</w:t>
      </w:r>
      <w:r>
        <w:rPr>
          <w:rFonts w:hint="eastAsia" w:ascii="宋体" w:hAnsi="宋体" w:eastAsia="宋体" w:cs="宋体"/>
          <w:b/>
          <w:bCs/>
          <w:color w:val="auto"/>
          <w:spacing w:val="6"/>
          <w:highlight w:val="none"/>
        </w:rPr>
        <w:t>：问题澄清通知</w:t>
      </w:r>
      <w:bookmarkEnd w:id="238"/>
      <w:bookmarkEnd w:id="239"/>
      <w:bookmarkEnd w:id="240"/>
      <w:bookmarkEnd w:id="241"/>
      <w:bookmarkEnd w:id="242"/>
      <w:bookmarkEnd w:id="243"/>
      <w:bookmarkEnd w:id="244"/>
      <w:bookmarkEnd w:id="245"/>
      <w:bookmarkEnd w:id="246"/>
    </w:p>
    <w:p w14:paraId="6D25F3DA">
      <w:pPr>
        <w:spacing w:line="440" w:lineRule="exact"/>
        <w:jc w:val="center"/>
        <w:rPr>
          <w:rFonts w:hint="eastAsia" w:ascii="宋体" w:hAnsi="宋体" w:eastAsia="宋体" w:cs="宋体"/>
          <w:color w:val="auto"/>
          <w:spacing w:val="6"/>
          <w:szCs w:val="21"/>
          <w:highlight w:val="none"/>
        </w:rPr>
      </w:pPr>
    </w:p>
    <w:p w14:paraId="4E20F73F">
      <w:pPr>
        <w:spacing w:line="420" w:lineRule="exact"/>
        <w:jc w:val="center"/>
        <w:rPr>
          <w:rFonts w:hint="eastAsia" w:ascii="宋体" w:hAnsi="宋体" w:eastAsia="宋体" w:cs="宋体"/>
          <w:b/>
          <w:bCs w:val="0"/>
          <w:color w:val="auto"/>
          <w:spacing w:val="6"/>
          <w:sz w:val="28"/>
          <w:szCs w:val="28"/>
          <w:highlight w:val="none"/>
        </w:rPr>
      </w:pPr>
      <w:r>
        <w:rPr>
          <w:rFonts w:hint="eastAsia" w:ascii="宋体" w:hAnsi="宋体" w:eastAsia="宋体" w:cs="宋体"/>
          <w:b/>
          <w:bCs w:val="0"/>
          <w:color w:val="auto"/>
          <w:spacing w:val="6"/>
          <w:sz w:val="24"/>
          <w:szCs w:val="24"/>
          <w:highlight w:val="none"/>
        </w:rPr>
        <w:t>问题澄清通知</w:t>
      </w:r>
    </w:p>
    <w:p w14:paraId="7003ED01">
      <w:pPr>
        <w:spacing w:line="420" w:lineRule="exact"/>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编号：</w:t>
      </w:r>
    </w:p>
    <w:p w14:paraId="4FA9AF21">
      <w:pPr>
        <w:spacing w:line="420" w:lineRule="exact"/>
        <w:rPr>
          <w:rFonts w:hint="eastAsia" w:ascii="宋体" w:hAnsi="宋体" w:eastAsia="宋体" w:cs="宋体"/>
          <w:color w:val="auto"/>
          <w:spacing w:val="6"/>
          <w:sz w:val="21"/>
          <w:szCs w:val="21"/>
          <w:highlight w:val="none"/>
        </w:rPr>
      </w:pPr>
    </w:p>
    <w:p w14:paraId="7B294760">
      <w:pPr>
        <w:spacing w:line="420" w:lineRule="exac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（采购人名称）：</w:t>
      </w:r>
    </w:p>
    <w:p w14:paraId="70EE27A5">
      <w:pPr>
        <w:spacing w:line="420" w:lineRule="exact"/>
        <w:rPr>
          <w:rFonts w:hint="eastAsia" w:ascii="宋体" w:hAnsi="宋体" w:eastAsia="宋体" w:cs="宋体"/>
          <w:color w:val="auto"/>
          <w:spacing w:val="6"/>
          <w:sz w:val="21"/>
          <w:szCs w:val="21"/>
          <w:highlight w:val="none"/>
        </w:rPr>
      </w:pPr>
    </w:p>
    <w:p w14:paraId="37AAF4B9">
      <w:pPr>
        <w:spacing w:line="420" w:lineRule="exac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 xml:space="preserve"> （项目名称）招标的评标委员会，对你方的投标文件进行了仔细的审查，现需你方对下列问题以书面形式予以澄清：</w:t>
      </w:r>
    </w:p>
    <w:p w14:paraId="28756FDE">
      <w:pPr>
        <w:spacing w:line="420" w:lineRule="exact"/>
        <w:ind w:firstLine="36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w:t>
      </w:r>
    </w:p>
    <w:p w14:paraId="5DC7E2C7">
      <w:pPr>
        <w:spacing w:line="420" w:lineRule="exact"/>
        <w:ind w:firstLine="36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w:t>
      </w:r>
    </w:p>
    <w:p w14:paraId="7D7842C6">
      <w:pPr>
        <w:spacing w:line="420" w:lineRule="exac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xml:space="preserve">     ......   </w:t>
      </w:r>
    </w:p>
    <w:p w14:paraId="7E4600C6">
      <w:pPr>
        <w:spacing w:line="420" w:lineRule="exac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w:t>
      </w:r>
    </w:p>
    <w:p w14:paraId="4425B88D">
      <w:pPr>
        <w:spacing w:line="420" w:lineRule="exac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请将上述问题的澄清于</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日</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时前递交至</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（详细地址）。</w:t>
      </w:r>
    </w:p>
    <w:p w14:paraId="1684EBEC">
      <w:pPr>
        <w:spacing w:line="420" w:lineRule="exact"/>
        <w:ind w:right="716"/>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xml:space="preserve">                                                                                                                                                                                                                                                          </w:t>
      </w:r>
    </w:p>
    <w:p w14:paraId="0EDE2EEF">
      <w:pPr>
        <w:spacing w:line="420" w:lineRule="exact"/>
        <w:ind w:right="716"/>
        <w:jc w:val="center"/>
        <w:rPr>
          <w:rFonts w:hint="eastAsia" w:ascii="宋体" w:hAnsi="宋体" w:eastAsia="宋体" w:cs="宋体"/>
          <w:color w:val="auto"/>
          <w:spacing w:val="6"/>
          <w:sz w:val="21"/>
          <w:szCs w:val="21"/>
          <w:highlight w:val="none"/>
        </w:rPr>
      </w:pPr>
    </w:p>
    <w:p w14:paraId="75A2EC52">
      <w:pPr>
        <w:spacing w:line="420" w:lineRule="exact"/>
        <w:ind w:right="716"/>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xml:space="preserve">                                    </w:t>
      </w:r>
      <w:r>
        <w:rPr>
          <w:rFonts w:hint="eastAsia" w:ascii="宋体" w:hAnsi="宋体" w:cs="宋体"/>
          <w:color w:val="auto"/>
          <w:spacing w:val="6"/>
          <w:sz w:val="21"/>
          <w:szCs w:val="21"/>
          <w:highlight w:val="none"/>
          <w:lang w:val="en-US" w:eastAsia="zh-CN"/>
        </w:rPr>
        <w:t>评标委员会</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u w:val="single"/>
        </w:rPr>
        <w:t xml:space="preserve">   </w:t>
      </w:r>
      <w:r>
        <w:rPr>
          <w:rFonts w:hint="eastAsia" w:ascii="宋体" w:hAnsi="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（签字或盖章）</w:t>
      </w:r>
    </w:p>
    <w:p w14:paraId="31714957">
      <w:pPr>
        <w:spacing w:line="420" w:lineRule="exact"/>
        <w:ind w:right="716"/>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xml:space="preserve">                                                </w:t>
      </w:r>
    </w:p>
    <w:p w14:paraId="04847A3F">
      <w:pPr>
        <w:spacing w:line="420" w:lineRule="exact"/>
        <w:ind w:right="716"/>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日</w:t>
      </w:r>
    </w:p>
    <w:p w14:paraId="3652D3B2">
      <w:pPr>
        <w:spacing w:line="420" w:lineRule="exact"/>
        <w:ind w:right="716"/>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br w:type="page"/>
      </w:r>
    </w:p>
    <w:p w14:paraId="6D738188">
      <w:pPr>
        <w:pStyle w:val="5"/>
        <w:rPr>
          <w:rFonts w:hint="eastAsia" w:ascii="宋体" w:hAnsi="宋体" w:eastAsia="宋体" w:cs="宋体"/>
          <w:b/>
          <w:bCs/>
          <w:color w:val="auto"/>
          <w:spacing w:val="6"/>
          <w:highlight w:val="none"/>
        </w:rPr>
      </w:pPr>
      <w:bookmarkStart w:id="248" w:name="_Toc246996226"/>
      <w:bookmarkStart w:id="249" w:name="_Toc179632601"/>
      <w:bookmarkStart w:id="250" w:name="_Toc152042360"/>
      <w:bookmarkStart w:id="251" w:name="_Toc246996969"/>
      <w:bookmarkStart w:id="252" w:name="_Toc296602471"/>
      <w:bookmarkStart w:id="253" w:name="_Toc144974550"/>
      <w:bookmarkStart w:id="254" w:name="_Toc152045583"/>
      <w:bookmarkStart w:id="255" w:name="_Toc247085741"/>
      <w:r>
        <w:rPr>
          <w:rFonts w:hint="eastAsia" w:ascii="宋体" w:hAnsi="宋体" w:eastAsia="宋体" w:cs="宋体"/>
          <w:b/>
          <w:bCs/>
          <w:color w:val="auto"/>
          <w:spacing w:val="6"/>
          <w:highlight w:val="none"/>
        </w:rPr>
        <w:t>附件</w:t>
      </w:r>
      <w:r>
        <w:rPr>
          <w:rFonts w:hint="eastAsia" w:ascii="宋体" w:hAnsi="宋体" w:eastAsia="宋体" w:cs="宋体"/>
          <w:b/>
          <w:bCs/>
          <w:color w:val="auto"/>
          <w:spacing w:val="6"/>
          <w:highlight w:val="none"/>
          <w:lang w:val="en-US" w:eastAsia="zh-CN"/>
        </w:rPr>
        <w:t>3</w:t>
      </w:r>
      <w:r>
        <w:rPr>
          <w:rFonts w:hint="eastAsia" w:ascii="宋体" w:hAnsi="宋体" w:eastAsia="宋体" w:cs="宋体"/>
          <w:b/>
          <w:bCs/>
          <w:color w:val="auto"/>
          <w:spacing w:val="6"/>
          <w:highlight w:val="none"/>
        </w:rPr>
        <w:t>：问题的澄清</w:t>
      </w:r>
      <w:bookmarkEnd w:id="248"/>
      <w:bookmarkEnd w:id="249"/>
      <w:bookmarkEnd w:id="250"/>
      <w:bookmarkEnd w:id="251"/>
      <w:bookmarkEnd w:id="252"/>
      <w:bookmarkEnd w:id="253"/>
      <w:bookmarkEnd w:id="254"/>
      <w:bookmarkEnd w:id="255"/>
    </w:p>
    <w:p w14:paraId="34C84F18">
      <w:pPr>
        <w:spacing w:line="400" w:lineRule="exact"/>
        <w:jc w:val="center"/>
        <w:rPr>
          <w:rFonts w:hint="eastAsia" w:ascii="宋体" w:hAnsi="宋体" w:eastAsia="宋体" w:cs="宋体"/>
          <w:color w:val="auto"/>
          <w:spacing w:val="6"/>
          <w:sz w:val="28"/>
          <w:szCs w:val="28"/>
          <w:highlight w:val="none"/>
        </w:rPr>
      </w:pPr>
    </w:p>
    <w:p w14:paraId="6B721226">
      <w:pPr>
        <w:spacing w:line="420" w:lineRule="exact"/>
        <w:jc w:val="center"/>
        <w:rPr>
          <w:rFonts w:hint="eastAsia" w:ascii="宋体" w:hAnsi="宋体" w:eastAsia="宋体" w:cs="宋体"/>
          <w:b/>
          <w:bCs w:val="0"/>
          <w:color w:val="auto"/>
          <w:spacing w:val="6"/>
          <w:highlight w:val="none"/>
        </w:rPr>
      </w:pPr>
      <w:r>
        <w:rPr>
          <w:rFonts w:hint="eastAsia" w:ascii="宋体" w:hAnsi="宋体" w:eastAsia="宋体" w:cs="宋体"/>
          <w:b/>
          <w:bCs w:val="0"/>
          <w:color w:val="auto"/>
          <w:spacing w:val="6"/>
          <w:sz w:val="24"/>
          <w:szCs w:val="24"/>
          <w:highlight w:val="none"/>
        </w:rPr>
        <w:t>问题的澄清</w:t>
      </w:r>
    </w:p>
    <w:p w14:paraId="141D98D9">
      <w:pPr>
        <w:spacing w:line="420" w:lineRule="exact"/>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编号：</w:t>
      </w:r>
    </w:p>
    <w:p w14:paraId="77FF90F5">
      <w:pPr>
        <w:spacing w:line="420" w:lineRule="exact"/>
        <w:rPr>
          <w:rFonts w:hint="eastAsia" w:ascii="宋体" w:hAnsi="宋体" w:eastAsia="宋体" w:cs="宋体"/>
          <w:color w:val="auto"/>
          <w:spacing w:val="6"/>
          <w:sz w:val="21"/>
          <w:szCs w:val="21"/>
          <w:highlight w:val="none"/>
        </w:rPr>
      </w:pPr>
    </w:p>
    <w:p w14:paraId="78F757D9">
      <w:pPr>
        <w:spacing w:line="420" w:lineRule="exac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项目名称）招标评标委员会：</w:t>
      </w:r>
    </w:p>
    <w:p w14:paraId="0AB49F4E">
      <w:pPr>
        <w:spacing w:line="420" w:lineRule="exact"/>
        <w:rPr>
          <w:rFonts w:hint="eastAsia" w:ascii="宋体" w:hAnsi="宋体" w:eastAsia="宋体" w:cs="宋体"/>
          <w:color w:val="auto"/>
          <w:spacing w:val="6"/>
          <w:sz w:val="21"/>
          <w:szCs w:val="21"/>
          <w:highlight w:val="none"/>
        </w:rPr>
      </w:pPr>
    </w:p>
    <w:p w14:paraId="5380557B">
      <w:pPr>
        <w:spacing w:line="420" w:lineRule="exact"/>
        <w:ind w:firstLine="36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问题澄清通知（编号：</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）已收悉，现澄清如下：</w:t>
      </w:r>
    </w:p>
    <w:p w14:paraId="5385A851">
      <w:pPr>
        <w:spacing w:line="420" w:lineRule="exact"/>
        <w:ind w:firstLine="36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w:t>
      </w:r>
    </w:p>
    <w:p w14:paraId="7EACC7DC">
      <w:pPr>
        <w:spacing w:line="420" w:lineRule="exact"/>
        <w:ind w:firstLine="36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xml:space="preserve">2.　   </w:t>
      </w:r>
    </w:p>
    <w:p w14:paraId="4705BCAA">
      <w:pPr>
        <w:spacing w:line="420" w:lineRule="exac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w:t>
      </w:r>
    </w:p>
    <w:p w14:paraId="24096D41">
      <w:pPr>
        <w:spacing w:line="420" w:lineRule="exac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xml:space="preserve">                       </w:t>
      </w:r>
    </w:p>
    <w:p w14:paraId="27BDA021">
      <w:pPr>
        <w:spacing w:line="420" w:lineRule="exac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xml:space="preserve">　 </w:t>
      </w:r>
    </w:p>
    <w:p w14:paraId="35DBD809">
      <w:pPr>
        <w:spacing w:line="420" w:lineRule="exact"/>
        <w:rPr>
          <w:rFonts w:hint="eastAsia" w:ascii="宋体" w:hAnsi="宋体" w:eastAsia="宋体" w:cs="宋体"/>
          <w:color w:val="auto"/>
          <w:spacing w:val="6"/>
          <w:sz w:val="21"/>
          <w:szCs w:val="21"/>
          <w:highlight w:val="none"/>
        </w:rPr>
      </w:pPr>
    </w:p>
    <w:p w14:paraId="78201518">
      <w:pPr>
        <w:spacing w:line="420" w:lineRule="exact"/>
        <w:rPr>
          <w:rFonts w:hint="eastAsia" w:ascii="宋体" w:hAnsi="宋体" w:eastAsia="宋体" w:cs="宋体"/>
          <w:color w:val="auto"/>
          <w:spacing w:val="6"/>
          <w:sz w:val="21"/>
          <w:szCs w:val="21"/>
          <w:highlight w:val="none"/>
        </w:rPr>
      </w:pPr>
    </w:p>
    <w:p w14:paraId="05EA8307">
      <w:pPr>
        <w:spacing w:line="420" w:lineRule="exact"/>
        <w:rPr>
          <w:rFonts w:hint="eastAsia" w:ascii="宋体" w:hAnsi="宋体" w:eastAsia="宋体" w:cs="宋体"/>
          <w:color w:val="auto"/>
          <w:spacing w:val="6"/>
          <w:sz w:val="21"/>
          <w:szCs w:val="21"/>
          <w:highlight w:val="none"/>
        </w:rPr>
      </w:pPr>
    </w:p>
    <w:p w14:paraId="5BE87A88">
      <w:pPr>
        <w:spacing w:line="420" w:lineRule="exact"/>
        <w:rPr>
          <w:rFonts w:hint="eastAsia" w:ascii="宋体" w:hAnsi="宋体" w:eastAsia="宋体" w:cs="宋体"/>
          <w:color w:val="auto"/>
          <w:spacing w:val="6"/>
          <w:sz w:val="21"/>
          <w:szCs w:val="21"/>
          <w:highlight w:val="none"/>
        </w:rPr>
      </w:pPr>
    </w:p>
    <w:p w14:paraId="1BD5A943">
      <w:pPr>
        <w:spacing w:line="420" w:lineRule="exac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投标人：</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（盖单位章）</w:t>
      </w:r>
    </w:p>
    <w:p w14:paraId="2707BACC">
      <w:pPr>
        <w:spacing w:line="420" w:lineRule="exac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w:t>
      </w:r>
    </w:p>
    <w:p w14:paraId="32B70C8D">
      <w:pPr>
        <w:spacing w:line="420" w:lineRule="exac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法定代表人或其委托代理人：</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（签字）</w:t>
      </w:r>
    </w:p>
    <w:p w14:paraId="693A4075">
      <w:pPr>
        <w:spacing w:line="420" w:lineRule="exac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w:t>
      </w:r>
    </w:p>
    <w:p w14:paraId="06DC0D2C">
      <w:pPr>
        <w:spacing w:line="420" w:lineRule="exac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日</w:t>
      </w:r>
    </w:p>
    <w:p w14:paraId="1E8513E6">
      <w:pPr>
        <w:widowControl/>
        <w:spacing w:line="320" w:lineRule="exact"/>
        <w:jc w:val="left"/>
        <w:rPr>
          <w:rFonts w:hint="eastAsia" w:ascii="宋体" w:hAnsi="宋体" w:eastAsia="宋体" w:cs="宋体"/>
          <w:color w:val="auto"/>
          <w:spacing w:val="6"/>
          <w:highlight w:val="none"/>
        </w:rPr>
      </w:pPr>
    </w:p>
    <w:p w14:paraId="427E6CE9">
      <w:pPr>
        <w:pStyle w:val="5"/>
        <w:rPr>
          <w:rStyle w:val="152"/>
          <w:rFonts w:hint="eastAsia" w:ascii="宋体" w:hAnsi="宋体" w:eastAsia="宋体" w:cs="宋体"/>
          <w:b/>
          <w:bCs/>
          <w:color w:val="auto"/>
          <w:spacing w:val="6"/>
          <w:highlight w:val="none"/>
        </w:rPr>
      </w:pPr>
      <w:r>
        <w:rPr>
          <w:rFonts w:hint="eastAsia" w:ascii="宋体" w:hAnsi="宋体" w:eastAsia="宋体" w:cs="宋体"/>
          <w:color w:val="auto"/>
          <w:spacing w:val="6"/>
          <w:highlight w:val="none"/>
        </w:rPr>
        <w:br w:type="page"/>
      </w:r>
      <w:bookmarkStart w:id="256" w:name="_Toc1660835"/>
      <w:bookmarkStart w:id="257" w:name="_Toc11982"/>
      <w:r>
        <w:rPr>
          <w:rStyle w:val="152"/>
          <w:rFonts w:hint="eastAsia" w:ascii="宋体" w:hAnsi="宋体" w:eastAsia="宋体" w:cs="宋体"/>
          <w:b/>
          <w:bCs/>
          <w:color w:val="auto"/>
          <w:spacing w:val="6"/>
          <w:highlight w:val="none"/>
        </w:rPr>
        <w:t>附件</w:t>
      </w:r>
      <w:r>
        <w:rPr>
          <w:rStyle w:val="152"/>
          <w:rFonts w:hint="eastAsia" w:ascii="宋体" w:hAnsi="宋体" w:eastAsia="宋体" w:cs="宋体"/>
          <w:b/>
          <w:bCs/>
          <w:color w:val="auto"/>
          <w:spacing w:val="6"/>
          <w:highlight w:val="none"/>
          <w:lang w:val="en-US" w:eastAsia="zh-CN"/>
        </w:rPr>
        <w:t>4</w:t>
      </w:r>
      <w:r>
        <w:rPr>
          <w:rStyle w:val="152"/>
          <w:rFonts w:hint="eastAsia" w:ascii="宋体" w:hAnsi="宋体" w:eastAsia="宋体" w:cs="宋体"/>
          <w:b/>
          <w:bCs/>
          <w:color w:val="auto"/>
          <w:spacing w:val="6"/>
          <w:highlight w:val="none"/>
        </w:rPr>
        <w:t>：质疑函范本</w:t>
      </w:r>
      <w:bookmarkEnd w:id="256"/>
      <w:bookmarkEnd w:id="257"/>
    </w:p>
    <w:p w14:paraId="1C34E60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color w:val="auto"/>
          <w:spacing w:val="6"/>
          <w:sz w:val="28"/>
          <w:szCs w:val="28"/>
          <w:highlight w:val="none"/>
          <w:lang w:val="zh-CN"/>
        </w:rPr>
      </w:pPr>
      <w:r>
        <w:rPr>
          <w:rFonts w:hint="eastAsia" w:ascii="宋体" w:hAnsi="宋体" w:eastAsia="宋体" w:cs="宋体"/>
          <w:b/>
          <w:bCs w:val="0"/>
          <w:color w:val="auto"/>
          <w:spacing w:val="6"/>
          <w:sz w:val="24"/>
          <w:szCs w:val="24"/>
          <w:highlight w:val="none"/>
        </w:rPr>
        <w:t>质疑函</w:t>
      </w:r>
    </w:p>
    <w:p w14:paraId="4933D721">
      <w:pPr>
        <w:pStyle w:val="110"/>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一、质疑供应商基本信息</w:t>
      </w:r>
    </w:p>
    <w:p w14:paraId="1B2C2B7E">
      <w:pPr>
        <w:pStyle w:val="11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6"/>
          <w:szCs w:val="21"/>
          <w:highlight w:val="none"/>
          <w:u w:val="dotted"/>
        </w:rPr>
      </w:pPr>
      <w:r>
        <w:rPr>
          <w:rFonts w:hint="eastAsia" w:ascii="宋体" w:hAnsi="宋体" w:eastAsia="宋体" w:cs="宋体"/>
          <w:color w:val="auto"/>
          <w:spacing w:val="6"/>
          <w:szCs w:val="21"/>
          <w:highlight w:val="none"/>
        </w:rPr>
        <w:t>质疑供应商：</w:t>
      </w:r>
      <w:r>
        <w:rPr>
          <w:rFonts w:hint="eastAsia" w:ascii="宋体" w:hAnsi="宋体" w:eastAsia="宋体" w:cs="宋体"/>
          <w:color w:val="auto"/>
          <w:spacing w:val="6"/>
          <w:szCs w:val="21"/>
          <w:highlight w:val="none"/>
          <w:u w:val="dotted"/>
        </w:rPr>
        <w:t xml:space="preserve">                                        </w:t>
      </w:r>
    </w:p>
    <w:p w14:paraId="0A1E54BD">
      <w:pPr>
        <w:pStyle w:val="11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地址：</w:t>
      </w:r>
      <w:r>
        <w:rPr>
          <w:rFonts w:hint="eastAsia" w:ascii="宋体" w:hAnsi="宋体" w:eastAsia="宋体" w:cs="宋体"/>
          <w:color w:val="auto"/>
          <w:spacing w:val="6"/>
          <w:szCs w:val="21"/>
          <w:highlight w:val="none"/>
          <w:u w:val="dotted"/>
        </w:rPr>
        <w:t xml:space="preserve">                          </w:t>
      </w:r>
      <w:r>
        <w:rPr>
          <w:rFonts w:hint="eastAsia" w:ascii="宋体" w:hAnsi="宋体" w:eastAsia="宋体" w:cs="宋体"/>
          <w:color w:val="auto"/>
          <w:spacing w:val="6"/>
          <w:szCs w:val="21"/>
          <w:highlight w:val="none"/>
        </w:rPr>
        <w:t>邮编：</w:t>
      </w:r>
      <w:r>
        <w:rPr>
          <w:rFonts w:hint="eastAsia" w:ascii="宋体" w:hAnsi="宋体" w:eastAsia="宋体" w:cs="宋体"/>
          <w:color w:val="auto"/>
          <w:spacing w:val="6"/>
          <w:szCs w:val="21"/>
          <w:highlight w:val="none"/>
          <w:u w:val="dotted"/>
        </w:rPr>
        <w:t xml:space="preserve">                     </w:t>
      </w:r>
    </w:p>
    <w:p w14:paraId="2532170C">
      <w:pPr>
        <w:pStyle w:val="11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联系人：</w:t>
      </w:r>
      <w:r>
        <w:rPr>
          <w:rFonts w:hint="eastAsia" w:ascii="宋体" w:hAnsi="宋体" w:eastAsia="宋体" w:cs="宋体"/>
          <w:color w:val="auto"/>
          <w:spacing w:val="6"/>
          <w:szCs w:val="21"/>
          <w:highlight w:val="none"/>
          <w:u w:val="dotted"/>
        </w:rPr>
        <w:t xml:space="preserve">                      </w:t>
      </w:r>
      <w:r>
        <w:rPr>
          <w:rFonts w:hint="eastAsia" w:ascii="宋体" w:hAnsi="宋体" w:eastAsia="宋体" w:cs="宋体"/>
          <w:color w:val="auto"/>
          <w:spacing w:val="6"/>
          <w:szCs w:val="21"/>
          <w:highlight w:val="none"/>
        </w:rPr>
        <w:t>联系电话：</w:t>
      </w:r>
      <w:r>
        <w:rPr>
          <w:rFonts w:hint="eastAsia" w:ascii="宋体" w:hAnsi="宋体" w:eastAsia="宋体" w:cs="宋体"/>
          <w:color w:val="auto"/>
          <w:spacing w:val="6"/>
          <w:szCs w:val="21"/>
          <w:highlight w:val="none"/>
          <w:u w:val="dotted"/>
        </w:rPr>
        <w:t xml:space="preserve">                    </w:t>
      </w:r>
    </w:p>
    <w:p w14:paraId="54524F75">
      <w:pPr>
        <w:pStyle w:val="11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6"/>
          <w:szCs w:val="21"/>
          <w:highlight w:val="none"/>
          <w:u w:val="dotted"/>
        </w:rPr>
      </w:pPr>
      <w:r>
        <w:rPr>
          <w:rFonts w:hint="eastAsia" w:ascii="宋体" w:hAnsi="宋体" w:eastAsia="宋体" w:cs="宋体"/>
          <w:color w:val="auto"/>
          <w:spacing w:val="6"/>
          <w:szCs w:val="21"/>
          <w:highlight w:val="none"/>
        </w:rPr>
        <w:t>授权代表：</w:t>
      </w:r>
      <w:r>
        <w:rPr>
          <w:rFonts w:hint="eastAsia" w:ascii="宋体" w:hAnsi="宋体" w:eastAsia="宋体" w:cs="宋体"/>
          <w:color w:val="auto"/>
          <w:spacing w:val="6"/>
          <w:szCs w:val="21"/>
          <w:highlight w:val="none"/>
          <w:u w:val="dotted"/>
        </w:rPr>
        <w:t xml:space="preserve">                                          </w:t>
      </w:r>
    </w:p>
    <w:p w14:paraId="11435D8C">
      <w:pPr>
        <w:pStyle w:val="11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联系电话：</w:t>
      </w:r>
      <w:r>
        <w:rPr>
          <w:rFonts w:hint="eastAsia" w:ascii="宋体" w:hAnsi="宋体" w:eastAsia="宋体" w:cs="宋体"/>
          <w:color w:val="auto"/>
          <w:spacing w:val="6"/>
          <w:szCs w:val="21"/>
          <w:highlight w:val="none"/>
          <w:u w:val="dotted"/>
        </w:rPr>
        <w:t xml:space="preserve">                                           </w:t>
      </w:r>
      <w:r>
        <w:rPr>
          <w:rFonts w:hint="eastAsia" w:ascii="宋体" w:hAnsi="宋体" w:eastAsia="宋体" w:cs="宋体"/>
          <w:color w:val="auto"/>
          <w:spacing w:val="6"/>
          <w:szCs w:val="21"/>
          <w:highlight w:val="none"/>
        </w:rPr>
        <w:t xml:space="preserve"> </w:t>
      </w:r>
    </w:p>
    <w:p w14:paraId="4A1677D8">
      <w:pPr>
        <w:pStyle w:val="11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地址： </w:t>
      </w:r>
      <w:r>
        <w:rPr>
          <w:rFonts w:hint="eastAsia" w:ascii="宋体" w:hAnsi="宋体" w:eastAsia="宋体" w:cs="宋体"/>
          <w:color w:val="auto"/>
          <w:spacing w:val="6"/>
          <w:szCs w:val="21"/>
          <w:highlight w:val="none"/>
          <w:u w:val="dotted"/>
        </w:rPr>
        <w:t xml:space="preserve">                        </w:t>
      </w:r>
      <w:r>
        <w:rPr>
          <w:rFonts w:hint="eastAsia" w:ascii="宋体" w:hAnsi="宋体" w:eastAsia="宋体" w:cs="宋体"/>
          <w:color w:val="auto"/>
          <w:spacing w:val="6"/>
          <w:szCs w:val="21"/>
          <w:highlight w:val="none"/>
        </w:rPr>
        <w:t>邮编：</w:t>
      </w:r>
      <w:r>
        <w:rPr>
          <w:rFonts w:hint="eastAsia" w:ascii="宋体" w:hAnsi="宋体" w:eastAsia="宋体" w:cs="宋体"/>
          <w:color w:val="auto"/>
          <w:spacing w:val="6"/>
          <w:szCs w:val="21"/>
          <w:highlight w:val="none"/>
          <w:u w:val="dotted"/>
        </w:rPr>
        <w:t xml:space="preserve">                      </w:t>
      </w:r>
    </w:p>
    <w:p w14:paraId="6AE609A5">
      <w:pPr>
        <w:pStyle w:val="110"/>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二、质疑项目基本情况</w:t>
      </w:r>
    </w:p>
    <w:p w14:paraId="159536C0">
      <w:pPr>
        <w:pStyle w:val="11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质疑项目的名称：</w:t>
      </w:r>
      <w:r>
        <w:rPr>
          <w:rFonts w:hint="eastAsia" w:ascii="宋体" w:hAnsi="宋体" w:eastAsia="宋体" w:cs="宋体"/>
          <w:color w:val="auto"/>
          <w:spacing w:val="6"/>
          <w:szCs w:val="21"/>
          <w:highlight w:val="none"/>
          <w:u w:val="dotted"/>
        </w:rPr>
        <w:t xml:space="preserve">                                          </w:t>
      </w:r>
    </w:p>
    <w:p w14:paraId="7140BB59">
      <w:pPr>
        <w:pStyle w:val="11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质疑项目的编号：</w:t>
      </w:r>
      <w:r>
        <w:rPr>
          <w:rFonts w:hint="eastAsia" w:ascii="宋体" w:hAnsi="宋体" w:eastAsia="宋体" w:cs="宋体"/>
          <w:color w:val="auto"/>
          <w:spacing w:val="6"/>
          <w:szCs w:val="21"/>
          <w:highlight w:val="none"/>
          <w:u w:val="dotted"/>
        </w:rPr>
        <w:t xml:space="preserve">               </w:t>
      </w:r>
      <w:r>
        <w:rPr>
          <w:rFonts w:hint="eastAsia" w:ascii="宋体" w:hAnsi="宋体" w:eastAsia="宋体" w:cs="宋体"/>
          <w:color w:val="auto"/>
          <w:spacing w:val="6"/>
          <w:szCs w:val="21"/>
          <w:highlight w:val="none"/>
        </w:rPr>
        <w:t>包号：</w:t>
      </w:r>
      <w:r>
        <w:rPr>
          <w:rFonts w:hint="eastAsia" w:ascii="宋体" w:hAnsi="宋体" w:eastAsia="宋体" w:cs="宋体"/>
          <w:color w:val="auto"/>
          <w:spacing w:val="6"/>
          <w:szCs w:val="21"/>
          <w:highlight w:val="none"/>
          <w:u w:val="dotted"/>
        </w:rPr>
        <w:t xml:space="preserve">                      </w:t>
      </w:r>
    </w:p>
    <w:p w14:paraId="4116206E">
      <w:pPr>
        <w:pStyle w:val="11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6"/>
          <w:szCs w:val="21"/>
          <w:highlight w:val="none"/>
          <w:u w:val="dotted"/>
        </w:rPr>
      </w:pPr>
      <w:r>
        <w:rPr>
          <w:rFonts w:hint="eastAsia" w:ascii="宋体" w:hAnsi="宋体" w:eastAsia="宋体" w:cs="宋体"/>
          <w:color w:val="auto"/>
          <w:spacing w:val="6"/>
          <w:szCs w:val="21"/>
          <w:highlight w:val="none"/>
        </w:rPr>
        <w:t>采购人名称：</w:t>
      </w:r>
      <w:r>
        <w:rPr>
          <w:rFonts w:hint="eastAsia" w:ascii="宋体" w:hAnsi="宋体" w:eastAsia="宋体" w:cs="宋体"/>
          <w:color w:val="auto"/>
          <w:spacing w:val="6"/>
          <w:szCs w:val="21"/>
          <w:highlight w:val="none"/>
          <w:u w:val="dotted"/>
        </w:rPr>
        <w:t xml:space="preserve">                                              </w:t>
      </w:r>
    </w:p>
    <w:p w14:paraId="5985027B">
      <w:pPr>
        <w:pStyle w:val="11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采购文件获取日期：</w:t>
      </w:r>
      <w:r>
        <w:rPr>
          <w:rFonts w:hint="eastAsia" w:ascii="宋体" w:hAnsi="宋体" w:eastAsia="宋体" w:cs="宋体"/>
          <w:color w:val="auto"/>
          <w:spacing w:val="6"/>
          <w:szCs w:val="21"/>
          <w:highlight w:val="none"/>
          <w:u w:val="dotted"/>
        </w:rPr>
        <w:t xml:space="preserve">                                         </w:t>
      </w:r>
    </w:p>
    <w:p w14:paraId="2BCD5DD2">
      <w:pPr>
        <w:pStyle w:val="110"/>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三、质疑事项具体内容</w:t>
      </w:r>
    </w:p>
    <w:p w14:paraId="4E5C3550">
      <w:pPr>
        <w:pStyle w:val="11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6"/>
          <w:szCs w:val="21"/>
          <w:highlight w:val="none"/>
          <w:u w:val="dotted"/>
        </w:rPr>
      </w:pPr>
      <w:r>
        <w:rPr>
          <w:rFonts w:hint="eastAsia" w:ascii="宋体" w:hAnsi="宋体" w:eastAsia="宋体" w:cs="宋体"/>
          <w:color w:val="auto"/>
          <w:spacing w:val="6"/>
          <w:szCs w:val="21"/>
          <w:highlight w:val="none"/>
        </w:rPr>
        <w:t>质疑事项1：</w:t>
      </w:r>
      <w:r>
        <w:rPr>
          <w:rFonts w:hint="eastAsia" w:ascii="宋体" w:hAnsi="宋体" w:eastAsia="宋体" w:cs="宋体"/>
          <w:color w:val="auto"/>
          <w:spacing w:val="6"/>
          <w:szCs w:val="21"/>
          <w:highlight w:val="none"/>
          <w:u w:val="dotted"/>
        </w:rPr>
        <w:t xml:space="preserve">                                               </w:t>
      </w:r>
    </w:p>
    <w:p w14:paraId="0B041F7F">
      <w:pPr>
        <w:pStyle w:val="11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事实依据：</w:t>
      </w:r>
      <w:r>
        <w:rPr>
          <w:rFonts w:hint="eastAsia" w:ascii="宋体" w:hAnsi="宋体" w:eastAsia="宋体" w:cs="宋体"/>
          <w:color w:val="auto"/>
          <w:spacing w:val="6"/>
          <w:szCs w:val="21"/>
          <w:highlight w:val="none"/>
          <w:u w:val="dotted"/>
        </w:rPr>
        <w:t xml:space="preserve">                                              </w:t>
      </w:r>
    </w:p>
    <w:p w14:paraId="6B573F0A">
      <w:pPr>
        <w:pStyle w:val="11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6"/>
          <w:szCs w:val="21"/>
          <w:highlight w:val="none"/>
          <w:u w:val="dotted"/>
        </w:rPr>
      </w:pPr>
      <w:r>
        <w:rPr>
          <w:rFonts w:hint="eastAsia" w:ascii="宋体" w:hAnsi="宋体" w:eastAsia="宋体" w:cs="宋体"/>
          <w:color w:val="auto"/>
          <w:spacing w:val="6"/>
          <w:szCs w:val="21"/>
          <w:highlight w:val="none"/>
        </w:rPr>
        <w:t>法律依据：</w:t>
      </w:r>
      <w:r>
        <w:rPr>
          <w:rFonts w:hint="eastAsia" w:ascii="宋体" w:hAnsi="宋体" w:eastAsia="宋体" w:cs="宋体"/>
          <w:color w:val="auto"/>
          <w:spacing w:val="6"/>
          <w:szCs w:val="21"/>
          <w:highlight w:val="none"/>
          <w:u w:val="dotted"/>
        </w:rPr>
        <w:t xml:space="preserve">                                                </w:t>
      </w:r>
    </w:p>
    <w:p w14:paraId="4D49DE1F">
      <w:pPr>
        <w:pStyle w:val="11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6"/>
          <w:szCs w:val="21"/>
          <w:highlight w:val="none"/>
          <w:u w:val="dotted"/>
        </w:rPr>
      </w:pPr>
      <w:r>
        <w:rPr>
          <w:rFonts w:hint="eastAsia" w:ascii="宋体" w:hAnsi="宋体" w:eastAsia="宋体" w:cs="宋体"/>
          <w:color w:val="auto"/>
          <w:spacing w:val="6"/>
          <w:szCs w:val="21"/>
          <w:highlight w:val="none"/>
        </w:rPr>
        <w:t>质疑事项2：</w:t>
      </w:r>
    </w:p>
    <w:p w14:paraId="07F21767">
      <w:pPr>
        <w:pStyle w:val="11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p>
    <w:p w14:paraId="35ED054C">
      <w:pPr>
        <w:pStyle w:val="110"/>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四、与质疑事项相关的质疑请求</w:t>
      </w:r>
    </w:p>
    <w:p w14:paraId="6B6EAAAA">
      <w:pPr>
        <w:pStyle w:val="11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6"/>
          <w:szCs w:val="21"/>
          <w:highlight w:val="none"/>
          <w:u w:val="dotted"/>
        </w:rPr>
      </w:pPr>
      <w:r>
        <w:rPr>
          <w:rFonts w:hint="eastAsia" w:ascii="宋体" w:hAnsi="宋体" w:eastAsia="宋体" w:cs="宋体"/>
          <w:color w:val="auto"/>
          <w:spacing w:val="6"/>
          <w:szCs w:val="21"/>
          <w:highlight w:val="none"/>
        </w:rPr>
        <w:t>请求：</w:t>
      </w:r>
      <w:r>
        <w:rPr>
          <w:rFonts w:hint="eastAsia" w:ascii="宋体" w:hAnsi="宋体" w:eastAsia="宋体" w:cs="宋体"/>
          <w:color w:val="auto"/>
          <w:spacing w:val="6"/>
          <w:szCs w:val="21"/>
          <w:highlight w:val="none"/>
          <w:u w:val="dotted"/>
        </w:rPr>
        <w:t xml:space="preserve">                                               </w:t>
      </w:r>
    </w:p>
    <w:p w14:paraId="3F69EC50">
      <w:pPr>
        <w:pStyle w:val="11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6"/>
          <w:szCs w:val="21"/>
          <w:highlight w:val="none"/>
        </w:rPr>
      </w:pPr>
    </w:p>
    <w:p w14:paraId="09EB64A2">
      <w:pPr>
        <w:pStyle w:val="11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签字(签章)：                   公章： </w:t>
      </w:r>
    </w:p>
    <w:p w14:paraId="0E993A1F">
      <w:pPr>
        <w:pStyle w:val="11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日期：    </w:t>
      </w:r>
    </w:p>
    <w:p w14:paraId="37A5C45F">
      <w:pPr>
        <w:pStyle w:val="11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质疑函制作说明：</w:t>
      </w:r>
    </w:p>
    <w:p w14:paraId="64E0A8DC">
      <w:pPr>
        <w:pStyle w:val="110"/>
        <w:keepNext w:val="0"/>
        <w:keepLines w:val="0"/>
        <w:pageBreakBefore w:val="0"/>
        <w:kinsoku/>
        <w:wordWrap/>
        <w:overflowPunct/>
        <w:topLinePunct w:val="0"/>
        <w:autoSpaceDE/>
        <w:autoSpaceDN/>
        <w:bidi w:val="0"/>
        <w:adjustRightInd/>
        <w:snapToGrid/>
        <w:spacing w:line="360" w:lineRule="exact"/>
        <w:textAlignment w:val="auto"/>
        <w:outlineLvl w:val="1"/>
        <w:rPr>
          <w:rFonts w:hint="eastAsia" w:ascii="宋体" w:hAnsi="宋体" w:eastAsia="宋体" w:cs="宋体"/>
          <w:color w:val="auto"/>
          <w:spacing w:val="6"/>
          <w:szCs w:val="21"/>
          <w:highlight w:val="none"/>
        </w:rPr>
      </w:pPr>
      <w:bookmarkStart w:id="258" w:name="_Toc16194"/>
      <w:bookmarkStart w:id="259" w:name="_Toc14575"/>
      <w:bookmarkStart w:id="260" w:name="_Toc7975"/>
      <w:bookmarkStart w:id="261" w:name="_Toc8690"/>
      <w:bookmarkStart w:id="262" w:name="_Toc31962"/>
      <w:r>
        <w:rPr>
          <w:rFonts w:hint="eastAsia" w:ascii="宋体" w:hAnsi="宋体" w:eastAsia="宋体" w:cs="宋体"/>
          <w:color w:val="auto"/>
          <w:spacing w:val="6"/>
          <w:szCs w:val="21"/>
          <w:highlight w:val="none"/>
        </w:rPr>
        <w:t>1. 供应商提出质疑时，应提交质疑函和必要的证明材料。</w:t>
      </w:r>
      <w:bookmarkEnd w:id="258"/>
      <w:bookmarkEnd w:id="259"/>
      <w:bookmarkEnd w:id="260"/>
      <w:bookmarkEnd w:id="261"/>
      <w:bookmarkEnd w:id="262"/>
    </w:p>
    <w:p w14:paraId="6DDAFBBE">
      <w:pPr>
        <w:pStyle w:val="11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 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9343203">
      <w:pPr>
        <w:pStyle w:val="11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 质疑供应商若对项目的某一分包进行质疑，质疑函中应列明具体分包号。</w:t>
      </w:r>
    </w:p>
    <w:p w14:paraId="566BF904">
      <w:pPr>
        <w:pStyle w:val="11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4. 质疑函的质疑事项应具体、明确，并有必要的事实依据和法律依据。</w:t>
      </w:r>
    </w:p>
    <w:p w14:paraId="7503EEBA">
      <w:pPr>
        <w:pStyle w:val="110"/>
        <w:keepNext w:val="0"/>
        <w:keepLines w:val="0"/>
        <w:pageBreakBefore w:val="0"/>
        <w:kinsoku/>
        <w:wordWrap/>
        <w:overflowPunct/>
        <w:topLinePunct w:val="0"/>
        <w:autoSpaceDE/>
        <w:autoSpaceDN/>
        <w:bidi w:val="0"/>
        <w:adjustRightInd/>
        <w:snapToGrid/>
        <w:spacing w:line="360" w:lineRule="exact"/>
        <w:textAlignment w:val="auto"/>
        <w:outlineLvl w:val="1"/>
        <w:rPr>
          <w:rFonts w:hint="eastAsia" w:ascii="宋体" w:hAnsi="宋体" w:eastAsia="宋体" w:cs="宋体"/>
          <w:color w:val="auto"/>
          <w:spacing w:val="6"/>
          <w:szCs w:val="21"/>
          <w:highlight w:val="none"/>
        </w:rPr>
      </w:pPr>
      <w:bookmarkStart w:id="263" w:name="_Toc2671"/>
      <w:bookmarkStart w:id="264" w:name="_Toc23945"/>
      <w:bookmarkStart w:id="265" w:name="_Toc25571"/>
      <w:bookmarkStart w:id="266" w:name="_Toc11515"/>
      <w:bookmarkStart w:id="267" w:name="_Toc19464"/>
      <w:r>
        <w:rPr>
          <w:rFonts w:hint="eastAsia" w:ascii="宋体" w:hAnsi="宋体" w:eastAsia="宋体" w:cs="宋体"/>
          <w:color w:val="auto"/>
          <w:spacing w:val="6"/>
          <w:szCs w:val="21"/>
          <w:highlight w:val="none"/>
        </w:rPr>
        <w:t>5. 质疑函的质疑请求应与质疑事项相关。</w:t>
      </w:r>
      <w:bookmarkEnd w:id="263"/>
      <w:bookmarkEnd w:id="264"/>
      <w:bookmarkEnd w:id="265"/>
      <w:bookmarkEnd w:id="266"/>
      <w:bookmarkEnd w:id="267"/>
    </w:p>
    <w:p w14:paraId="2D02E470">
      <w:pPr>
        <w:pStyle w:val="11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6"/>
          <w:highlight w:val="none"/>
        </w:rPr>
      </w:pPr>
      <w:r>
        <w:rPr>
          <w:rFonts w:hint="eastAsia" w:ascii="宋体" w:hAnsi="宋体" w:eastAsia="宋体" w:cs="宋体"/>
          <w:color w:val="auto"/>
          <w:spacing w:val="6"/>
          <w:szCs w:val="21"/>
          <w:highlight w:val="none"/>
        </w:rPr>
        <w:t>6. 质疑供应商为自然人的，质疑函应由本人签字；质疑供应商为法人或者其他组织的，质疑函应由法定代表人、主要负责人，或者其授权代表签字或者盖章，并加盖公章。</w:t>
      </w:r>
    </w:p>
    <w:p w14:paraId="6D71AA3F">
      <w:pPr>
        <w:rPr>
          <w:rFonts w:hint="eastAsia" w:ascii="宋体" w:hAnsi="宋体" w:eastAsia="宋体" w:cs="宋体"/>
          <w:color w:val="auto"/>
          <w:spacing w:val="6"/>
          <w:szCs w:val="44"/>
          <w:highlight w:val="none"/>
        </w:rPr>
      </w:pPr>
      <w:r>
        <w:rPr>
          <w:rFonts w:hint="eastAsia" w:ascii="宋体" w:hAnsi="宋体" w:eastAsia="宋体" w:cs="宋体"/>
          <w:color w:val="auto"/>
          <w:spacing w:val="6"/>
          <w:szCs w:val="44"/>
          <w:highlight w:val="none"/>
        </w:rPr>
        <w:br w:type="page"/>
      </w:r>
    </w:p>
    <w:p w14:paraId="60462CA5">
      <w:pPr>
        <w:pStyle w:val="2"/>
        <w:jc w:val="center"/>
        <w:rPr>
          <w:rFonts w:hint="eastAsia" w:ascii="宋体" w:hAnsi="宋体" w:eastAsia="宋体" w:cs="宋体"/>
          <w:color w:val="auto"/>
          <w:highlight w:val="none"/>
        </w:rPr>
      </w:pPr>
      <w:bookmarkStart w:id="268" w:name="_Toc15730"/>
      <w:bookmarkStart w:id="269" w:name="_Toc1653"/>
      <w:bookmarkStart w:id="270" w:name="_Toc742"/>
      <w:bookmarkStart w:id="271" w:name="_Toc14465"/>
      <w:r>
        <w:rPr>
          <w:rFonts w:hint="eastAsia" w:ascii="宋体" w:hAnsi="宋体" w:eastAsia="宋体" w:cs="宋体"/>
          <w:color w:val="auto"/>
          <w:highlight w:val="none"/>
        </w:rPr>
        <w:t>第三章 采购需求</w:t>
      </w:r>
      <w:bookmarkEnd w:id="92"/>
      <w:bookmarkEnd w:id="93"/>
      <w:bookmarkEnd w:id="268"/>
      <w:bookmarkEnd w:id="269"/>
      <w:bookmarkEnd w:id="270"/>
      <w:bookmarkEnd w:id="271"/>
    </w:p>
    <w:p w14:paraId="01BDB428">
      <w:pPr>
        <w:pStyle w:val="4"/>
        <w:pageBreakBefore w:val="0"/>
        <w:kinsoku/>
        <w:wordWrap/>
        <w:overflowPunct/>
        <w:topLinePunct w:val="0"/>
        <w:autoSpaceDE/>
        <w:autoSpaceDN/>
        <w:bidi w:val="0"/>
        <w:adjustRightInd/>
        <w:snapToGrid/>
        <w:spacing w:line="420" w:lineRule="exact"/>
        <w:textAlignment w:val="auto"/>
        <w:rPr>
          <w:rFonts w:hint="eastAsia" w:ascii="Times New Roman" w:hAnsi="Times New Roman" w:eastAsia="黑体" w:cs="Times New Roman"/>
          <w:b w:val="0"/>
          <w:bCs w:val="0"/>
          <w:spacing w:val="0"/>
          <w:sz w:val="28"/>
          <w:szCs w:val="28"/>
          <w:lang w:val="en-US" w:eastAsia="zh-CN"/>
        </w:rPr>
      </w:pPr>
      <w:bookmarkStart w:id="272" w:name="_Toc529161247"/>
      <w:bookmarkStart w:id="273" w:name="_Toc127548228"/>
      <w:bookmarkStart w:id="274" w:name="_Toc12365"/>
      <w:bookmarkStart w:id="275" w:name="_Toc205288523"/>
      <w:bookmarkStart w:id="276" w:name="_Toc19756"/>
      <w:bookmarkStart w:id="277" w:name="_Toc12948"/>
      <w:r>
        <w:rPr>
          <w:rFonts w:hint="eastAsia" w:ascii="Times New Roman" w:hAnsi="Times New Roman" w:eastAsia="黑体" w:cs="Times New Roman"/>
          <w:b w:val="0"/>
          <w:bCs w:val="0"/>
          <w:spacing w:val="0"/>
          <w:sz w:val="28"/>
          <w:szCs w:val="28"/>
          <w:lang w:val="en-US" w:eastAsia="zh-CN"/>
        </w:rPr>
        <w:t>1.项目</w:t>
      </w:r>
      <w:bookmarkEnd w:id="272"/>
      <w:bookmarkEnd w:id="273"/>
      <w:r>
        <w:rPr>
          <w:rFonts w:hint="eastAsia" w:ascii="Times New Roman" w:hAnsi="Times New Roman" w:eastAsia="黑体" w:cs="Times New Roman"/>
          <w:b w:val="0"/>
          <w:bCs w:val="0"/>
          <w:spacing w:val="0"/>
          <w:sz w:val="28"/>
          <w:szCs w:val="28"/>
          <w:lang w:val="en-US" w:eastAsia="zh-CN"/>
        </w:rPr>
        <w:t>整体要求</w:t>
      </w:r>
      <w:bookmarkEnd w:id="274"/>
      <w:bookmarkEnd w:id="275"/>
      <w:bookmarkEnd w:id="276"/>
    </w:p>
    <w:p w14:paraId="7760977B">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bookmarkStart w:id="278" w:name="_Toc205288524"/>
      <w:bookmarkStart w:id="279" w:name="_Toc30810"/>
      <w:r>
        <w:rPr>
          <w:rFonts w:hint="eastAsia" w:ascii="宋体" w:hAnsi="宋体" w:eastAsia="宋体" w:cs="宋体"/>
          <w:b/>
          <w:bCs w:val="0"/>
          <w:spacing w:val="6"/>
          <w:szCs w:val="21"/>
          <w:lang w:val="en-US" w:eastAsia="zh-CN"/>
        </w:rPr>
        <w:t>1.1 项目背景</w:t>
      </w:r>
      <w:bookmarkEnd w:id="278"/>
      <w:bookmarkEnd w:id="279"/>
    </w:p>
    <w:p w14:paraId="486919EC">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bookmarkStart w:id="280" w:name="_Toc529161249"/>
      <w:bookmarkStart w:id="281" w:name="_Toc127548230"/>
      <w:r>
        <w:rPr>
          <w:rFonts w:hint="eastAsia" w:ascii="宋体" w:hAnsi="宋体" w:eastAsia="宋体" w:cs="宋体"/>
          <w:bCs/>
          <w:spacing w:val="6"/>
          <w:szCs w:val="21"/>
          <w:lang w:val="en-US" w:eastAsia="zh-CN"/>
        </w:rPr>
        <w:t>党的二十大报告指出，高质量发展是全面建设社会主义现代化国家的首要任务。公立医院是我国医疗服务体系的主体，党中央、国务院高度重视公立医院高质量发展，2021年6月，印发《国务院办公厅关于推动公立医院高质量发展的意见》,提出要以建立现代医院管理制度为目标，强化体系创新、技术创新、模式创新、管理创新，要健全运营管理体系，提升公立医院高质量发展效能，更好提供优质高效医疗卫生服务，推进健康中国建设。在公立医院高质量发展的要求下，有效开展成本核算、合理控制成本、提高运营效率是公立医院面临的重要任务，是落实深化医改政策、推进卫生健康领域管理创新、增强卫生健康治理体系整体效能的有效抓手。</w:t>
      </w:r>
    </w:p>
    <w:p w14:paraId="28237737">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以DRG/DIP为代表的打包付费的医保支付制度改革，将公立医院的运营管理推向“成本竞赛”模式，医院要想在现行的政策背景下获取竞争优势，必须重视成本管理。构建一个有效的成本管理体系，把成本管理思维融入医院的业务管理、战略管理，解决医院成本管理活动中存在的问题，为医院运营管理提供有效的工具支撑，提升管理效率是现代医院运营管理所必须要做的任务，是医院高质量发展的关键所在。</w:t>
      </w:r>
    </w:p>
    <w:p w14:paraId="2609DA13">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2020年12月21日，卫生健康委、中医药局联合发布《关于加强公立医院运营管理的指导意见》，明确了公立医院运营管理的概念内涵和任务要求以及清晰的实施路径，需强化业务管理与经济管理相融合，同时明确了运营管理的双工具，即全成本管理和绩效管理。</w:t>
      </w:r>
    </w:p>
    <w:p w14:paraId="46E55FC5">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 xml:space="preserve"> 2023年12年05日，国家卫生健康委办公厅、国家中医药局综合司、国家疾控局综合司三部委联合印发了《公立医院成本核算指导手册》，指导和帮助公立医院全面开展成本核算工作。要求发挥成本核算在医疗服务定价、公立医院成本控制和绩效评价中的作用。强调需建立有效的成本管理工具和机制，满足内部成本控制、医疗服务定价、绩效管理等特定需求，促进管理模式从粗放式向精细化、规范化转变，优化资源配置、提高运营效率，保障医院健康、可持续发展。</w:t>
      </w:r>
    </w:p>
    <w:p w14:paraId="4FB5D551">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通过成本核算系统建设能够进一步加强医院的精细化管理。对医院医疗活动各环节的资源消耗进行核算与分析，为医院的精细化管理和成本管控提供数据依据，提升医院的成本管理水平。</w:t>
      </w:r>
    </w:p>
    <w:p w14:paraId="2AA67E3D">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bookmarkStart w:id="282" w:name="_Toc266"/>
      <w:bookmarkStart w:id="283" w:name="_Toc205288525"/>
      <w:r>
        <w:rPr>
          <w:rFonts w:hint="eastAsia" w:ascii="宋体" w:hAnsi="宋体" w:eastAsia="宋体" w:cs="宋体"/>
          <w:b/>
          <w:bCs w:val="0"/>
          <w:spacing w:val="6"/>
          <w:szCs w:val="21"/>
          <w:lang w:val="en-US" w:eastAsia="zh-CN"/>
        </w:rPr>
        <w:t>1.2 项目</w:t>
      </w:r>
      <w:bookmarkEnd w:id="280"/>
      <w:bookmarkEnd w:id="281"/>
      <w:r>
        <w:rPr>
          <w:rFonts w:hint="eastAsia" w:ascii="宋体" w:hAnsi="宋体" w:eastAsia="宋体" w:cs="宋体"/>
          <w:b/>
          <w:bCs w:val="0"/>
          <w:spacing w:val="6"/>
          <w:szCs w:val="21"/>
          <w:lang w:val="en-US" w:eastAsia="zh-CN"/>
        </w:rPr>
        <w:t>建设依据</w:t>
      </w:r>
      <w:bookmarkEnd w:id="282"/>
      <w:bookmarkEnd w:id="283"/>
    </w:p>
    <w:p w14:paraId="26C3AC80">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bookmarkStart w:id="284" w:name="_Toc137961756"/>
      <w:bookmarkStart w:id="285" w:name="_Toc142632499"/>
      <w:bookmarkStart w:id="286" w:name="_Toc146534264"/>
      <w:bookmarkStart w:id="287" w:name="_Toc234859245"/>
      <w:r>
        <w:rPr>
          <w:rFonts w:hint="eastAsia" w:ascii="宋体" w:hAnsi="宋体" w:eastAsia="宋体" w:cs="宋体"/>
          <w:bCs/>
          <w:spacing w:val="6"/>
          <w:szCs w:val="21"/>
          <w:lang w:val="en-US" w:eastAsia="zh-CN"/>
        </w:rPr>
        <w:t>项目建设过程中，系统需要符合以下国家标准要求：</w:t>
      </w:r>
    </w:p>
    <w:p w14:paraId="015711BB">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zh-CN" w:eastAsia="zh-CN"/>
        </w:rPr>
        <w:t>《</w:t>
      </w:r>
      <w:r>
        <w:rPr>
          <w:rFonts w:hint="eastAsia" w:ascii="宋体" w:hAnsi="宋体" w:eastAsia="宋体" w:cs="宋体"/>
          <w:bCs/>
          <w:spacing w:val="6"/>
          <w:szCs w:val="21"/>
          <w:lang w:val="en-US" w:eastAsia="zh-CN"/>
        </w:rPr>
        <w:t>中华人民共和国会计法》</w:t>
      </w:r>
    </w:p>
    <w:p w14:paraId="5E226BFA">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《行政事业单位成本核算基本指引》</w:t>
      </w:r>
    </w:p>
    <w:p w14:paraId="08CF0E4E">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《事业单位成本核算具体指引—公立医院》</w:t>
      </w:r>
    </w:p>
    <w:p w14:paraId="5B1FA3B3">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《公立医院成本核算规范》(国卫财务发[2021]4 号）</w:t>
      </w:r>
    </w:p>
    <w:p w14:paraId="79BEA62D">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《公立医院成本核算指导手册》（国卫办财务函〔2023〕377号）</w:t>
      </w:r>
    </w:p>
    <w:p w14:paraId="4EB6027F">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《国务院办公厅关于加强三级公立医院绩效考核工作的意见》（国办发〔2019〕）4 号）</w:t>
      </w:r>
    </w:p>
    <w:p w14:paraId="7A15E518">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《关于加强公立医院运营管理的指导意见》（国卫财务发[2020]27 号）</w:t>
      </w:r>
    </w:p>
    <w:bookmarkEnd w:id="284"/>
    <w:bookmarkEnd w:id="285"/>
    <w:bookmarkEnd w:id="286"/>
    <w:bookmarkEnd w:id="287"/>
    <w:p w14:paraId="254FD531">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bookmarkStart w:id="288" w:name="_Toc127548233"/>
      <w:bookmarkStart w:id="289" w:name="_Toc530822845"/>
      <w:bookmarkStart w:id="290" w:name="_Toc530822844"/>
      <w:bookmarkStart w:id="291" w:name="_Toc127548232"/>
      <w:r>
        <w:rPr>
          <w:rFonts w:hint="eastAsia" w:ascii="宋体" w:hAnsi="宋体" w:eastAsia="宋体" w:cs="宋体"/>
          <w:b/>
          <w:bCs w:val="0"/>
          <w:spacing w:val="6"/>
          <w:szCs w:val="21"/>
          <w:lang w:val="en-US" w:eastAsia="zh-CN"/>
        </w:rPr>
        <w:t xml:space="preserve">1.3 </w:t>
      </w:r>
      <w:bookmarkStart w:id="292" w:name="_Toc205288526"/>
      <w:bookmarkStart w:id="293" w:name="_Toc18366"/>
      <w:r>
        <w:rPr>
          <w:rFonts w:hint="eastAsia" w:ascii="宋体" w:hAnsi="宋体" w:eastAsia="宋体" w:cs="宋体"/>
          <w:b/>
          <w:bCs w:val="0"/>
          <w:spacing w:val="6"/>
          <w:szCs w:val="21"/>
          <w:lang w:val="en-US" w:eastAsia="zh-CN"/>
        </w:rPr>
        <w:t>项目建设</w:t>
      </w:r>
      <w:bookmarkEnd w:id="288"/>
      <w:bookmarkEnd w:id="289"/>
      <w:r>
        <w:rPr>
          <w:rFonts w:hint="eastAsia" w:ascii="宋体" w:hAnsi="宋体" w:eastAsia="宋体" w:cs="宋体"/>
          <w:b/>
          <w:bCs w:val="0"/>
          <w:spacing w:val="6"/>
          <w:szCs w:val="21"/>
          <w:lang w:val="en-US" w:eastAsia="zh-CN"/>
        </w:rPr>
        <w:t>目标</w:t>
      </w:r>
      <w:bookmarkEnd w:id="292"/>
      <w:bookmarkEnd w:id="293"/>
    </w:p>
    <w:p w14:paraId="3BF21FE8">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本项目定位于建立医院精细的成本核算体系，体现成本一体化核算的流程化、精细化、智能化应用诉求，有效提升采购方的成本管理水平。具体目标如下：</w:t>
      </w:r>
    </w:p>
    <w:p w14:paraId="1EDDECFD">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统一平台：本项目建设要求基于统一平台完成科室、项目、病种成本一体化系统的建设，同时完善采购方成本管理体系的建设，实现用精准核算支撑成本管控、管理决策的成本一体化的管理目标。</w:t>
      </w:r>
    </w:p>
    <w:p w14:paraId="77B2E8FB">
      <w:pPr>
        <w:pStyle w:val="110"/>
        <w:pageBreakBefore w:val="0"/>
        <w:kinsoku/>
        <w:wordWrap/>
        <w:overflowPunct/>
        <w:topLinePunct w:val="0"/>
        <w:autoSpaceDE/>
        <w:autoSpaceDN/>
        <w:bidi w:val="0"/>
        <w:adjustRightInd/>
        <w:snapToGrid/>
        <w:spacing w:line="420" w:lineRule="exact"/>
        <w:textAlignment w:val="auto"/>
        <w:rPr>
          <w:rFonts w:hint="default" w:ascii="宋体" w:hAnsi="宋体" w:eastAsia="宋体" w:cs="宋体"/>
          <w:bCs/>
          <w:spacing w:val="6"/>
          <w:szCs w:val="21"/>
          <w:lang w:val="en-US" w:eastAsia="zh-CN"/>
        </w:rPr>
      </w:pPr>
      <w:r>
        <w:rPr>
          <w:rFonts w:hint="eastAsia" w:ascii="宋体" w:hAnsi="宋体" w:eastAsia="宋体" w:cs="宋体"/>
          <w:bCs/>
          <w:spacing w:val="6"/>
          <w:szCs w:val="21"/>
          <w:lang w:val="en-US" w:eastAsia="zh-CN"/>
        </w:rPr>
        <w:t>制定标准：依据采购方成本管理战略要求，结合采购方成本管理的现状，制定核算方案，梳理核算单元、分摊方法，建立符合采购方自身发展的成本核算体系，为采购方实现成本管理提供支撑，为进一步的成本管控铺平道路。</w:t>
      </w:r>
    </w:p>
    <w:p w14:paraId="53C1E6B3">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支撑核算：实现科室成本、诊次成本、床日成本、医疗服务项目成本、DRG/DIP成本核算，清洗、治理、标化基础数据，明确数据质量规则，提升成本核算的数据质量，为管理应用提供数据支撑。</w:t>
      </w:r>
    </w:p>
    <w:p w14:paraId="4F2D4DF6">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bookmarkStart w:id="294" w:name="_Toc205288527"/>
      <w:bookmarkStart w:id="295" w:name="_Toc4868"/>
      <w:r>
        <w:rPr>
          <w:rFonts w:hint="eastAsia" w:ascii="宋体" w:hAnsi="宋体" w:eastAsia="宋体" w:cs="宋体"/>
          <w:b/>
          <w:bCs w:val="0"/>
          <w:spacing w:val="6"/>
          <w:szCs w:val="21"/>
          <w:lang w:val="en-US" w:eastAsia="zh-CN"/>
        </w:rPr>
        <w:t>1.4 项目建设内容</w:t>
      </w:r>
      <w:bookmarkEnd w:id="290"/>
      <w:bookmarkEnd w:id="291"/>
      <w:bookmarkEnd w:id="294"/>
      <w:bookmarkEnd w:id="295"/>
    </w:p>
    <w:p w14:paraId="64F1C40C">
      <w:pPr>
        <w:ind w:firstLine="560"/>
        <w:rPr>
          <w:rFonts w:hint="eastAsia" w:ascii="仿宋" w:hAnsi="仿宋" w:cs="仿宋"/>
        </w:rPr>
      </w:pPr>
      <w:r>
        <w:rPr>
          <w:rFonts w:hint="eastAsia" w:ascii="仿宋" w:hAnsi="仿宋" w:cs="仿宋"/>
        </w:rPr>
        <w:t>项目建设内容如下：</w:t>
      </w:r>
    </w:p>
    <w:tbl>
      <w:tblPr>
        <w:tblStyle w:val="27"/>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7950"/>
      </w:tblGrid>
      <w:tr w14:paraId="3320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220" w:type="dxa"/>
            <w:gridSpan w:val="2"/>
            <w:vAlign w:val="center"/>
          </w:tcPr>
          <w:p w14:paraId="2AEE451B">
            <w:pPr>
              <w:jc w:val="center"/>
              <w:rPr>
                <w:rFonts w:hint="eastAsia" w:ascii="仿宋" w:hAnsi="仿宋" w:cs="仿宋"/>
                <w:vertAlign w:val="baseline"/>
              </w:rPr>
            </w:pPr>
            <w:r>
              <w:rPr>
                <w:rFonts w:hint="eastAsia" w:ascii="宋体" w:hAnsi="宋体" w:eastAsia="宋体" w:cs="宋体"/>
                <w:b/>
                <w:sz w:val="21"/>
                <w:szCs w:val="21"/>
              </w:rPr>
              <w:t>成本管理数据服务</w:t>
            </w:r>
          </w:p>
        </w:tc>
      </w:tr>
      <w:tr w14:paraId="3519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70" w:type="dxa"/>
            <w:vAlign w:val="center"/>
          </w:tcPr>
          <w:p w14:paraId="3FEDDF46">
            <w:pPr>
              <w:jc w:val="center"/>
              <w:rPr>
                <w:rFonts w:hint="eastAsia" w:ascii="仿宋" w:hAnsi="仿宋" w:eastAsia="宋体" w:cs="仿宋"/>
                <w:vertAlign w:val="baseline"/>
                <w:lang w:val="en-US" w:eastAsia="zh-CN"/>
              </w:rPr>
            </w:pPr>
            <w:r>
              <w:rPr>
                <w:rFonts w:hint="eastAsia" w:ascii="仿宋" w:hAnsi="仿宋" w:cs="仿宋"/>
                <w:vertAlign w:val="baseline"/>
                <w:lang w:val="en-US" w:eastAsia="zh-CN"/>
              </w:rPr>
              <w:t>1</w:t>
            </w:r>
          </w:p>
        </w:tc>
        <w:tc>
          <w:tcPr>
            <w:tcW w:w="7950" w:type="dxa"/>
            <w:vAlign w:val="center"/>
          </w:tcPr>
          <w:p w14:paraId="431BFBB5">
            <w:pPr>
              <w:jc w:val="left"/>
              <w:rPr>
                <w:rFonts w:hint="eastAsia" w:ascii="仿宋" w:hAnsi="仿宋" w:cs="仿宋"/>
                <w:vertAlign w:val="baseline"/>
              </w:rPr>
            </w:pPr>
            <w:r>
              <w:rPr>
                <w:rFonts w:hint="eastAsia" w:ascii="宋体" w:hAnsi="宋体" w:eastAsia="宋体" w:cs="宋体"/>
                <w:sz w:val="21"/>
                <w:szCs w:val="21"/>
              </w:rPr>
              <w:t>成本核算方案设计服务</w:t>
            </w:r>
          </w:p>
        </w:tc>
      </w:tr>
      <w:tr w14:paraId="4FF5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220" w:type="dxa"/>
            <w:gridSpan w:val="2"/>
            <w:vAlign w:val="center"/>
          </w:tcPr>
          <w:p w14:paraId="58C7D4EA">
            <w:pPr>
              <w:jc w:val="center"/>
              <w:rPr>
                <w:rFonts w:hint="eastAsia" w:ascii="仿宋" w:hAnsi="仿宋" w:cs="仿宋"/>
                <w:vertAlign w:val="baseline"/>
              </w:rPr>
            </w:pPr>
            <w:r>
              <w:rPr>
                <w:rFonts w:hint="eastAsia" w:ascii="宋体" w:hAnsi="宋体" w:eastAsia="宋体" w:cs="宋体"/>
                <w:b/>
                <w:sz w:val="21"/>
                <w:szCs w:val="21"/>
              </w:rPr>
              <w:t>成本核算信息系统</w:t>
            </w:r>
          </w:p>
        </w:tc>
      </w:tr>
      <w:tr w14:paraId="1CE4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70" w:type="dxa"/>
            <w:vAlign w:val="center"/>
          </w:tcPr>
          <w:p w14:paraId="1D4F2BE9">
            <w:pPr>
              <w:jc w:val="center"/>
              <w:rPr>
                <w:rFonts w:hint="eastAsia" w:ascii="仿宋" w:hAnsi="仿宋" w:eastAsia="宋体" w:cs="仿宋"/>
                <w:vertAlign w:val="baseline"/>
                <w:lang w:val="en-US" w:eastAsia="zh-CN"/>
              </w:rPr>
            </w:pPr>
            <w:r>
              <w:rPr>
                <w:rFonts w:hint="eastAsia" w:ascii="仿宋" w:hAnsi="仿宋" w:cs="仿宋"/>
                <w:vertAlign w:val="baseline"/>
                <w:lang w:val="en-US" w:eastAsia="zh-CN"/>
              </w:rPr>
              <w:t>2</w:t>
            </w:r>
          </w:p>
        </w:tc>
        <w:tc>
          <w:tcPr>
            <w:tcW w:w="7950" w:type="dxa"/>
            <w:vAlign w:val="center"/>
          </w:tcPr>
          <w:p w14:paraId="35CF1354">
            <w:pPr>
              <w:jc w:val="left"/>
              <w:rPr>
                <w:rFonts w:hint="eastAsia" w:ascii="仿宋" w:hAnsi="仿宋" w:cs="仿宋"/>
                <w:vertAlign w:val="baseline"/>
              </w:rPr>
            </w:pPr>
            <w:r>
              <w:rPr>
                <w:rFonts w:hint="eastAsia" w:ascii="宋体" w:hAnsi="宋体" w:eastAsia="宋体" w:cs="宋体"/>
                <w:sz w:val="21"/>
                <w:szCs w:val="21"/>
              </w:rPr>
              <w:t>系统管理平台</w:t>
            </w:r>
          </w:p>
        </w:tc>
      </w:tr>
      <w:tr w14:paraId="6A8C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70" w:type="dxa"/>
            <w:vAlign w:val="center"/>
          </w:tcPr>
          <w:p w14:paraId="10DD665E">
            <w:pPr>
              <w:jc w:val="center"/>
              <w:rPr>
                <w:rFonts w:hint="eastAsia" w:ascii="仿宋" w:hAnsi="仿宋" w:eastAsia="宋体" w:cs="仿宋"/>
                <w:vertAlign w:val="baseline"/>
                <w:lang w:val="en-US" w:eastAsia="zh-CN"/>
              </w:rPr>
            </w:pPr>
            <w:r>
              <w:rPr>
                <w:rFonts w:hint="eastAsia" w:ascii="仿宋" w:hAnsi="仿宋" w:cs="仿宋"/>
                <w:vertAlign w:val="baseline"/>
                <w:lang w:val="en-US" w:eastAsia="zh-CN"/>
              </w:rPr>
              <w:t>3</w:t>
            </w:r>
          </w:p>
        </w:tc>
        <w:tc>
          <w:tcPr>
            <w:tcW w:w="7950" w:type="dxa"/>
            <w:vAlign w:val="center"/>
          </w:tcPr>
          <w:p w14:paraId="68017BC3">
            <w:pPr>
              <w:jc w:val="left"/>
              <w:rPr>
                <w:rFonts w:hint="eastAsia" w:ascii="仿宋" w:hAnsi="仿宋" w:cs="仿宋"/>
                <w:vertAlign w:val="baseline"/>
              </w:rPr>
            </w:pPr>
            <w:r>
              <w:rPr>
                <w:rFonts w:hint="eastAsia" w:ascii="宋体" w:hAnsi="宋体" w:eastAsia="宋体" w:cs="宋体"/>
                <w:sz w:val="21"/>
                <w:szCs w:val="21"/>
              </w:rPr>
              <w:t>科室成本管理系统</w:t>
            </w:r>
          </w:p>
        </w:tc>
      </w:tr>
      <w:tr w14:paraId="54EF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70" w:type="dxa"/>
            <w:vAlign w:val="center"/>
          </w:tcPr>
          <w:p w14:paraId="54394F70">
            <w:pPr>
              <w:jc w:val="center"/>
              <w:rPr>
                <w:rFonts w:hint="eastAsia" w:ascii="仿宋" w:hAnsi="仿宋" w:eastAsia="宋体" w:cs="仿宋"/>
                <w:vertAlign w:val="baseline"/>
                <w:lang w:val="en-US" w:eastAsia="zh-CN"/>
              </w:rPr>
            </w:pPr>
            <w:r>
              <w:rPr>
                <w:rFonts w:hint="eastAsia" w:ascii="仿宋" w:hAnsi="仿宋" w:cs="仿宋"/>
                <w:vertAlign w:val="baseline"/>
                <w:lang w:val="en-US" w:eastAsia="zh-CN"/>
              </w:rPr>
              <w:t>4</w:t>
            </w:r>
          </w:p>
        </w:tc>
        <w:tc>
          <w:tcPr>
            <w:tcW w:w="7950" w:type="dxa"/>
            <w:vAlign w:val="center"/>
          </w:tcPr>
          <w:p w14:paraId="20A3B2FD">
            <w:pPr>
              <w:jc w:val="left"/>
              <w:rPr>
                <w:rFonts w:hint="eastAsia" w:ascii="仿宋" w:hAnsi="仿宋" w:cs="仿宋"/>
                <w:vertAlign w:val="baseline"/>
              </w:rPr>
            </w:pPr>
            <w:r>
              <w:rPr>
                <w:rFonts w:hint="eastAsia" w:ascii="宋体" w:hAnsi="宋体" w:eastAsia="宋体" w:cs="宋体"/>
                <w:sz w:val="21"/>
                <w:szCs w:val="21"/>
              </w:rPr>
              <w:t>医疗服务项目成本管理系统</w:t>
            </w:r>
          </w:p>
        </w:tc>
      </w:tr>
      <w:tr w14:paraId="07D0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70" w:type="dxa"/>
            <w:vAlign w:val="center"/>
          </w:tcPr>
          <w:p w14:paraId="74ED158F">
            <w:pPr>
              <w:jc w:val="center"/>
              <w:rPr>
                <w:rFonts w:hint="eastAsia" w:ascii="仿宋" w:hAnsi="仿宋" w:eastAsia="宋体" w:cs="仿宋"/>
                <w:vertAlign w:val="baseline"/>
                <w:lang w:val="en-US" w:eastAsia="zh-CN"/>
              </w:rPr>
            </w:pPr>
            <w:r>
              <w:rPr>
                <w:rFonts w:hint="eastAsia" w:ascii="仿宋" w:hAnsi="仿宋" w:cs="仿宋"/>
                <w:vertAlign w:val="baseline"/>
                <w:lang w:val="en-US" w:eastAsia="zh-CN"/>
              </w:rPr>
              <w:t>5</w:t>
            </w:r>
          </w:p>
        </w:tc>
        <w:tc>
          <w:tcPr>
            <w:tcW w:w="7950" w:type="dxa"/>
            <w:vAlign w:val="center"/>
          </w:tcPr>
          <w:p w14:paraId="1A16F2BA">
            <w:pPr>
              <w:jc w:val="left"/>
              <w:rPr>
                <w:rFonts w:hint="eastAsia" w:ascii="仿宋" w:hAnsi="仿宋" w:cs="仿宋"/>
                <w:vertAlign w:val="baseline"/>
              </w:rPr>
            </w:pPr>
            <w:r>
              <w:rPr>
                <w:rFonts w:hint="eastAsia" w:ascii="宋体" w:hAnsi="宋体" w:eastAsia="宋体" w:cs="宋体"/>
                <w:sz w:val="21"/>
                <w:szCs w:val="21"/>
              </w:rPr>
              <w:t>病种成本管理系统</w:t>
            </w:r>
          </w:p>
        </w:tc>
      </w:tr>
      <w:tr w14:paraId="7A62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0" w:type="dxa"/>
            <w:vAlign w:val="center"/>
          </w:tcPr>
          <w:p w14:paraId="28D125AF">
            <w:pPr>
              <w:jc w:val="center"/>
              <w:rPr>
                <w:rFonts w:hint="eastAsia" w:ascii="仿宋" w:hAnsi="仿宋" w:eastAsia="宋体" w:cs="仿宋"/>
                <w:vertAlign w:val="baseline"/>
                <w:lang w:val="en-US" w:eastAsia="zh-CN"/>
              </w:rPr>
            </w:pPr>
            <w:r>
              <w:rPr>
                <w:rFonts w:hint="eastAsia" w:ascii="仿宋" w:hAnsi="仿宋" w:cs="仿宋"/>
                <w:vertAlign w:val="baseline"/>
                <w:lang w:val="en-US" w:eastAsia="zh-CN"/>
              </w:rPr>
              <w:t>6</w:t>
            </w:r>
          </w:p>
        </w:tc>
        <w:tc>
          <w:tcPr>
            <w:tcW w:w="7950" w:type="dxa"/>
            <w:vAlign w:val="center"/>
          </w:tcPr>
          <w:p w14:paraId="090488B8">
            <w:pPr>
              <w:jc w:val="left"/>
              <w:rPr>
                <w:rFonts w:hint="eastAsia" w:ascii="仿宋" w:hAnsi="仿宋" w:cs="仿宋"/>
                <w:vertAlign w:val="baseline"/>
              </w:rPr>
            </w:pPr>
            <w:r>
              <w:rPr>
                <w:rFonts w:hint="eastAsia" w:ascii="宋体" w:hAnsi="宋体" w:eastAsia="宋体" w:cs="宋体"/>
                <w:sz w:val="21"/>
                <w:szCs w:val="21"/>
              </w:rPr>
              <w:t>DIP成本管理系统</w:t>
            </w:r>
          </w:p>
        </w:tc>
      </w:tr>
    </w:tbl>
    <w:p w14:paraId="14F54876">
      <w:pPr>
        <w:pStyle w:val="4"/>
        <w:pageBreakBefore w:val="0"/>
        <w:kinsoku/>
        <w:wordWrap/>
        <w:overflowPunct/>
        <w:topLinePunct w:val="0"/>
        <w:autoSpaceDE/>
        <w:autoSpaceDN/>
        <w:bidi w:val="0"/>
        <w:adjustRightInd/>
        <w:snapToGrid/>
        <w:spacing w:line="420" w:lineRule="exact"/>
        <w:textAlignment w:val="auto"/>
        <w:rPr>
          <w:rFonts w:hint="eastAsia" w:ascii="Times New Roman" w:hAnsi="Times New Roman" w:eastAsia="黑体" w:cs="Times New Roman"/>
          <w:b w:val="0"/>
          <w:bCs w:val="0"/>
          <w:spacing w:val="0"/>
          <w:sz w:val="28"/>
          <w:szCs w:val="28"/>
          <w:lang w:val="en-US" w:eastAsia="zh-CN"/>
        </w:rPr>
      </w:pPr>
      <w:bookmarkStart w:id="296" w:name="_Toc127548234"/>
      <w:bookmarkStart w:id="297" w:name="_Toc530822851"/>
      <w:bookmarkStart w:id="298" w:name="_Toc9773"/>
      <w:r>
        <w:rPr>
          <w:rFonts w:hint="eastAsia" w:ascii="Times New Roman" w:hAnsi="Times New Roman" w:eastAsia="黑体" w:cs="Times New Roman"/>
          <w:b w:val="0"/>
          <w:bCs w:val="0"/>
          <w:spacing w:val="0"/>
          <w:sz w:val="28"/>
          <w:szCs w:val="28"/>
          <w:lang w:val="en-US" w:eastAsia="zh-CN"/>
        </w:rPr>
        <w:t xml:space="preserve">2. </w:t>
      </w:r>
      <w:bookmarkStart w:id="299" w:name="_Toc205288528"/>
      <w:bookmarkStart w:id="300" w:name="_Toc19965"/>
      <w:r>
        <w:rPr>
          <w:rFonts w:hint="eastAsia" w:ascii="Times New Roman" w:hAnsi="Times New Roman" w:eastAsia="黑体" w:cs="Times New Roman"/>
          <w:b w:val="0"/>
          <w:bCs w:val="0"/>
          <w:spacing w:val="0"/>
          <w:sz w:val="28"/>
          <w:szCs w:val="28"/>
          <w:lang w:val="en-US" w:eastAsia="zh-CN"/>
        </w:rPr>
        <w:t>项目技术</w:t>
      </w:r>
      <w:bookmarkEnd w:id="296"/>
      <w:bookmarkEnd w:id="297"/>
      <w:bookmarkStart w:id="301" w:name="_Toc332039870"/>
      <w:bookmarkStart w:id="302" w:name="_Toc296011138"/>
      <w:bookmarkStart w:id="303" w:name="_Toc288657535"/>
      <w:bookmarkStart w:id="304" w:name="_Toc288663536"/>
      <w:bookmarkStart w:id="305" w:name="_Toc530822865"/>
      <w:bookmarkStart w:id="306" w:name="_Toc331574648"/>
      <w:bookmarkStart w:id="307" w:name="_Toc330914118"/>
      <w:r>
        <w:rPr>
          <w:rFonts w:hint="eastAsia" w:ascii="Times New Roman" w:hAnsi="Times New Roman" w:eastAsia="黑体" w:cs="Times New Roman"/>
          <w:b w:val="0"/>
          <w:bCs w:val="0"/>
          <w:spacing w:val="0"/>
          <w:sz w:val="28"/>
          <w:szCs w:val="28"/>
          <w:lang w:val="en-US" w:eastAsia="zh-CN"/>
        </w:rPr>
        <w:t>参数</w:t>
      </w:r>
      <w:bookmarkEnd w:id="298"/>
      <w:bookmarkEnd w:id="299"/>
      <w:bookmarkEnd w:id="300"/>
    </w:p>
    <w:p w14:paraId="53228BFA">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bookmarkStart w:id="308" w:name="_Toc151589592"/>
      <w:bookmarkStart w:id="309" w:name="_Toc127548235"/>
      <w:r>
        <w:rPr>
          <w:rFonts w:hint="eastAsia" w:ascii="宋体" w:hAnsi="宋体" w:eastAsia="宋体" w:cs="宋体"/>
          <w:b/>
          <w:bCs w:val="0"/>
          <w:spacing w:val="6"/>
          <w:szCs w:val="21"/>
          <w:lang w:val="en-US" w:eastAsia="zh-CN"/>
        </w:rPr>
        <w:t xml:space="preserve">2.1 </w:t>
      </w:r>
      <w:bookmarkStart w:id="310" w:name="_Toc205288529"/>
      <w:bookmarkStart w:id="311" w:name="_Toc5604"/>
      <w:r>
        <w:rPr>
          <w:rFonts w:hint="eastAsia" w:ascii="宋体" w:hAnsi="宋体" w:eastAsia="宋体" w:cs="宋体"/>
          <w:b/>
          <w:bCs w:val="0"/>
          <w:spacing w:val="6"/>
          <w:szCs w:val="21"/>
          <w:lang w:val="en-US" w:eastAsia="zh-CN"/>
        </w:rPr>
        <w:t>整体要求</w:t>
      </w:r>
      <w:bookmarkEnd w:id="310"/>
      <w:bookmarkEnd w:id="311"/>
    </w:p>
    <w:p w14:paraId="7B4FAF74">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本次报价包含所有与招标内容有关的一切费用，在项目实施和售后维护期间内，招标人或使用方不再另行支付本项目范围内的任何费用，如有其他新增政策实施或重大需求变更由双方协商解决。项目的整体要求如下：</w:t>
      </w:r>
    </w:p>
    <w:p w14:paraId="4C0E0AEC">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1）系统采用B/S架构：系统各模块需采用同一技术架构，在统一的底层基础平台上进行设计，PC端采用B/S技术架构实现，能在Windows XP、Windows 7、Windows 10及以上版本的操作系统上运行，兼容IE8.0及以上版本、Chrome等市场主流浏览器。</w:t>
      </w:r>
    </w:p>
    <w:p w14:paraId="70636F1E">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2）与第三方信息系统的数据交换：提供与采购方客户第三方系统或集成平台统一接口的维护与管理系统，实现针对HIS、EMR等关键医疗业务信息系统的数据交换。</w:t>
      </w:r>
    </w:p>
    <w:p w14:paraId="553E0EE9">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3）关键技术：根据采购方一体化应用功能需求和相关建设规范，考虑到系统运行的长远规划，以及整个系统的跨平台性、安全性、可靠性、稳定性、易维护性以及可扩展性，建议采用J2EE架构来设计。</w:t>
      </w:r>
    </w:p>
    <w:p w14:paraId="6F603E20">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4）先进性：系统要利用一些现行的、技术成熟的开发工具来辅助完成系统建设。</w:t>
      </w:r>
    </w:p>
    <w:p w14:paraId="01AEBD90">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5）健壮性：系统稳定可靠，保证每周7*24小时不间断正常运行，工作日期间不能宕机，年平均宕机时间应小于8小时。</w:t>
      </w:r>
    </w:p>
    <w:p w14:paraId="1AC4E7F5">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6）灵活性：建立灵活多样的多字段查询功能，为用户的组合查询、统计分析和信息利用提供方便。设计多种数据导出格式，如 Excel 和 XML格式，满足不同用户的数据分析输出需要。建立合理、多样、灵活的数据采集方式，满足不同发展水平的医疗单位的需要。</w:t>
      </w:r>
    </w:p>
    <w:p w14:paraId="39737AB3">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7）延展性：数据库结构的设计应充分考虑发展和移植的需要，建立系统良好的扩展性和伸缩性，适度冗余也是系统建设的必要环节。</w:t>
      </w:r>
    </w:p>
    <w:p w14:paraId="76A19726">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8）完整性：在数据的采集和数据交换环节要确保数据的完整性。</w:t>
      </w:r>
    </w:p>
    <w:p w14:paraId="2885906B">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9）友好性：人机界面设计简洁美观、风格统一，利于基层业务人员简单操作。</w:t>
      </w:r>
    </w:p>
    <w:p w14:paraId="38AF492D">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10）本项目建设所需的服务器端、客户端及网络环境配置（如服务器、网络、操作系统、中间件等环境因素），需由投标人给出建议方案。</w:t>
      </w:r>
    </w:p>
    <w:p w14:paraId="2FB252F3">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11）系统全面支持信创，需满足正版操作系统及数据库等软件授权，满足医院国产化部署要求。</w:t>
      </w:r>
    </w:p>
    <w:p w14:paraId="3F174BB5">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r>
        <w:rPr>
          <w:rFonts w:hint="eastAsia" w:ascii="宋体" w:hAnsi="宋体" w:eastAsia="宋体" w:cs="宋体"/>
          <w:b/>
          <w:bCs w:val="0"/>
          <w:spacing w:val="6"/>
          <w:szCs w:val="21"/>
          <w:lang w:val="en-US" w:eastAsia="zh-CN"/>
        </w:rPr>
        <w:t xml:space="preserve">2.2 </w:t>
      </w:r>
      <w:bookmarkStart w:id="312" w:name="_Toc205288530"/>
      <w:bookmarkStart w:id="313" w:name="_Toc9769"/>
      <w:r>
        <w:rPr>
          <w:rFonts w:hint="eastAsia" w:ascii="宋体" w:hAnsi="宋体" w:eastAsia="宋体" w:cs="宋体"/>
          <w:b/>
          <w:bCs w:val="0"/>
          <w:spacing w:val="6"/>
          <w:szCs w:val="21"/>
          <w:lang w:val="en-US" w:eastAsia="zh-CN"/>
        </w:rPr>
        <w:t>成本管理数据服务</w:t>
      </w:r>
      <w:bookmarkEnd w:id="312"/>
      <w:bookmarkEnd w:id="313"/>
    </w:p>
    <w:p w14:paraId="240BC6CD">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bookmarkStart w:id="314" w:name="_Toc36992246"/>
      <w:bookmarkStart w:id="315" w:name="_Toc71543957"/>
      <w:r>
        <w:rPr>
          <w:rFonts w:hint="eastAsia" w:ascii="宋体" w:hAnsi="宋体" w:eastAsia="宋体" w:cs="宋体"/>
          <w:b/>
          <w:bCs w:val="0"/>
          <w:spacing w:val="6"/>
          <w:szCs w:val="21"/>
          <w:lang w:val="en-US" w:eastAsia="zh-CN"/>
        </w:rPr>
        <w:t xml:space="preserve">2.2.1 </w:t>
      </w:r>
      <w:bookmarkStart w:id="316" w:name="_Toc1562"/>
      <w:bookmarkStart w:id="317" w:name="_Toc205288531"/>
      <w:r>
        <w:rPr>
          <w:rFonts w:hint="eastAsia" w:ascii="宋体" w:hAnsi="宋体" w:eastAsia="宋体" w:cs="宋体"/>
          <w:b/>
          <w:bCs w:val="0"/>
          <w:spacing w:val="6"/>
          <w:szCs w:val="21"/>
          <w:lang w:val="en-US" w:eastAsia="zh-CN"/>
        </w:rPr>
        <w:t>成本核算方案设计</w:t>
      </w:r>
      <w:bookmarkEnd w:id="314"/>
      <w:bookmarkEnd w:id="315"/>
      <w:bookmarkEnd w:id="316"/>
      <w:bookmarkEnd w:id="317"/>
    </w:p>
    <w:p w14:paraId="008A403A">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需提供包括成本核算单元设计、成本项目设计、科室成本分摊方案、医疗服务项目成本核算方法、DIP成本核算方法、成本报表体系设计的一整套成本核算方案设计服务。准确的成本数据是成本管理的前提。建立完善的成本核算体系可以保证及时准确的为医院成本管理活动提供数据支撑。</w:t>
      </w:r>
    </w:p>
    <w:p w14:paraId="5717BA91">
      <w:pPr>
        <w:pStyle w:val="110"/>
        <w:pageBreakBefore w:val="0"/>
        <w:kinsoku/>
        <w:wordWrap/>
        <w:overflowPunct/>
        <w:topLinePunct w:val="0"/>
        <w:autoSpaceDE/>
        <w:autoSpaceDN/>
        <w:bidi w:val="0"/>
        <w:adjustRightInd/>
        <w:snapToGrid/>
        <w:spacing w:line="420" w:lineRule="exact"/>
        <w:textAlignment w:val="auto"/>
        <w:rPr>
          <w:rFonts w:ascii="仿宋" w:hAnsi="仿宋" w:cs="仿宋"/>
          <w:szCs w:val="28"/>
        </w:rPr>
      </w:pPr>
      <w:r>
        <w:rPr>
          <w:rFonts w:hint="eastAsia" w:ascii="宋体" w:hAnsi="宋体" w:eastAsia="宋体" w:cs="宋体"/>
          <w:bCs/>
          <w:spacing w:val="6"/>
          <w:szCs w:val="21"/>
          <w:lang w:val="en-US" w:eastAsia="zh-CN"/>
        </w:rPr>
        <w:t>依据医院成本管理诊断结果及未来规划，合理设计成本核算单元、成本项目。在成本分摊方案上，重点梳理核算单元间的内部联系及逻辑关系，规划不同要素间的成本分摊方法，以保障成本分摊的准确性。同时为医院设计成本管理报表，满足医院管理诉求。</w:t>
      </w:r>
    </w:p>
    <w:p w14:paraId="18B2D6CA">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r>
        <w:rPr>
          <w:rFonts w:hint="eastAsia"/>
          <w:lang w:val="en-US" w:eastAsia="zh-CN"/>
        </w:rPr>
        <w:t>2.3</w:t>
      </w:r>
      <w:r>
        <w:t xml:space="preserve"> </w:t>
      </w:r>
      <w:bookmarkStart w:id="318" w:name="_Toc205288532"/>
      <w:bookmarkStart w:id="319" w:name="_Toc29371"/>
      <w:r>
        <w:rPr>
          <w:rFonts w:hint="eastAsia" w:ascii="宋体" w:hAnsi="宋体" w:eastAsia="宋体" w:cs="宋体"/>
          <w:b/>
          <w:bCs w:val="0"/>
          <w:spacing w:val="6"/>
          <w:szCs w:val="21"/>
          <w:lang w:val="en-US" w:eastAsia="zh-CN"/>
        </w:rPr>
        <w:t>成本核算信息系统</w:t>
      </w:r>
      <w:bookmarkEnd w:id="318"/>
      <w:bookmarkEnd w:id="319"/>
    </w:p>
    <w:p w14:paraId="3B17085B">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r>
        <w:rPr>
          <w:rFonts w:hint="eastAsia" w:ascii="宋体" w:hAnsi="宋体" w:eastAsia="宋体" w:cs="宋体"/>
          <w:b/>
          <w:bCs w:val="0"/>
          <w:spacing w:val="6"/>
          <w:szCs w:val="21"/>
          <w:lang w:val="en-US" w:eastAsia="zh-CN"/>
        </w:rPr>
        <w:t xml:space="preserve">2.3.1 </w:t>
      </w:r>
      <w:bookmarkStart w:id="320" w:name="_Toc205288533"/>
      <w:bookmarkStart w:id="321" w:name="_Toc11438"/>
      <w:r>
        <w:rPr>
          <w:rFonts w:hint="eastAsia" w:ascii="宋体" w:hAnsi="宋体" w:eastAsia="宋体" w:cs="宋体"/>
          <w:b/>
          <w:bCs w:val="0"/>
          <w:spacing w:val="6"/>
          <w:szCs w:val="21"/>
          <w:lang w:val="en-US" w:eastAsia="zh-CN"/>
        </w:rPr>
        <w:t>系统管理平台</w:t>
      </w:r>
      <w:bookmarkEnd w:id="308"/>
      <w:bookmarkEnd w:id="320"/>
      <w:bookmarkEnd w:id="321"/>
    </w:p>
    <w:p w14:paraId="01A0D5B8">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r>
        <w:rPr>
          <w:rFonts w:hint="eastAsia" w:ascii="宋体" w:hAnsi="宋体" w:eastAsia="宋体" w:cs="宋体"/>
          <w:b/>
          <w:bCs w:val="0"/>
          <w:spacing w:val="6"/>
          <w:szCs w:val="21"/>
          <w:lang w:val="en-US" w:eastAsia="zh-CN"/>
        </w:rPr>
        <w:t xml:space="preserve">2.3.1.1 </w:t>
      </w:r>
      <w:bookmarkStart w:id="322" w:name="_Toc205288534"/>
      <w:bookmarkStart w:id="323" w:name="_Toc25294"/>
      <w:r>
        <w:rPr>
          <w:rFonts w:hint="eastAsia" w:ascii="宋体" w:hAnsi="宋体" w:eastAsia="宋体" w:cs="宋体"/>
          <w:b/>
          <w:bCs w:val="0"/>
          <w:spacing w:val="6"/>
          <w:szCs w:val="21"/>
          <w:lang w:val="en-US" w:eastAsia="zh-CN"/>
        </w:rPr>
        <w:t>基础信息管理</w:t>
      </w:r>
      <w:bookmarkEnd w:id="322"/>
      <w:bookmarkEnd w:id="323"/>
    </w:p>
    <w:p w14:paraId="2B48390A">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系统需提供组织架构、职工、收入、成本、物资、资产、药品、供应商等信息的维护功能以及其他基础数据的字典管理功能。</w:t>
      </w:r>
    </w:p>
    <w:p w14:paraId="2CCEA1D9">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支持对数据字典的添加、删除、修改、查询、导入等功能。</w:t>
      </w:r>
    </w:p>
    <w:p w14:paraId="6D7B3E80">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r>
        <w:rPr>
          <w:rFonts w:hint="eastAsia" w:ascii="宋体" w:hAnsi="宋体" w:eastAsia="宋体" w:cs="宋体"/>
          <w:b/>
          <w:bCs w:val="0"/>
          <w:spacing w:val="6"/>
          <w:szCs w:val="21"/>
          <w:lang w:val="en-US" w:eastAsia="zh-CN"/>
        </w:rPr>
        <w:t xml:space="preserve">2.3.1.2 </w:t>
      </w:r>
      <w:bookmarkStart w:id="324" w:name="_Toc205288535"/>
      <w:bookmarkStart w:id="325" w:name="_Toc23800"/>
      <w:r>
        <w:rPr>
          <w:rFonts w:hint="eastAsia" w:ascii="宋体" w:hAnsi="宋体" w:eastAsia="宋体" w:cs="宋体"/>
          <w:b/>
          <w:bCs w:val="0"/>
          <w:spacing w:val="6"/>
          <w:szCs w:val="21"/>
          <w:lang w:val="en-US" w:eastAsia="zh-CN"/>
        </w:rPr>
        <w:t>参数管理</w:t>
      </w:r>
      <w:bookmarkEnd w:id="324"/>
      <w:bookmarkEnd w:id="325"/>
    </w:p>
    <w:p w14:paraId="27D3C3BF">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支持系统参数的配置管理，系统可内置参数配置项，根据管理需求自行调节参数，满足单位灵活运用。</w:t>
      </w:r>
    </w:p>
    <w:p w14:paraId="44CB1D5D">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r>
        <w:rPr>
          <w:rFonts w:hint="eastAsia" w:ascii="宋体" w:hAnsi="宋体" w:eastAsia="宋体" w:cs="宋体"/>
          <w:b/>
          <w:bCs w:val="0"/>
          <w:spacing w:val="6"/>
          <w:szCs w:val="21"/>
          <w:lang w:val="en-US" w:eastAsia="zh-CN"/>
        </w:rPr>
        <w:t xml:space="preserve">2.3.1.3 </w:t>
      </w:r>
      <w:bookmarkStart w:id="326" w:name="_Toc32651"/>
      <w:bookmarkStart w:id="327" w:name="_Toc205288536"/>
      <w:r>
        <w:rPr>
          <w:rFonts w:hint="eastAsia" w:ascii="宋体" w:hAnsi="宋体" w:eastAsia="宋体" w:cs="宋体"/>
          <w:b/>
          <w:bCs w:val="0"/>
          <w:spacing w:val="6"/>
          <w:szCs w:val="21"/>
          <w:lang w:val="en-US" w:eastAsia="zh-CN"/>
        </w:rPr>
        <w:t>系统管理</w:t>
      </w:r>
      <w:bookmarkEnd w:id="326"/>
      <w:bookmarkEnd w:id="327"/>
    </w:p>
    <w:p w14:paraId="269BE61E">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val="0"/>
          <w:bCs/>
          <w:spacing w:val="6"/>
          <w:szCs w:val="21"/>
          <w:lang w:val="en-US" w:eastAsia="zh-CN"/>
        </w:rPr>
      </w:pPr>
      <w:r>
        <w:rPr>
          <w:rFonts w:hint="eastAsia" w:ascii="宋体" w:hAnsi="宋体" w:eastAsia="宋体" w:cs="宋体"/>
          <w:b w:val="0"/>
          <w:bCs/>
          <w:spacing w:val="6"/>
          <w:szCs w:val="21"/>
          <w:lang w:val="en-US" w:eastAsia="zh-CN"/>
        </w:rPr>
        <w:t>1）权限管理</w:t>
      </w:r>
    </w:p>
    <w:p w14:paraId="5A5E622C">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为管理员、角色、用户赋予功能权限和数据权限，并提供统一权限查询功能。</w:t>
      </w:r>
    </w:p>
    <w:p w14:paraId="1F129662">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val="0"/>
          <w:bCs/>
          <w:spacing w:val="6"/>
          <w:szCs w:val="21"/>
          <w:lang w:val="en-US" w:eastAsia="zh-CN"/>
        </w:rPr>
      </w:pPr>
      <w:r>
        <w:rPr>
          <w:rFonts w:hint="eastAsia" w:ascii="宋体" w:hAnsi="宋体" w:eastAsia="宋体" w:cs="宋体"/>
          <w:b w:val="0"/>
          <w:bCs/>
          <w:spacing w:val="6"/>
          <w:szCs w:val="21"/>
          <w:lang w:val="en-US" w:eastAsia="zh-CN"/>
        </w:rPr>
        <w:t>2）日志管理</w:t>
      </w:r>
    </w:p>
    <w:p w14:paraId="2DFD58CB">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系统日志管理能够记录用户进入某个功能节点的时间和用户退出某个功能节点的时间，并提供用户对日志的管理功能。</w:t>
      </w:r>
    </w:p>
    <w:p w14:paraId="5CC92246">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val="0"/>
          <w:bCs/>
          <w:spacing w:val="6"/>
          <w:szCs w:val="21"/>
          <w:lang w:val="en-US" w:eastAsia="zh-CN"/>
        </w:rPr>
      </w:pPr>
      <w:r>
        <w:rPr>
          <w:rFonts w:hint="eastAsia" w:ascii="宋体" w:hAnsi="宋体" w:eastAsia="宋体" w:cs="宋体"/>
          <w:b w:val="0"/>
          <w:bCs/>
          <w:spacing w:val="6"/>
          <w:szCs w:val="21"/>
          <w:lang w:val="en-US" w:eastAsia="zh-CN"/>
        </w:rPr>
        <w:t>3）统一门户</w:t>
      </w:r>
    </w:p>
    <w:p w14:paraId="656EE6D6">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支持统一门户管理，进行待办事项、预警信息、公告信息等模块的自定义配置。</w:t>
      </w:r>
    </w:p>
    <w:p w14:paraId="7E5CEB67">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r>
        <w:rPr>
          <w:rFonts w:hint="eastAsia" w:ascii="宋体" w:hAnsi="宋体" w:eastAsia="宋体" w:cs="宋体"/>
          <w:b/>
          <w:bCs w:val="0"/>
          <w:spacing w:val="6"/>
          <w:szCs w:val="21"/>
          <w:lang w:val="en-US" w:eastAsia="zh-CN"/>
        </w:rPr>
        <w:t xml:space="preserve">2.3.2 </w:t>
      </w:r>
      <w:bookmarkStart w:id="328" w:name="_Toc205288537"/>
      <w:bookmarkStart w:id="329" w:name="_Toc28811"/>
      <w:r>
        <w:rPr>
          <w:rFonts w:hint="eastAsia" w:ascii="宋体" w:hAnsi="宋体" w:eastAsia="宋体" w:cs="宋体"/>
          <w:b/>
          <w:bCs w:val="0"/>
          <w:spacing w:val="6"/>
          <w:szCs w:val="21"/>
          <w:lang w:val="en-US" w:eastAsia="zh-CN"/>
        </w:rPr>
        <w:t>科室成本管理系统</w:t>
      </w:r>
      <w:bookmarkEnd w:id="309"/>
      <w:bookmarkEnd w:id="328"/>
      <w:bookmarkEnd w:id="329"/>
    </w:p>
    <w:p w14:paraId="10A5054B">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bookmarkStart w:id="330" w:name="_Toc127548236"/>
      <w:bookmarkStart w:id="331" w:name="_Toc12177"/>
      <w:bookmarkStart w:id="332" w:name="_Toc205288538"/>
      <w:r>
        <w:rPr>
          <w:rFonts w:hint="eastAsia" w:ascii="宋体" w:hAnsi="宋体" w:eastAsia="宋体" w:cs="宋体"/>
          <w:b/>
          <w:bCs w:val="0"/>
          <w:spacing w:val="6"/>
          <w:szCs w:val="21"/>
          <w:lang w:val="en-US" w:eastAsia="zh-CN"/>
        </w:rPr>
        <w:t>2.3.2.1基础数据</w:t>
      </w:r>
      <w:bookmarkEnd w:id="330"/>
      <w:r>
        <w:rPr>
          <w:rFonts w:hint="eastAsia" w:ascii="宋体" w:hAnsi="宋体" w:eastAsia="宋体" w:cs="宋体"/>
          <w:b/>
          <w:bCs w:val="0"/>
          <w:spacing w:val="6"/>
          <w:szCs w:val="21"/>
          <w:lang w:val="en-US" w:eastAsia="zh-CN"/>
        </w:rPr>
        <w:t>管理</w:t>
      </w:r>
      <w:bookmarkEnd w:id="331"/>
      <w:bookmarkEnd w:id="332"/>
    </w:p>
    <w:p w14:paraId="1436D8DE">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bookmarkStart w:id="333" w:name="_Toc205288539"/>
      <w:r>
        <w:rPr>
          <w:rFonts w:hint="eastAsia" w:ascii="宋体" w:hAnsi="宋体" w:eastAsia="宋体" w:cs="宋体"/>
          <w:b/>
          <w:bCs w:val="0"/>
          <w:spacing w:val="6"/>
          <w:szCs w:val="21"/>
          <w:lang w:val="en-US" w:eastAsia="zh-CN"/>
        </w:rPr>
        <w:t>2.3.2.1.1数据采集管理</w:t>
      </w:r>
      <w:bookmarkEnd w:id="333"/>
    </w:p>
    <w:p w14:paraId="5666A1F0">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1）系统支持和其他相关业务系统建立接口，每月自动获取所需数据，若无法建立接口，系统支持按照模板导入数据，数据包括收入数据、工作量数据、人员经费明细数据、卫生材料消耗明细数据、药品消耗明细数据、固定资产折旧明细数据、无形资产摊销数据、内部服务量等相关业务数据。</w:t>
      </w:r>
    </w:p>
    <w:p w14:paraId="6765366A">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val="0"/>
          <w:bCs/>
          <w:spacing w:val="6"/>
          <w:szCs w:val="21"/>
          <w:highlight w:val="none"/>
          <w:lang w:val="en-US" w:eastAsia="zh-CN"/>
        </w:rPr>
      </w:pPr>
      <w:r>
        <w:rPr>
          <w:rFonts w:hint="eastAsia" w:ascii="宋体" w:hAnsi="宋体" w:eastAsia="宋体" w:cs="宋体"/>
          <w:b w:val="0"/>
          <w:bCs/>
          <w:spacing w:val="6"/>
          <w:szCs w:val="21"/>
          <w:highlight w:val="none"/>
          <w:lang w:val="en-US" w:eastAsia="zh-CN"/>
        </w:rPr>
        <w:t>2）基础数据采集支持按管理口径与财务口径两个口径同步采集数据，实现管理与财务数据同源与并轨核算。</w:t>
      </w:r>
    </w:p>
    <w:p w14:paraId="12AB4AA6">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val="0"/>
          <w:bCs/>
          <w:spacing w:val="6"/>
          <w:szCs w:val="21"/>
          <w:highlight w:val="none"/>
          <w:lang w:val="en-US" w:eastAsia="zh-CN"/>
        </w:rPr>
      </w:pPr>
      <w:bookmarkStart w:id="334" w:name="_Toc205288540"/>
      <w:r>
        <w:rPr>
          <w:rFonts w:hint="eastAsia" w:ascii="宋体" w:hAnsi="宋体" w:eastAsia="宋体" w:cs="宋体"/>
          <w:b w:val="0"/>
          <w:bCs/>
          <w:spacing w:val="6"/>
          <w:szCs w:val="21"/>
          <w:highlight w:val="none"/>
          <w:lang w:val="en-US" w:eastAsia="zh-CN"/>
        </w:rPr>
        <w:t>2.3.2.1.2收入数据管理</w:t>
      </w:r>
      <w:bookmarkEnd w:id="334"/>
    </w:p>
    <w:p w14:paraId="223C41D2">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val="0"/>
          <w:bCs/>
          <w:spacing w:val="6"/>
          <w:szCs w:val="21"/>
          <w:highlight w:val="none"/>
          <w:lang w:val="en-US" w:eastAsia="zh-CN"/>
        </w:rPr>
      </w:pPr>
      <w:r>
        <w:rPr>
          <w:rFonts w:hint="eastAsia" w:ascii="宋体" w:hAnsi="宋体" w:eastAsia="宋体" w:cs="宋体"/>
          <w:b w:val="0"/>
          <w:bCs/>
          <w:spacing w:val="6"/>
          <w:szCs w:val="21"/>
          <w:highlight w:val="none"/>
          <w:lang w:val="en-US" w:eastAsia="zh-CN"/>
        </w:rPr>
        <w:t>1）系统支持按开单科室、执行科室、患者所在科室采集收入数据，可适应复杂的业务场景下的成本分摊与分析。</w:t>
      </w:r>
    </w:p>
    <w:p w14:paraId="027AD055">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2）系统支持按患者收费明细、收费项目、收费类别三个维度采集收入数据，用于不同分析场景下的收入统计分析。</w:t>
      </w:r>
    </w:p>
    <w:p w14:paraId="6DE5FB8C">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3）系统支持患者收费明细数据按两种时间（开单时间\执行时间）维度统计汇总，用于汇总生成科室收费项目、收费类别维度的收入数据。</w:t>
      </w:r>
    </w:p>
    <w:p w14:paraId="204F8A1C">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4）系统支持收入数据的开单、执行科室调整，并能记录调整规则，再次出现，可直接调用历史规则进行调整，纠正HIS系统常见的收入数据记录不准的问题。</w:t>
      </w:r>
    </w:p>
    <w:p w14:paraId="255F1A00">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5）系统支持对采集的基础数据进行查询及统计功能，如按开单统计收入、按执行统计收入、本科开单本科执行收入统计等。</w:t>
      </w:r>
    </w:p>
    <w:p w14:paraId="014F5324">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6）支持财务拨款收入、科教收入及其他各类非医疗收入统计查询。</w:t>
      </w:r>
    </w:p>
    <w:p w14:paraId="5FEF1DCF">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bookmarkStart w:id="335" w:name="_Toc205288541"/>
      <w:r>
        <w:rPr>
          <w:rFonts w:hint="eastAsia" w:ascii="宋体" w:hAnsi="宋体" w:eastAsia="宋体" w:cs="宋体"/>
          <w:b/>
          <w:bCs w:val="0"/>
          <w:spacing w:val="6"/>
          <w:szCs w:val="21"/>
          <w:lang w:val="en-US" w:eastAsia="zh-CN"/>
        </w:rPr>
        <w:t>2.3.2.1.3成本数据管理</w:t>
      </w:r>
      <w:bookmarkEnd w:id="335"/>
    </w:p>
    <w:p w14:paraId="5316D0B2">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1）人力成本数据支持按职工采集、按职称采集工资明细数据两种采集方式，其中按职称采集方式满足医院要求不显示具体职工工资明细数据的保密性要求。</w:t>
      </w:r>
    </w:p>
    <w:p w14:paraId="574B6B6A">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val="0"/>
          <w:bCs/>
          <w:spacing w:val="6"/>
          <w:szCs w:val="21"/>
          <w:lang w:val="en-US" w:eastAsia="zh-CN"/>
        </w:rPr>
      </w:pPr>
      <w:r>
        <w:rPr>
          <w:rFonts w:hint="eastAsia" w:ascii="宋体" w:hAnsi="宋体" w:eastAsia="宋体" w:cs="宋体"/>
          <w:b w:val="0"/>
          <w:bCs/>
          <w:spacing w:val="6"/>
          <w:szCs w:val="21"/>
          <w:lang w:val="en-US" w:eastAsia="zh-CN"/>
        </w:rPr>
        <w:t>2）人力成本数据支持按人员考勤对人力成本数据进行二次分配，解决人员人力成本归属不准确的问题。</w:t>
      </w:r>
    </w:p>
    <w:p w14:paraId="69FB358D">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r>
        <w:rPr>
          <w:rFonts w:hint="eastAsia" w:ascii="宋体" w:hAnsi="宋体" w:eastAsia="宋体" w:cs="宋体"/>
          <w:b/>
          <w:bCs w:val="0"/>
          <w:spacing w:val="6"/>
          <w:szCs w:val="21"/>
          <w:lang w:val="en-US" w:eastAsia="zh-CN"/>
        </w:rPr>
        <w:t>▲3）支持人员上缴保险通过设置个人上缴比例、单位上缴比例利用个人上缴保险金额，测算出单位上缴金额，提高科室人力成本计入准确性。</w:t>
      </w:r>
    </w:p>
    <w:p w14:paraId="7AC94201">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4）支持科室人数统计按医生、技师、护师、管理等维度进行统计汇总，可适应复杂的业务场景下的科室人员结构分析。</w:t>
      </w:r>
    </w:p>
    <w:p w14:paraId="4E341EC3">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5）支持卫生材料按收费、非收费属性进行管理。</w:t>
      </w:r>
    </w:p>
    <w:p w14:paraId="6838B9AF">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6）支持卫生材料明细采集单据号、出库时间、仓库等维度，便于对卫生材料明细不同维度的统计分析及原始数据追踪。</w:t>
      </w:r>
    </w:p>
    <w:p w14:paraId="26C21BE4">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7）支持对资产原值合计、累计折旧合计、当期折旧合计、成新率进行汇总统计查询。</w:t>
      </w:r>
    </w:p>
    <w:p w14:paraId="0C891AE2">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r>
        <w:rPr>
          <w:rFonts w:hint="eastAsia" w:ascii="宋体" w:hAnsi="宋体" w:eastAsia="宋体" w:cs="宋体"/>
          <w:b/>
          <w:bCs w:val="0"/>
          <w:spacing w:val="6"/>
          <w:szCs w:val="21"/>
          <w:lang w:val="en-US" w:eastAsia="zh-CN"/>
        </w:rPr>
        <w:t>▲8）支持对资产维修维保成本进行管理。</w:t>
      </w:r>
    </w:p>
    <w:p w14:paraId="59C0970F">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9）支持按临床服务类科室科室开单收入提取科室的医疗风险基金，并支持自定义提取比例及提取科目。</w:t>
      </w:r>
    </w:p>
    <w:p w14:paraId="09428210">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10）针对计算计入的成本项目（如：煤、水、电、气）消耗比较大的科室，支持按照“大用户”进行数据采集，其他科室按人员、面积、床位比例进行分摊。</w:t>
      </w:r>
    </w:p>
    <w:p w14:paraId="08C1D2AF">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bookmarkStart w:id="336" w:name="_Toc205288542"/>
      <w:r>
        <w:rPr>
          <w:rFonts w:hint="eastAsia" w:ascii="宋体" w:hAnsi="宋体" w:eastAsia="宋体" w:cs="宋体"/>
          <w:b/>
          <w:bCs w:val="0"/>
          <w:spacing w:val="6"/>
          <w:szCs w:val="21"/>
          <w:lang w:val="en-US" w:eastAsia="zh-CN"/>
        </w:rPr>
        <w:t>2.3.2.1.4其他数据管理</w:t>
      </w:r>
      <w:bookmarkEnd w:id="336"/>
    </w:p>
    <w:p w14:paraId="562FA22B">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1）系统提供房屋面积管理，支持按楼宇、楼层、房间记录所属科室、功能用途，为成本核算提供准确的面积数据。</w:t>
      </w:r>
    </w:p>
    <w:p w14:paraId="284FCBEC">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r>
        <w:rPr>
          <w:rFonts w:hint="eastAsia" w:ascii="宋体" w:hAnsi="宋体" w:eastAsia="宋体" w:cs="宋体"/>
          <w:b/>
          <w:bCs w:val="0"/>
          <w:spacing w:val="6"/>
          <w:szCs w:val="21"/>
          <w:lang w:val="en-US" w:eastAsia="zh-CN"/>
        </w:rPr>
        <w:t>▲2）系统提供财务凭证数据管理，支持从财务凭证数据生成收入总账、成本总账、科室成本账，用于成本明细数据与财务数据校验核对。</w:t>
      </w:r>
    </w:p>
    <w:p w14:paraId="55906F5F">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bookmarkStart w:id="337" w:name="_Toc205288543"/>
      <w:r>
        <w:rPr>
          <w:rFonts w:hint="eastAsia" w:ascii="宋体" w:hAnsi="宋体" w:eastAsia="宋体" w:cs="宋体"/>
          <w:b/>
          <w:bCs w:val="0"/>
          <w:spacing w:val="6"/>
          <w:szCs w:val="21"/>
          <w:lang w:val="en-US" w:eastAsia="zh-CN"/>
        </w:rPr>
        <w:t>2.3.2.1.5数据校验管理</w:t>
      </w:r>
      <w:bookmarkEnd w:id="337"/>
    </w:p>
    <w:p w14:paraId="15BD33EC">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r>
        <w:rPr>
          <w:rFonts w:hint="eastAsia" w:ascii="宋体" w:hAnsi="宋体" w:eastAsia="宋体" w:cs="宋体"/>
          <w:b/>
          <w:bCs w:val="0"/>
          <w:spacing w:val="6"/>
          <w:szCs w:val="21"/>
          <w:lang w:val="en-US" w:eastAsia="zh-CN"/>
        </w:rPr>
        <w:t>▲1）系统内置数据校验规则，能对基础数据从数据来源（业务数据与财务总账数据）、同比、环比、交叉校验四个维度对基础数据质量进行校验，返回差异，帮助发现异常数据问题。</w:t>
      </w:r>
    </w:p>
    <w:p w14:paraId="6C915FD7">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bookmarkStart w:id="338" w:name="_Toc127548239"/>
      <w:r>
        <w:rPr>
          <w:rFonts w:hint="eastAsia" w:ascii="宋体" w:hAnsi="宋体" w:eastAsia="宋体" w:cs="宋体"/>
          <w:b/>
          <w:bCs w:val="0"/>
          <w:spacing w:val="6"/>
          <w:szCs w:val="21"/>
          <w:lang w:val="en-US" w:eastAsia="zh-CN"/>
        </w:rPr>
        <w:t xml:space="preserve">2.3.2.2 </w:t>
      </w:r>
      <w:bookmarkStart w:id="339" w:name="_Toc205288544"/>
      <w:bookmarkStart w:id="340" w:name="_Toc10209"/>
      <w:r>
        <w:rPr>
          <w:rFonts w:hint="eastAsia" w:ascii="宋体" w:hAnsi="宋体" w:eastAsia="宋体" w:cs="宋体"/>
          <w:b/>
          <w:bCs w:val="0"/>
          <w:spacing w:val="6"/>
          <w:szCs w:val="21"/>
          <w:lang w:val="en-US" w:eastAsia="zh-CN"/>
        </w:rPr>
        <w:t>核算模型</w:t>
      </w:r>
      <w:bookmarkEnd w:id="338"/>
      <w:r>
        <w:rPr>
          <w:rFonts w:hint="eastAsia" w:ascii="宋体" w:hAnsi="宋体" w:eastAsia="宋体" w:cs="宋体"/>
          <w:b/>
          <w:bCs w:val="0"/>
          <w:spacing w:val="6"/>
          <w:szCs w:val="21"/>
          <w:lang w:val="en-US" w:eastAsia="zh-CN"/>
        </w:rPr>
        <w:t>管理</w:t>
      </w:r>
      <w:bookmarkEnd w:id="339"/>
      <w:bookmarkEnd w:id="340"/>
    </w:p>
    <w:p w14:paraId="1187E895">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val="0"/>
          <w:bCs/>
          <w:spacing w:val="6"/>
          <w:szCs w:val="21"/>
          <w:lang w:val="en-US" w:eastAsia="zh-CN"/>
        </w:rPr>
      </w:pPr>
      <w:r>
        <w:rPr>
          <w:rFonts w:hint="eastAsia" w:ascii="宋体" w:hAnsi="宋体" w:eastAsia="宋体" w:cs="宋体"/>
          <w:b w:val="0"/>
          <w:bCs/>
          <w:spacing w:val="6"/>
          <w:szCs w:val="21"/>
          <w:lang w:val="en-US" w:eastAsia="zh-CN"/>
        </w:rPr>
        <w:t>1）系统支持对归口管理的水、电费或者没有实施科室二级库管理的卫生材料成本等应直接计入但没有直接计入各科室的成本，按照成本业务明细数据和成本项目两种模式进行二次分配式，二次分配还可以灵活设置其报表口径属于直接计入还是计算计入。</w:t>
      </w:r>
    </w:p>
    <w:p w14:paraId="178AC576">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2）支持成本分摊方法灵活自定义，实现同一科室不同的成本要素可以采用不同的分摊方法。</w:t>
      </w:r>
    </w:p>
    <w:p w14:paraId="6F082CA8">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3）支持按人数、按面积、按执行收入、按比例收入、按门诊诊次、按住院床日、按手术难度、按工作量等标准分摊成本，还支持按多个参数组合进行分摊，提高分摊的合理性。</w:t>
      </w:r>
    </w:p>
    <w:p w14:paraId="61E5DCEC">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4）支持多院区用户，在同一分摊级次中，科室可进行全院分摊或院区内分摊，适应多院区复杂管理模式。</w:t>
      </w:r>
    </w:p>
    <w:p w14:paraId="34BEFA70">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5）支持成本分摊标准自动取数与批量采集，支持分摊方案按月管理，月度之间可自动继承。</w:t>
      </w:r>
    </w:p>
    <w:p w14:paraId="37BE9367">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6）支持跨级分摊、平级分摊、指定科室间的定向分摊等多样化复杂的成本分摊方式，使科室间的成本分摊更接近实际。</w:t>
      </w:r>
    </w:p>
    <w:p w14:paraId="274CD4FA">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7）成本分摊过程中，支持分项逐级分步结转，不仅实现科室全成本核算，还支持任意分摊级次的成本数据产出与分析。</w:t>
      </w:r>
    </w:p>
    <w:p w14:paraId="35531FE7">
      <w:pPr>
        <w:pStyle w:val="110"/>
        <w:pageBreakBefore w:val="0"/>
        <w:kinsoku/>
        <w:wordWrap/>
        <w:overflowPunct/>
        <w:topLinePunct w:val="0"/>
        <w:autoSpaceDE/>
        <w:autoSpaceDN/>
        <w:bidi w:val="0"/>
        <w:adjustRightInd/>
        <w:snapToGrid/>
        <w:spacing w:line="420" w:lineRule="exact"/>
        <w:textAlignment w:val="auto"/>
        <w:rPr>
          <w:rFonts w:ascii="仿宋" w:hAnsi="仿宋" w:cs="仿宋"/>
          <w:sz w:val="28"/>
          <w:szCs w:val="28"/>
        </w:rPr>
      </w:pPr>
      <w:r>
        <w:rPr>
          <w:rFonts w:hint="eastAsia" w:ascii="宋体" w:hAnsi="宋体" w:eastAsia="宋体" w:cs="宋体"/>
          <w:bCs/>
          <w:spacing w:val="6"/>
          <w:szCs w:val="21"/>
          <w:lang w:val="en-US" w:eastAsia="zh-CN"/>
        </w:rPr>
        <w:t>8）支持对当期核算模型配置情况进行综合查询分析，一目了然的显示出每类科室都使用哪类分摊参数，每类参数使用的科室数量是多少，并支持科室数量下钻跳转到科室分摊模型。</w:t>
      </w:r>
    </w:p>
    <w:p w14:paraId="1E0F3CF7">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bookmarkStart w:id="341" w:name="_Toc127548240"/>
      <w:r>
        <w:rPr>
          <w:rFonts w:hint="eastAsia" w:ascii="宋体" w:hAnsi="宋体" w:eastAsia="宋体" w:cs="宋体"/>
          <w:b/>
          <w:bCs w:val="0"/>
          <w:spacing w:val="6"/>
          <w:szCs w:val="21"/>
          <w:lang w:val="en-US" w:eastAsia="zh-CN"/>
        </w:rPr>
        <w:t xml:space="preserve">2.3.2.3 </w:t>
      </w:r>
      <w:bookmarkStart w:id="342" w:name="_Toc7288"/>
      <w:bookmarkStart w:id="343" w:name="_Toc205288545"/>
      <w:r>
        <w:rPr>
          <w:rFonts w:hint="eastAsia" w:ascii="宋体" w:hAnsi="宋体" w:eastAsia="宋体" w:cs="宋体"/>
          <w:b/>
          <w:bCs w:val="0"/>
          <w:spacing w:val="6"/>
          <w:szCs w:val="21"/>
          <w:lang w:val="en-US" w:eastAsia="zh-CN"/>
        </w:rPr>
        <w:t>分摊计算</w:t>
      </w:r>
      <w:bookmarkEnd w:id="341"/>
      <w:bookmarkEnd w:id="342"/>
      <w:bookmarkEnd w:id="343"/>
    </w:p>
    <w:p w14:paraId="555E9CB9">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1）支持按照《公立医院成本核算指导手册》规定的“三级四类分摊法”分摊，按照分项逐级分步结转的方式进行分摊，最终将所有科室间接成本分摊到临床服务类科室。</w:t>
      </w:r>
    </w:p>
    <w:p w14:paraId="03AD4AE3">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2）支持在成本分摊前，对可能影响分摊平衡的问题进行校验与告警，确保分摊结果的准确性，在成本的分摊后，对分摊结果的同比、环比校验，分析分摊结果的合理性。</w:t>
      </w:r>
    </w:p>
    <w:p w14:paraId="4A6052E2">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r>
        <w:rPr>
          <w:rFonts w:hint="eastAsia" w:ascii="宋体" w:hAnsi="宋体" w:eastAsia="宋体" w:cs="宋体"/>
          <w:b/>
          <w:bCs w:val="0"/>
          <w:spacing w:val="6"/>
          <w:szCs w:val="21"/>
          <w:lang w:val="en-US" w:eastAsia="zh-CN"/>
        </w:rPr>
        <w:t>▲3）支持按照科室全成本和科室直接成本两种分摊口径查询数据，满足不同应用场景下对成本分摊数据的需求。</w:t>
      </w:r>
    </w:p>
    <w:p w14:paraId="2CB3A47A">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kern w:val="2"/>
          <w:sz w:val="21"/>
          <w:szCs w:val="21"/>
          <w:highlight w:val="none"/>
          <w:lang w:val="en-US" w:eastAsia="zh-CN" w:bidi="ar-SA"/>
        </w:rPr>
      </w:pPr>
      <w:r>
        <w:rPr>
          <w:rFonts w:hint="eastAsia" w:ascii="宋体" w:hAnsi="宋体" w:eastAsia="宋体" w:cs="宋体"/>
          <w:b/>
          <w:bCs w:val="0"/>
          <w:spacing w:val="6"/>
          <w:szCs w:val="21"/>
          <w:lang w:val="en-US" w:eastAsia="zh-CN"/>
        </w:rPr>
        <w:t>▲4）支持科室分摊数据的月结、取消月结操作，并且支持按任</w:t>
      </w:r>
      <w:r>
        <w:rPr>
          <w:rFonts w:hint="eastAsia" w:ascii="宋体" w:hAnsi="宋体" w:eastAsia="宋体" w:cs="宋体"/>
          <w:b/>
          <w:bCs w:val="0"/>
          <w:spacing w:val="6"/>
          <w:szCs w:val="21"/>
          <w:highlight w:val="none"/>
          <w:lang w:val="en-US" w:eastAsia="zh-CN"/>
        </w:rPr>
        <w:t>意月取消月结，不是从</w:t>
      </w:r>
      <w:r>
        <w:rPr>
          <w:rFonts w:hint="eastAsia" w:ascii="宋体" w:hAnsi="宋体" w:eastAsia="宋体" w:cs="宋体"/>
          <w:b/>
          <w:bCs w:val="0"/>
          <w:spacing w:val="6"/>
          <w:kern w:val="2"/>
          <w:sz w:val="21"/>
          <w:szCs w:val="21"/>
          <w:highlight w:val="none"/>
          <w:lang w:val="en-US" w:eastAsia="zh-CN" w:bidi="ar-SA"/>
        </w:rPr>
        <w:t>最新一个月开始全部取消。</w:t>
      </w:r>
    </w:p>
    <w:p w14:paraId="37C82FA3">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5）支持从分摊结果追踪整个分摊过程，使得分摊过程可视化，增加数据的可信度。</w:t>
      </w:r>
    </w:p>
    <w:p w14:paraId="5512346E">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6）在科室成本核算基础上，支持诊次与床日成本核算。</w:t>
      </w:r>
    </w:p>
    <w:p w14:paraId="517A5A38">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r>
        <w:rPr>
          <w:rFonts w:hint="eastAsia" w:ascii="宋体" w:hAnsi="宋体" w:eastAsia="宋体" w:cs="宋体"/>
          <w:b/>
          <w:bCs w:val="0"/>
          <w:spacing w:val="6"/>
          <w:szCs w:val="21"/>
          <w:lang w:val="en-US" w:eastAsia="zh-CN"/>
        </w:rPr>
        <w:t xml:space="preserve">2.3.2.4 </w:t>
      </w:r>
      <w:bookmarkStart w:id="344" w:name="_Toc205288546"/>
      <w:r>
        <w:rPr>
          <w:rFonts w:hint="eastAsia" w:ascii="宋体" w:hAnsi="宋体" w:eastAsia="宋体" w:cs="宋体"/>
          <w:b/>
          <w:bCs w:val="0"/>
          <w:spacing w:val="6"/>
          <w:szCs w:val="21"/>
          <w:lang w:val="en-US" w:eastAsia="zh-CN"/>
        </w:rPr>
        <w:t>成本分析</w:t>
      </w:r>
      <w:bookmarkEnd w:id="344"/>
    </w:p>
    <w:p w14:paraId="2CB22F5C">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r>
        <w:rPr>
          <w:rFonts w:hint="eastAsia" w:ascii="宋体" w:hAnsi="宋体" w:eastAsia="宋体" w:cs="宋体"/>
          <w:b/>
          <w:bCs w:val="0"/>
          <w:spacing w:val="6"/>
          <w:szCs w:val="21"/>
          <w:lang w:val="en-US" w:eastAsia="zh-CN"/>
        </w:rPr>
        <w:t xml:space="preserve">2.3.2.4.1 </w:t>
      </w:r>
      <w:bookmarkStart w:id="345" w:name="_Toc205288547"/>
      <w:r>
        <w:rPr>
          <w:rFonts w:hint="eastAsia" w:ascii="宋体" w:hAnsi="宋体" w:eastAsia="宋体" w:cs="宋体"/>
          <w:b/>
          <w:bCs w:val="0"/>
          <w:spacing w:val="6"/>
          <w:szCs w:val="21"/>
          <w:lang w:val="en-US" w:eastAsia="zh-CN"/>
        </w:rPr>
        <w:t>院级成本分析</w:t>
      </w:r>
      <w:bookmarkEnd w:id="345"/>
    </w:p>
    <w:p w14:paraId="0266C2E3">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1）满足《公立医院成本核算指导手册》国卫办财务函(2023]377号文件中要求的公立医院成本报表。</w:t>
      </w:r>
    </w:p>
    <w:p w14:paraId="22636533">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lang w:val="en-US" w:eastAsia="zh-CN"/>
        </w:rPr>
        <w:t>2）支持收入费用分析，反映医院某一会计核算期</w:t>
      </w:r>
      <w:r>
        <w:rPr>
          <w:rFonts w:hint="eastAsia" w:ascii="宋体" w:hAnsi="宋体" w:eastAsia="宋体" w:cs="宋体"/>
          <w:bCs/>
          <w:spacing w:val="6"/>
          <w:szCs w:val="21"/>
          <w:highlight w:val="none"/>
          <w:lang w:val="en-US" w:eastAsia="zh-CN"/>
        </w:rPr>
        <w:t>间财务成果情况的会计报表，包含收入、费用和盈余。</w:t>
      </w:r>
    </w:p>
    <w:p w14:paraId="428D32F8">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3）支持医疗收入成本收益分析，满足对某一期间内医疗活动的经营成果分析场景。从全院、门诊和住院维度分析医疗收入、财政基本拨款收入、不同级次成本及不同口径的结余情况，更能清晰的揭示医院能否靠自身医疗活动收入覆盖整个医疗活动中消耗。</w:t>
      </w:r>
    </w:p>
    <w:p w14:paraId="2FFED7A2">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4）支持医疗收入结构分析，分析反映医院某一个期间内医疗收入结构情况。支持可以根据不同维度收入大类、收入项目、收费类别，按照合计、门诊和住院分析收入构成情况。</w:t>
      </w:r>
    </w:p>
    <w:p w14:paraId="15AB7789">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5）支持成本构成分析，反映医院某一个期间内成本构成情况。支持可以根据医疗业务结构和成本结构从成本类型、成本要素、成本项目维度分析成本构成。</w:t>
      </w:r>
    </w:p>
    <w:p w14:paraId="077D2C0F">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6）支持对医院各类科室直接成本构成分析，反映医院某一个期间内医院各类科室直接成本构成情况。支持从资金来源、成本类型、成本要素、成本项目维度分析各类型科室的直接成本构成。</w:t>
      </w:r>
    </w:p>
    <w:p w14:paraId="477C5023">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7）支持对医院诊次成本构成分析，可反映医院某一个期间内医院诊次成本构成情况。支持可以从不同成本级次、成本类型、成本要素、成本项目维度分析诊次成本构成。</w:t>
      </w:r>
    </w:p>
    <w:p w14:paraId="294217EC">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8）支持对医院床日成本构成分，可反映医院某一个期间内医院床日成本构成情况。支持可以从不同成本级次、成本类型、成本要素、成本项目维度分析床日成本构成。</w:t>
      </w:r>
    </w:p>
    <w:p w14:paraId="0D02A25E">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9）支持对工作量分析，可反映医院某一个期间内医院工作量情况。支持可以从门诊和住院分析医院工作量。</w:t>
      </w:r>
    </w:p>
    <w:p w14:paraId="06DC4125">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r>
        <w:rPr>
          <w:rFonts w:hint="eastAsia" w:ascii="宋体" w:hAnsi="宋体" w:eastAsia="宋体" w:cs="宋体"/>
          <w:b/>
          <w:bCs w:val="0"/>
          <w:spacing w:val="6"/>
          <w:szCs w:val="21"/>
          <w:highlight w:val="none"/>
          <w:lang w:val="en-US" w:eastAsia="zh-CN"/>
        </w:rPr>
        <w:t>▲10）支持本量利分析，可反映医院某一个期间内医院保本工作量及保本收入情况。支持从门诊和主要维度分析医院保本工作量和保本收入。</w:t>
      </w:r>
    </w:p>
    <w:p w14:paraId="675FEC6E">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11）支持次均费用情况分析，可反映医院某一个期间内医院次均费用情况。支持从门诊和主要维度分析医院次均费用。</w:t>
      </w:r>
    </w:p>
    <w:p w14:paraId="0A4846CA">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12）支持医疗服务价格项目使用频次分析，可反映医院某一个期间医院医疗服务项目使用频次情况。</w:t>
      </w:r>
    </w:p>
    <w:p w14:paraId="5FE73F65">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r>
        <w:rPr>
          <w:rFonts w:hint="eastAsia" w:ascii="宋体" w:hAnsi="宋体" w:eastAsia="宋体" w:cs="宋体"/>
          <w:b/>
          <w:bCs w:val="0"/>
          <w:spacing w:val="6"/>
          <w:szCs w:val="21"/>
          <w:highlight w:val="none"/>
          <w:lang w:val="en-US" w:eastAsia="zh-CN"/>
        </w:rPr>
        <w:t xml:space="preserve">2.3.2.4.2 </w:t>
      </w:r>
      <w:bookmarkStart w:id="346" w:name="_Toc205288548"/>
      <w:r>
        <w:rPr>
          <w:rFonts w:hint="eastAsia" w:ascii="宋体" w:hAnsi="宋体" w:eastAsia="宋体" w:cs="宋体"/>
          <w:b/>
          <w:bCs w:val="0"/>
          <w:spacing w:val="6"/>
          <w:szCs w:val="21"/>
          <w:highlight w:val="none"/>
          <w:lang w:val="en-US" w:eastAsia="zh-CN"/>
        </w:rPr>
        <w:t>科室级成本分析</w:t>
      </w:r>
      <w:bookmarkEnd w:id="346"/>
    </w:p>
    <w:p w14:paraId="301648D5">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1）支持科室盈余分析，可反映医院各科室一个期间内科室的盈余情况，支持从不同成本级次、不同收入口径分析科室的盈余情况（含科室整体、门诊和住院）。</w:t>
      </w:r>
    </w:p>
    <w:p w14:paraId="676CF20E">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2）支持科室费率分析，可反映医院各科室一个期间内开单科室或执行科室的成本费率情况。</w:t>
      </w:r>
    </w:p>
    <w:p w14:paraId="0EBCF55E">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3）支持对科室收入增长分析，可反映医院各科室一个期间内不同科室收入增长情况。支持从不同的收入口径，不同收入项目，业务结构（门诊和住院）等维度分析医院科室收入增长情况。</w:t>
      </w:r>
    </w:p>
    <w:p w14:paraId="22F01BFF">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4）支持对科室门急诊业务增长分析，可反映医院各科室一个期间内不同科室门急诊业务增长情况。</w:t>
      </w:r>
    </w:p>
    <w:p w14:paraId="3115E37C">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5）支持对科室住院业务增长分析，可反映医院各科室一个期间内不同科室住院业务增长情况。</w:t>
      </w:r>
    </w:p>
    <w:p w14:paraId="41F7A779">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6）支持对科室收入增长因素分析，可反映医院各科室一个期间内业务量和次均费用两个因素对科室收入影响情况。</w:t>
      </w:r>
    </w:p>
    <w:p w14:paraId="6CC4E725">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7）支持科室收入结构分析，可反映医院各科室一个期间内收入结构情况。支持从不同的分析维度（收入大类、收费类别、收入项目）和不同收入统计口径分析科室收入构成。</w:t>
      </w:r>
    </w:p>
    <w:p w14:paraId="6CEF832B">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8）支持科室收入结构增长分析，可反映医院各科室一个期间内收入结构变化情况。支持从不同的分析维度（收入大类、收费类别、收入项目）和不同收入统计口径分析科室收入构成变化。</w:t>
      </w:r>
    </w:p>
    <w:p w14:paraId="2487C67B">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9）支持科室药耗占比分析，可反映医院各科室一个期间内药品和耗材收入在科室收入占比情况。</w:t>
      </w:r>
    </w:p>
    <w:p w14:paraId="747C1C7B">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10）支持科室成本增长分析，可反映医院各科室一个期间内成本增长情况。报表可以从不同成本级次、业务结构分析医院各科室成本增长情况。</w:t>
      </w:r>
    </w:p>
    <w:p w14:paraId="123A2D05">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11）支持科室成本构成分析，可反映在将医院行政后勤类科室、医疗辅助类科室、医疗技术类科室直接成本分摊到临床服务类科室后，各临床服务类科室的全成本情况。临床服务类科室全成本包括科室直接成本和分摊的间接成本。各临床服务类科室的直接成本、间接成本和全成本按照人员经费、卫生材料费、药品费、固定资产折旧费、无形资产摊销费、提取医疗风险基金和其他医疗费用等成本项目维度分析。</w:t>
      </w:r>
    </w:p>
    <w:p w14:paraId="4DABAD93">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12）支持科室诊次成本构成分析，可反映在将医院行政后勤类科室、医疗辅助类科室、医疗技术类科室医疗全成本和医院全成本分摊到临床服务类科室后，各科室诊次成本的构成情况。</w:t>
      </w:r>
    </w:p>
    <w:p w14:paraId="2269A75D">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13）支持科室床日成本构成分析，可反映在将医院行政后勤类科室、医疗辅助类科室、医疗技术类科室医 疗全成本和医院全成本分摊到临床服务类科室后，各科室床日成本的构成情况。</w:t>
      </w:r>
    </w:p>
    <w:p w14:paraId="56EFBFE7">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14）支持科室门诊工作量分析，对医院不同科室不同挂号好别门诊工作量和占比情况分析。</w:t>
      </w:r>
    </w:p>
    <w:p w14:paraId="4F3F5D39">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15）支持科室住院工作量分析，可反映医院不同科室住院工作量的情况，从实占床日、不同级别手术例数指标反映住院工作量情况，同时支持从投入产出和人员效率角度，展示床位使用率、床位周转率和每医师日负担床日。</w:t>
      </w:r>
    </w:p>
    <w:p w14:paraId="56CF4A50">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16）支持科室门诊本量利分析，可反映医院通过成本-服务量-结余之间关系以及对保本点的分析，确定科室门诊医疗服务正常开展所达到的保本点业务量和保本收入总额，反映出业务量与成本之间的变动关系。</w:t>
      </w:r>
    </w:p>
    <w:p w14:paraId="6A9C1E2B">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17）支持科室住院本量利分析，可反映医院通过成本-服务量-结余之间关系以及对保本点的分析，确定科室住院医疗服务正常开展所达到的保本点业务量和保本收入总额，反映出业务量与成本之间的变动关系。</w:t>
      </w:r>
    </w:p>
    <w:p w14:paraId="01978DF0">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18）支持科室门诊次均费用构成分析，可反映医院科室一个期间内科室门诊次均费用构成情况。支持按照收入大类展示门诊次均费用的构成情况。</w:t>
      </w:r>
    </w:p>
    <w:p w14:paraId="3F4FE5C2">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19）支持科室住院例均费用构成分析，可反映医院科室一个期间内科室门诊次均费用构成情况。支持按照收入大类展示门诊次均费用的构成情况。</w:t>
      </w:r>
    </w:p>
    <w:p w14:paraId="000FB129">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20）支持科室成本分摊汇总分析，可反映医院不同科室一个期间内直接成本分摊情况及相关人均效率和平均人力耗费情况。</w:t>
      </w:r>
    </w:p>
    <w:p w14:paraId="6655F555">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21）支持科室综合分析分析，可反映医院一个期间一个或多个科室综合运营情况，含损益指标、工作量指标、运行效率和成本管控等相关指标。</w:t>
      </w:r>
    </w:p>
    <w:p w14:paraId="08290436">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bookmarkStart w:id="347" w:name="_Toc205288549"/>
      <w:r>
        <w:rPr>
          <w:rFonts w:hint="eastAsia" w:ascii="宋体" w:hAnsi="宋体" w:eastAsia="宋体" w:cs="宋体"/>
          <w:b/>
          <w:bCs w:val="0"/>
          <w:spacing w:val="6"/>
          <w:szCs w:val="21"/>
          <w:highlight w:val="none"/>
          <w:lang w:val="en-US" w:eastAsia="zh-CN"/>
        </w:rPr>
        <w:t>2.3.2.4.3 专题分析</w:t>
      </w:r>
      <w:bookmarkEnd w:id="347"/>
    </w:p>
    <w:p w14:paraId="56385C40">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1）支持人力专项分析，可反映医院一个期间内不同科室人员构成、不同卫生人员属性人均直接成本及人员效率情况。</w:t>
      </w:r>
    </w:p>
    <w:p w14:paraId="58CD0E79">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2）支持人员构成分析，可反映医院一个期间内不同科室直接人力成本构成情况。支持按不同成本要素展示科室整体直接人力成本构成，同时支持按照不同卫生人员属性以主要成本要素颗粒度展示科室成本构成。</w:t>
      </w:r>
    </w:p>
    <w:p w14:paraId="28A3725F">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3）支持对医生分析，可反映医院一个期间内不同临床服务类和医疗技术类科室的不同职称医生分布及平均直接人力成本情况。</w:t>
      </w:r>
    </w:p>
    <w:p w14:paraId="65A77BC0">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4）支持药耗成本分析，可反映医院一个期间内不同临床服务类和医疗技术类科室的卫生材料成本、药品成本分析和收入构成分析。</w:t>
      </w:r>
    </w:p>
    <w:p w14:paraId="29FA9E22">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5）支持重点材料监控分析，对医院一个期间内重点材料总消耗和科室消耗情况分析。</w:t>
      </w:r>
    </w:p>
    <w:p w14:paraId="504A9E07">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6）支持收费物资分析，支持分析医院一个期间内向患者收费和物资领用在数量和金额上的差异。</w:t>
      </w:r>
    </w:p>
    <w:p w14:paraId="2D7ACFDB">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7）支持资产专项分析，分析医院一个期间内不同临床服务类和医疗技术类科室的固定资产投入、消耗、维保和产出情况。</w:t>
      </w:r>
    </w:p>
    <w:p w14:paraId="5DE68F13">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r>
        <w:rPr>
          <w:rFonts w:hint="eastAsia" w:ascii="宋体" w:hAnsi="宋体" w:eastAsia="宋体" w:cs="宋体"/>
          <w:b/>
          <w:bCs w:val="0"/>
          <w:spacing w:val="6"/>
          <w:szCs w:val="21"/>
          <w:highlight w:val="none"/>
          <w:lang w:val="en-US" w:eastAsia="zh-CN"/>
        </w:rPr>
        <w:t xml:space="preserve">2.3.2.4.4 </w:t>
      </w:r>
      <w:bookmarkStart w:id="348" w:name="_Toc205288550"/>
      <w:r>
        <w:rPr>
          <w:rFonts w:hint="eastAsia" w:ascii="宋体" w:hAnsi="宋体" w:eastAsia="宋体" w:cs="宋体"/>
          <w:b/>
          <w:bCs w:val="0"/>
          <w:spacing w:val="6"/>
          <w:szCs w:val="21"/>
          <w:highlight w:val="none"/>
          <w:lang w:val="en-US" w:eastAsia="zh-CN"/>
        </w:rPr>
        <w:t>专科分析</w:t>
      </w:r>
      <w:bookmarkEnd w:id="348"/>
    </w:p>
    <w:p w14:paraId="75FDB975">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1）支持临床科室专科分析，对医院一个期间内某个科室按收入、成本和结余情况分析。支持展示工作量、床位使用率、平均住院日等重点指标。</w:t>
      </w:r>
    </w:p>
    <w:p w14:paraId="1C3266FA">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2）支持资源效益分析，对医院某个科室资源投入、产出及收益情况分析。支持展示科室人数、房屋面积、设备等投入，收入及相关效率，效益指标。</w:t>
      </w:r>
    </w:p>
    <w:p w14:paraId="2BB138A3">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r>
        <w:rPr>
          <w:rFonts w:hint="eastAsia" w:ascii="宋体" w:hAnsi="宋体" w:eastAsia="宋体" w:cs="宋体"/>
          <w:b/>
          <w:bCs w:val="0"/>
          <w:spacing w:val="6"/>
          <w:szCs w:val="21"/>
          <w:highlight w:val="none"/>
          <w:lang w:val="en-US" w:eastAsia="zh-CN"/>
        </w:rPr>
        <w:t xml:space="preserve">2.3.2.4.5 </w:t>
      </w:r>
      <w:bookmarkStart w:id="349" w:name="_Toc205288551"/>
      <w:r>
        <w:rPr>
          <w:rFonts w:hint="eastAsia" w:ascii="宋体" w:hAnsi="宋体" w:eastAsia="宋体" w:cs="宋体"/>
          <w:b/>
          <w:bCs w:val="0"/>
          <w:spacing w:val="6"/>
          <w:szCs w:val="21"/>
          <w:highlight w:val="none"/>
          <w:lang w:val="en-US" w:eastAsia="zh-CN"/>
        </w:rPr>
        <w:t>趋势分析</w:t>
      </w:r>
      <w:bookmarkEnd w:id="349"/>
    </w:p>
    <w:p w14:paraId="022498FF">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1）支持任意选定分析指标，进行两年趋势、三年趋势及任意区间趋势分析。</w:t>
      </w:r>
    </w:p>
    <w:p w14:paraId="0CEE6022">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r>
        <w:rPr>
          <w:rFonts w:hint="eastAsia" w:ascii="宋体" w:hAnsi="宋体" w:eastAsia="宋体" w:cs="宋体"/>
          <w:b/>
          <w:bCs w:val="0"/>
          <w:spacing w:val="6"/>
          <w:szCs w:val="21"/>
          <w:highlight w:val="none"/>
          <w:lang w:val="en-US" w:eastAsia="zh-CN"/>
        </w:rPr>
        <w:t>2.3.2.5 分析报告</w:t>
      </w:r>
    </w:p>
    <w:p w14:paraId="5C245B58">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color w:val="000000" w:themeColor="text1"/>
          <w:spacing w:val="6"/>
          <w:szCs w:val="21"/>
          <w:highlight w:val="none"/>
          <w:lang w:val="en-US" w:eastAsia="zh-CN"/>
          <w14:textFill>
            <w14:solidFill>
              <w14:schemeClr w14:val="tx1"/>
            </w14:solidFill>
          </w14:textFill>
        </w:rPr>
      </w:pPr>
      <w:r>
        <w:rPr>
          <w:rFonts w:hint="eastAsia" w:ascii="宋体" w:hAnsi="宋体" w:eastAsia="宋体" w:cs="宋体"/>
          <w:b/>
          <w:bCs w:val="0"/>
          <w:color w:val="000000" w:themeColor="text1"/>
          <w:spacing w:val="6"/>
          <w:szCs w:val="21"/>
          <w:highlight w:val="none"/>
          <w:lang w:val="en-US" w:eastAsia="zh-CN"/>
          <w14:textFill>
            <w14:solidFill>
              <w14:schemeClr w14:val="tx1"/>
            </w14:solidFill>
          </w14:textFill>
        </w:rPr>
        <w:t>▲1）支持自动生成以院级及科室为单位的科室成本分析报告，并进行查询和下载。</w:t>
      </w:r>
    </w:p>
    <w:p w14:paraId="6210CA39">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bookmarkStart w:id="350" w:name="_Toc127548245"/>
      <w:r>
        <w:rPr>
          <w:rFonts w:hint="eastAsia" w:ascii="宋体" w:hAnsi="宋体" w:eastAsia="宋体" w:cs="宋体"/>
          <w:b/>
          <w:bCs w:val="0"/>
          <w:spacing w:val="6"/>
          <w:szCs w:val="21"/>
          <w:highlight w:val="none"/>
          <w:lang w:val="en-US" w:eastAsia="zh-CN"/>
        </w:rPr>
        <w:t xml:space="preserve">2.3.2.6 </w:t>
      </w:r>
      <w:bookmarkStart w:id="351" w:name="_Toc23374"/>
      <w:bookmarkStart w:id="352" w:name="_Toc205288552"/>
      <w:r>
        <w:rPr>
          <w:rFonts w:hint="eastAsia" w:ascii="宋体" w:hAnsi="宋体" w:eastAsia="宋体" w:cs="宋体"/>
          <w:b/>
          <w:bCs w:val="0"/>
          <w:spacing w:val="6"/>
          <w:szCs w:val="21"/>
          <w:highlight w:val="none"/>
          <w:lang w:val="en-US" w:eastAsia="zh-CN"/>
        </w:rPr>
        <w:t>成本监测</w:t>
      </w:r>
      <w:bookmarkEnd w:id="350"/>
      <w:bookmarkEnd w:id="351"/>
      <w:bookmarkEnd w:id="352"/>
    </w:p>
    <w:p w14:paraId="4B518884">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1）支持生成国家卫健委卫生发展研究中心要求的《全国医疗服务价格和成本监测》平台所需提供的相关报表。</w:t>
      </w:r>
    </w:p>
    <w:p w14:paraId="6A8B0ECF">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bookmarkStart w:id="353" w:name="_Toc127548247"/>
      <w:bookmarkStart w:id="354" w:name="_Toc24044"/>
      <w:bookmarkStart w:id="355" w:name="_Toc205288554"/>
      <w:r>
        <w:rPr>
          <w:rFonts w:hint="eastAsia" w:ascii="宋体" w:hAnsi="宋体" w:eastAsia="宋体" w:cs="宋体"/>
          <w:b/>
          <w:bCs w:val="0"/>
          <w:spacing w:val="6"/>
          <w:szCs w:val="21"/>
          <w:highlight w:val="none"/>
          <w:lang w:val="en-US" w:eastAsia="zh-CN"/>
        </w:rPr>
        <w:t>2.3.2.7 基础设置</w:t>
      </w:r>
      <w:bookmarkEnd w:id="353"/>
      <w:bookmarkEnd w:id="354"/>
      <w:bookmarkEnd w:id="355"/>
    </w:p>
    <w:p w14:paraId="5807F175">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r>
        <w:rPr>
          <w:rFonts w:hint="eastAsia" w:ascii="宋体" w:hAnsi="宋体" w:eastAsia="宋体" w:cs="宋体"/>
          <w:b/>
          <w:bCs w:val="0"/>
          <w:spacing w:val="6"/>
          <w:szCs w:val="21"/>
          <w:highlight w:val="none"/>
          <w:lang w:val="en-US" w:eastAsia="zh-CN"/>
        </w:rPr>
        <w:t>▲1）系统可根据医院需求支持多套分析单元，在报表查询时根据用户需求可选择不同分析单元进行报表查询。</w:t>
      </w:r>
    </w:p>
    <w:p w14:paraId="61D96CCD">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2）支持政策要求的标准科室设置，并能够建立与科室单元的对照关系</w:t>
      </w:r>
    </w:p>
    <w:p w14:paraId="09204293">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3）支持科室成本分摊相关参数设置，包括：多院区模式启动设置、二次分配模式选择设置、分摊设置、定向关系自动继承、支持启用按人员考勤分配人力成本、收费数据是否启用按天管理。</w:t>
      </w:r>
    </w:p>
    <w:p w14:paraId="39D2561B">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4）支持成本核算所需要的字典设置：包括核算科室、技术职务、会计科目、分摊参数、资产卡片信息等字典。</w:t>
      </w:r>
    </w:p>
    <w:p w14:paraId="48F5AEB1">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5）支持业务字典与成本项目转换的关系设置：包括与会计科目转换关系设置、物资分类、资产分类、药品分类转换关系的设置等。</w:t>
      </w:r>
    </w:p>
    <w:p w14:paraId="799B5573">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6）支持科室成本分摊前校验规则的校验级别设置。</w:t>
      </w:r>
    </w:p>
    <w:p w14:paraId="42041C9B">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7）支持科室成本分摊前校验规则的校验级别设置。</w:t>
      </w:r>
    </w:p>
    <w:p w14:paraId="1005BC3D">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val="0"/>
          <w:bCs/>
          <w:spacing w:val="6"/>
          <w:szCs w:val="21"/>
          <w:highlight w:val="none"/>
          <w:lang w:val="en-US" w:eastAsia="zh-CN"/>
        </w:rPr>
      </w:pPr>
      <w:r>
        <w:rPr>
          <w:rFonts w:hint="eastAsia" w:ascii="宋体" w:hAnsi="宋体" w:eastAsia="宋体" w:cs="宋体"/>
          <w:b w:val="0"/>
          <w:bCs/>
          <w:spacing w:val="6"/>
          <w:szCs w:val="21"/>
          <w:highlight w:val="none"/>
          <w:lang w:val="en-US" w:eastAsia="zh-CN"/>
        </w:rPr>
        <w:t>8）根据成本类型、资金来源灵活定义成本级次，成本级次范围包括医疗成本、医疗全成本、医院全成本。</w:t>
      </w:r>
    </w:p>
    <w:p w14:paraId="1FF2553B">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bookmarkStart w:id="356" w:name="_Toc127548248"/>
      <w:r>
        <w:rPr>
          <w:rFonts w:hint="eastAsia" w:ascii="宋体" w:hAnsi="宋体" w:eastAsia="宋体" w:cs="宋体"/>
          <w:b/>
          <w:bCs w:val="0"/>
          <w:spacing w:val="6"/>
          <w:szCs w:val="21"/>
          <w:highlight w:val="none"/>
          <w:lang w:val="en-US" w:eastAsia="zh-CN"/>
        </w:rPr>
        <w:t xml:space="preserve">2.3.3 </w:t>
      </w:r>
      <w:bookmarkStart w:id="357" w:name="_Toc1365"/>
      <w:bookmarkStart w:id="358" w:name="_Toc205288555"/>
      <w:r>
        <w:rPr>
          <w:rFonts w:hint="eastAsia" w:ascii="宋体" w:hAnsi="宋体" w:eastAsia="宋体" w:cs="宋体"/>
          <w:b/>
          <w:bCs w:val="0"/>
          <w:spacing w:val="6"/>
          <w:szCs w:val="21"/>
          <w:highlight w:val="none"/>
          <w:lang w:val="en-US" w:eastAsia="zh-CN"/>
        </w:rPr>
        <w:t>项目成本管理系统</w:t>
      </w:r>
      <w:bookmarkEnd w:id="356"/>
      <w:bookmarkEnd w:id="357"/>
      <w:bookmarkEnd w:id="358"/>
    </w:p>
    <w:p w14:paraId="78D59D86">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bookmarkStart w:id="359" w:name="_Toc127548249"/>
      <w:r>
        <w:rPr>
          <w:rFonts w:hint="eastAsia" w:ascii="宋体" w:hAnsi="宋体" w:eastAsia="宋体" w:cs="宋体"/>
          <w:b/>
          <w:bCs w:val="0"/>
          <w:spacing w:val="6"/>
          <w:szCs w:val="21"/>
          <w:highlight w:val="none"/>
          <w:lang w:val="en-US" w:eastAsia="zh-CN"/>
        </w:rPr>
        <w:t xml:space="preserve">2.3.3.1 </w:t>
      </w:r>
      <w:bookmarkStart w:id="360" w:name="_Toc205288556"/>
      <w:bookmarkStart w:id="361" w:name="_Toc7149"/>
      <w:r>
        <w:rPr>
          <w:rFonts w:hint="eastAsia" w:ascii="宋体" w:hAnsi="宋体" w:eastAsia="宋体" w:cs="宋体"/>
          <w:b/>
          <w:bCs w:val="0"/>
          <w:spacing w:val="6"/>
          <w:szCs w:val="21"/>
          <w:highlight w:val="none"/>
          <w:lang w:val="en-US" w:eastAsia="zh-CN"/>
        </w:rPr>
        <w:t>基础数据维护</w:t>
      </w:r>
      <w:bookmarkEnd w:id="359"/>
      <w:bookmarkEnd w:id="360"/>
      <w:bookmarkEnd w:id="361"/>
    </w:p>
    <w:p w14:paraId="43A0B7F8">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1）系统支持和其他相关业务系统建立接口，每月自动获取所需数据，若无法建立接口，系统支持按照模板导入数据，包括人员工时、作业面积等数据。</w:t>
      </w:r>
    </w:p>
    <w:p w14:paraId="4C42239B">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2）支持科室项目一体化核算、数据同源，直接在科室成本核算基础上，进一步核算项目成本。</w:t>
      </w:r>
    </w:p>
    <w:p w14:paraId="39B9B78D">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3）支持项目成本核算单元采用与科室成本单元不同的核算单元体系，通过建立科室成本核算单元与项目成本核算单元的对照关系，按对照关系数据进行采集处理，并按项目成本核算单元对基础数据查询与统计;</w:t>
      </w:r>
    </w:p>
    <w:p w14:paraId="379CA259">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4）支持对项目成本核算的基础数据质量进行分析，在项目成本核算前，对基础数据对项目成本核算结果的影响有初步的判断。</w:t>
      </w:r>
    </w:p>
    <w:p w14:paraId="7F96D395">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r>
        <w:rPr>
          <w:rFonts w:hint="eastAsia" w:ascii="宋体" w:hAnsi="宋体" w:eastAsia="宋体" w:cs="宋体"/>
          <w:b/>
          <w:bCs w:val="0"/>
          <w:spacing w:val="6"/>
          <w:szCs w:val="21"/>
          <w:highlight w:val="none"/>
          <w:lang w:val="en-US" w:eastAsia="zh-CN"/>
        </w:rPr>
        <w:t>▲5）工时数据支持人员工时、设备工时、作业工时三个维度采集。人工工时支持按职工采集出勤时间、设备工时支持按卡片采集设备的开机时间，作业工时支持按支持按人员作业工时采集又支持按技师职务工时采集。</w:t>
      </w:r>
    </w:p>
    <w:p w14:paraId="716D6A7C">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bookmarkStart w:id="362" w:name="_Toc127548250"/>
      <w:r>
        <w:rPr>
          <w:rFonts w:hint="eastAsia" w:ascii="宋体" w:hAnsi="宋体" w:eastAsia="宋体" w:cs="宋体"/>
          <w:b/>
          <w:bCs w:val="0"/>
          <w:spacing w:val="6"/>
          <w:szCs w:val="21"/>
          <w:highlight w:val="none"/>
          <w:lang w:val="en-US" w:eastAsia="zh-CN"/>
        </w:rPr>
        <w:t xml:space="preserve">2.3.3.2 </w:t>
      </w:r>
      <w:bookmarkStart w:id="363" w:name="_Toc13087"/>
      <w:bookmarkStart w:id="364" w:name="_Toc205288557"/>
      <w:r>
        <w:rPr>
          <w:rFonts w:hint="eastAsia" w:ascii="宋体" w:hAnsi="宋体" w:eastAsia="宋体" w:cs="宋体"/>
          <w:b/>
          <w:bCs w:val="0"/>
          <w:spacing w:val="6"/>
          <w:szCs w:val="21"/>
          <w:highlight w:val="none"/>
          <w:lang w:val="en-US" w:eastAsia="zh-CN"/>
        </w:rPr>
        <w:t>核算模型</w:t>
      </w:r>
      <w:bookmarkEnd w:id="362"/>
      <w:bookmarkEnd w:id="363"/>
      <w:bookmarkEnd w:id="364"/>
    </w:p>
    <w:p w14:paraId="1A547F2E">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1）项目成本核算方法需支持《公立医院成本核算指导手册》中推荐的作业本法、估时作业成本法、当量系数法、参数分配法的项目核算方法。</w:t>
      </w:r>
    </w:p>
    <w:p w14:paraId="2FB65E02">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r>
        <w:rPr>
          <w:rFonts w:hint="eastAsia" w:ascii="宋体" w:hAnsi="宋体" w:eastAsia="宋体" w:cs="宋体"/>
          <w:b/>
          <w:bCs w:val="0"/>
          <w:spacing w:val="6"/>
          <w:szCs w:val="21"/>
          <w:highlight w:val="none"/>
          <w:lang w:val="en-US" w:eastAsia="zh-CN"/>
        </w:rPr>
        <w:t>▲2）支持同一个核算方案下不同核算科室灵活使用不同的核算方法，以便针对具体的科室选择最适合的方法进行核算。</w:t>
      </w:r>
    </w:p>
    <w:p w14:paraId="3F4BBE44">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3）支持按照项目和资源两个维度填报作业模型，通过作业模型维护计算各个医疗服务项目的资源消耗。</w:t>
      </w:r>
    </w:p>
    <w:p w14:paraId="0FDB9E2E">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4）支持对作业模型填报情况的检验检查，以便核算员能及时掌握各科室填报的实际情况，对填报进行进行跟踪管理。</w:t>
      </w:r>
    </w:p>
    <w:p w14:paraId="1FA2797A">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5）支持按方案建立成本核算模型，同一期间的数据，可按多种方案产出结果，进行对比分析。</w:t>
      </w:r>
    </w:p>
    <w:p w14:paraId="3C9F52B9">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r>
        <w:rPr>
          <w:rFonts w:hint="eastAsia" w:ascii="宋体" w:hAnsi="宋体" w:eastAsia="宋体" w:cs="宋体"/>
          <w:b/>
          <w:bCs w:val="0"/>
          <w:spacing w:val="6"/>
          <w:szCs w:val="21"/>
          <w:highlight w:val="none"/>
          <w:lang w:val="en-US" w:eastAsia="zh-CN"/>
        </w:rPr>
        <w:t>▲6）提供标准作业库供参考，医院可以直接采用标准作业库，也可以在标准作业库的基础上进行调整，形成医院自己的作业库。</w:t>
      </w:r>
    </w:p>
    <w:p w14:paraId="63ACE283">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r>
        <w:rPr>
          <w:rFonts w:hint="eastAsia" w:ascii="宋体" w:hAnsi="宋体" w:eastAsia="宋体" w:cs="宋体"/>
          <w:b/>
          <w:bCs w:val="0"/>
          <w:spacing w:val="6"/>
          <w:szCs w:val="21"/>
          <w:highlight w:val="none"/>
          <w:lang w:val="en-US" w:eastAsia="zh-CN"/>
        </w:rPr>
        <w:t>▲7）内置国家卫健委医疗《全国医疗服务价格项目规范》（2023）版，在项目调研过程中，可以根据2023版的内容进行提示。</w:t>
      </w:r>
    </w:p>
    <w:p w14:paraId="15C66F8F">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val="0"/>
          <w:bCs/>
          <w:spacing w:val="6"/>
          <w:szCs w:val="21"/>
          <w:highlight w:val="none"/>
          <w:lang w:val="en-US" w:eastAsia="zh-CN"/>
        </w:rPr>
      </w:pPr>
      <w:r>
        <w:rPr>
          <w:rFonts w:hint="eastAsia" w:ascii="宋体" w:hAnsi="宋体" w:eastAsia="宋体" w:cs="宋体"/>
          <w:b w:val="0"/>
          <w:bCs/>
          <w:spacing w:val="6"/>
          <w:szCs w:val="21"/>
          <w:highlight w:val="none"/>
          <w:lang w:val="en-US" w:eastAsia="zh-CN"/>
        </w:rPr>
        <w:t>8）内置标准数据体系，确保业务字典变更后，作业模型依然有效，实现成本核算的平滑过度。</w:t>
      </w:r>
    </w:p>
    <w:p w14:paraId="76B41FA2">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9）支持按科室批量复制引用他科项目作业模型，同时支持项目间作业模型复制引用。</w:t>
      </w:r>
    </w:p>
    <w:p w14:paraId="144EC4EB">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10）对于各个科室都开展的通用项目，支持全院统一填报，然后复制到各个科室，减少科室填报工作量。</w:t>
      </w:r>
    </w:p>
    <w:p w14:paraId="0FCA36E1">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val="0"/>
          <w:bCs/>
          <w:spacing w:val="6"/>
          <w:szCs w:val="21"/>
          <w:highlight w:val="none"/>
          <w:lang w:val="en-US" w:eastAsia="zh-CN"/>
        </w:rPr>
      </w:pPr>
      <w:r>
        <w:rPr>
          <w:rFonts w:hint="eastAsia" w:ascii="宋体" w:hAnsi="宋体" w:eastAsia="宋体" w:cs="宋体"/>
          <w:b w:val="0"/>
          <w:bCs/>
          <w:spacing w:val="6"/>
          <w:szCs w:val="21"/>
          <w:highlight w:val="none"/>
          <w:lang w:val="en-US" w:eastAsia="zh-CN"/>
        </w:rPr>
        <w:t>11）项目资源消耗模型填报支持填报角色用户进行数据填报，审核角色用户对填报数据进行审核、驳回。</w:t>
      </w:r>
    </w:p>
    <w:p w14:paraId="7BF5D283">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bookmarkStart w:id="365" w:name="_Toc127548251"/>
      <w:r>
        <w:rPr>
          <w:rFonts w:hint="eastAsia" w:ascii="宋体" w:hAnsi="宋体" w:eastAsia="宋体" w:cs="宋体"/>
          <w:b/>
          <w:bCs w:val="0"/>
          <w:spacing w:val="6"/>
          <w:szCs w:val="21"/>
          <w:highlight w:val="none"/>
          <w:lang w:val="en-US" w:eastAsia="zh-CN"/>
        </w:rPr>
        <w:t xml:space="preserve">2.3.3.3 </w:t>
      </w:r>
      <w:bookmarkStart w:id="366" w:name="_Toc6215"/>
      <w:bookmarkStart w:id="367" w:name="_Toc205288558"/>
      <w:r>
        <w:rPr>
          <w:rFonts w:hint="eastAsia" w:ascii="宋体" w:hAnsi="宋体" w:eastAsia="宋体" w:cs="宋体"/>
          <w:b/>
          <w:bCs w:val="0"/>
          <w:spacing w:val="6"/>
          <w:szCs w:val="21"/>
          <w:highlight w:val="none"/>
          <w:lang w:val="en-US" w:eastAsia="zh-CN"/>
        </w:rPr>
        <w:t>项目成本计算</w:t>
      </w:r>
      <w:bookmarkEnd w:id="365"/>
      <w:bookmarkEnd w:id="366"/>
      <w:bookmarkEnd w:id="367"/>
    </w:p>
    <w:p w14:paraId="29015B33">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val="0"/>
          <w:bCs/>
          <w:spacing w:val="6"/>
          <w:szCs w:val="21"/>
          <w:highlight w:val="none"/>
          <w:lang w:val="en-US" w:eastAsia="zh-CN"/>
        </w:rPr>
      </w:pPr>
      <w:r>
        <w:rPr>
          <w:rFonts w:hint="eastAsia" w:ascii="宋体" w:hAnsi="宋体" w:eastAsia="宋体" w:cs="宋体"/>
          <w:b w:val="0"/>
          <w:bCs/>
          <w:spacing w:val="6"/>
          <w:szCs w:val="21"/>
          <w:highlight w:val="none"/>
          <w:lang w:val="en-US" w:eastAsia="zh-CN"/>
        </w:rPr>
        <w:t>1）支持自定义项目成本核算的起止时间，可按任意时间段定义核算方案，进行项目成本核算。</w:t>
      </w:r>
    </w:p>
    <w:p w14:paraId="3BDD28B3">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2）支持按照设定的核算方法，采集成本动因，完成医疗服务实际成本计算，并能跟踪分析各个医疗服务项目的成本数据。</w:t>
      </w:r>
    </w:p>
    <w:p w14:paraId="7794FBC0">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3）支持对项目成本计算的逻辑关系进行校验，并能校验的差异进行追踪，以便发现问题所在，有针对性解决问题。</w:t>
      </w:r>
    </w:p>
    <w:p w14:paraId="0540B2A2">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r>
        <w:rPr>
          <w:rFonts w:hint="eastAsia" w:ascii="宋体" w:hAnsi="宋体" w:eastAsia="宋体" w:cs="宋体"/>
          <w:b/>
          <w:bCs w:val="0"/>
          <w:spacing w:val="6"/>
          <w:szCs w:val="21"/>
          <w:highlight w:val="none"/>
          <w:lang w:val="en-US" w:eastAsia="zh-CN"/>
        </w:rPr>
        <w:t>▲4）支持对计算结果的平衡校验、同比校验、异常值分析。</w:t>
      </w:r>
    </w:p>
    <w:p w14:paraId="3A71A175">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
          <w:bCs w:val="0"/>
          <w:spacing w:val="6"/>
          <w:szCs w:val="21"/>
          <w:highlight w:val="none"/>
          <w:lang w:val="en-US" w:eastAsia="zh-CN"/>
        </w:rPr>
        <w:t>▲5）支持从具体某个项目的核算结果入手，按照核算方法的计算逻辑一步步深入计算过程，分析项目的成本形成来源。</w:t>
      </w:r>
      <w:r>
        <w:rPr>
          <w:rFonts w:hint="eastAsia" w:ascii="宋体" w:hAnsi="宋体" w:eastAsia="宋体" w:cs="宋体"/>
          <w:bCs/>
          <w:spacing w:val="6"/>
          <w:szCs w:val="21"/>
          <w:highlight w:val="none"/>
          <w:lang w:val="en-US" w:eastAsia="zh-CN"/>
        </w:rPr>
        <w:t xml:space="preserve"> </w:t>
      </w:r>
    </w:p>
    <w:p w14:paraId="5654BC15">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bookmarkStart w:id="368" w:name="_Toc127548252"/>
      <w:r>
        <w:rPr>
          <w:rFonts w:hint="eastAsia" w:ascii="宋体" w:hAnsi="宋体" w:eastAsia="宋体" w:cs="宋体"/>
          <w:b/>
          <w:bCs w:val="0"/>
          <w:spacing w:val="6"/>
          <w:szCs w:val="21"/>
          <w:highlight w:val="none"/>
          <w:lang w:val="en-US" w:eastAsia="zh-CN"/>
        </w:rPr>
        <w:t xml:space="preserve">2.3.3.4 </w:t>
      </w:r>
      <w:bookmarkStart w:id="369" w:name="_Toc205288559"/>
      <w:bookmarkStart w:id="370" w:name="_Toc30084"/>
      <w:r>
        <w:rPr>
          <w:rFonts w:hint="eastAsia" w:ascii="宋体" w:hAnsi="宋体" w:eastAsia="宋体" w:cs="宋体"/>
          <w:b/>
          <w:bCs w:val="0"/>
          <w:spacing w:val="6"/>
          <w:szCs w:val="21"/>
          <w:highlight w:val="none"/>
          <w:lang w:val="en-US" w:eastAsia="zh-CN"/>
        </w:rPr>
        <w:t>成本报表</w:t>
      </w:r>
      <w:bookmarkEnd w:id="368"/>
      <w:bookmarkEnd w:id="369"/>
      <w:bookmarkEnd w:id="370"/>
    </w:p>
    <w:p w14:paraId="475FF388">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1）满足《公立医院成本核算指导手册》国卫办财务函(2023]377号文件中要求的公立医院项目成本报表。</w:t>
      </w:r>
    </w:p>
    <w:p w14:paraId="32691DD9">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2）支持项目成本分析，从全院角度分析各个项目的工作量、收入、成本（医疗成本、医疗全成本、医院全成本）、收益趋势，从全院角度分析各个项目的工作量、收入、成本（医疗成本、医疗全成本、医院全成本）、收益趋势，分析同一项目在不同科室的工作量、收入、成本（医疗成本、医疗全成本、医院全成本）情况。</w:t>
      </w:r>
    </w:p>
    <w:p w14:paraId="106CAC62">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3）支持项目成本收益分析，从全院角度按收费类别分析各类项目的盈亏数量、收入、成本（医疗成本、医疗全成本、医院全成本）、收益情况， 从全院角度按单个项目分析其收入、成本（医疗成本、医疗全成本、医院全成本）、收益情况， 从科室角度按各个科室开展的医疗服务项目分析其收益情况，从全院角度按收费类别分析对各类亏损有保本点、亏损无保本点项目的数量、收益情况，从科室角度按单个项目分析其收入、成本（医疗成本、医疗全成本、医院全成本）、收益情况，从全院角度按科室分析对各科室亏损有保本点、亏损无保本点项目的数量、（医疗成本、医疗全成本、医院全成本）下收益情况。</w:t>
      </w:r>
    </w:p>
    <w:p w14:paraId="56D547A6">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4）支持项目成本结构分析，分析全院各个收费类别对应的总成本（医疗成本、医疗全成本、医院全成本），分析全院单个收费项目对应的工作量、收费标准及单位成本（医疗成本、医疗全成本、医院全成本），分析各科室单个收费项目对应的工作量、收费标准及单位成本（医疗成本、医疗全成本、医院全成本）。</w:t>
      </w:r>
    </w:p>
    <w:p w14:paraId="58BC10CA">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5）支持项目成本控制分析，分析收入比重前10的收费项目的工作量、收入、成本、收益情况，分析工作量比重前10的收费项目的工作量、收入、成本、收益情况，分析收益比重前10的收费项目的工作量、收入、成本、收益情况，</w:t>
      </w:r>
    </w:p>
    <w:p w14:paraId="75216D53">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6）支持项目成本本量利分析，从全院角度分析各个收费项目的保本情况从科室角度分析各个收费项目的保本情况。</w:t>
      </w:r>
    </w:p>
    <w:p w14:paraId="7FD82D61">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7）所有报表均支持按excel、pdf、csv格式进行导出。</w:t>
      </w:r>
    </w:p>
    <w:p w14:paraId="5DA05C0C">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color w:val="000000" w:themeColor="text1"/>
          <w:spacing w:val="6"/>
          <w:szCs w:val="21"/>
          <w:highlight w:val="none"/>
          <w:lang w:val="en-US" w:eastAsia="zh-CN"/>
          <w14:textFill>
            <w14:solidFill>
              <w14:schemeClr w14:val="tx1"/>
            </w14:solidFill>
          </w14:textFill>
        </w:rPr>
      </w:pPr>
      <w:bookmarkStart w:id="371" w:name="_Toc127548256"/>
      <w:bookmarkStart w:id="372" w:name="_Toc23050"/>
      <w:bookmarkStart w:id="373" w:name="_Toc205288561"/>
      <w:r>
        <w:rPr>
          <w:rFonts w:hint="eastAsia" w:ascii="宋体" w:hAnsi="宋体" w:eastAsia="宋体" w:cs="宋体"/>
          <w:b/>
          <w:bCs w:val="0"/>
          <w:color w:val="000000" w:themeColor="text1"/>
          <w:spacing w:val="6"/>
          <w:szCs w:val="21"/>
          <w:highlight w:val="none"/>
          <w:lang w:val="en-US" w:eastAsia="zh-CN"/>
          <w14:textFill>
            <w14:solidFill>
              <w14:schemeClr w14:val="tx1"/>
            </w14:solidFill>
          </w14:textFill>
        </w:rPr>
        <w:t>▲2.3.3.5分析报告</w:t>
      </w:r>
      <w:r>
        <w:rPr>
          <w:rFonts w:hint="eastAsia" w:ascii="宋体" w:hAnsi="宋体" w:eastAsia="宋体" w:cs="宋体"/>
          <w:b/>
          <w:bCs w:val="0"/>
          <w:color w:val="000000" w:themeColor="text1"/>
          <w:spacing w:val="6"/>
          <w:szCs w:val="21"/>
          <w:highlight w:val="none"/>
          <w:lang w:val="en-US" w:eastAsia="zh-CN"/>
          <w14:textFill>
            <w14:solidFill>
              <w14:schemeClr w14:val="tx1"/>
            </w14:solidFill>
          </w14:textFill>
        </w:rPr>
        <w:tab/>
      </w:r>
    </w:p>
    <w:p w14:paraId="398A484B">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color w:val="000000" w:themeColor="text1"/>
          <w:spacing w:val="6"/>
          <w:szCs w:val="21"/>
          <w:highlight w:val="none"/>
          <w:lang w:val="en-US" w:eastAsia="zh-CN"/>
          <w14:textFill>
            <w14:solidFill>
              <w14:schemeClr w14:val="tx1"/>
            </w14:solidFill>
          </w14:textFill>
        </w:rPr>
      </w:pPr>
      <w:r>
        <w:rPr>
          <w:rFonts w:hint="eastAsia" w:ascii="宋体" w:hAnsi="宋体" w:eastAsia="宋体" w:cs="宋体"/>
          <w:b/>
          <w:bCs w:val="0"/>
          <w:color w:val="000000" w:themeColor="text1"/>
          <w:spacing w:val="6"/>
          <w:szCs w:val="21"/>
          <w:highlight w:val="none"/>
          <w:lang w:val="en-US" w:eastAsia="zh-CN"/>
          <w14:textFill>
            <w14:solidFill>
              <w14:schemeClr w14:val="tx1"/>
            </w14:solidFill>
          </w14:textFill>
        </w:rPr>
        <w:t>支持自动生成以院级及科室为单位的项目成本分析报告，并进行查询和下载。</w:t>
      </w:r>
    </w:p>
    <w:p w14:paraId="511A0070">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r>
        <w:rPr>
          <w:rFonts w:hint="eastAsia" w:ascii="宋体" w:hAnsi="宋体" w:eastAsia="宋体" w:cs="宋体"/>
          <w:b/>
          <w:bCs w:val="0"/>
          <w:spacing w:val="6"/>
          <w:szCs w:val="21"/>
          <w:highlight w:val="none"/>
          <w:lang w:val="en-US" w:eastAsia="zh-CN"/>
        </w:rPr>
        <w:t>2.3.3.6基础设置</w:t>
      </w:r>
      <w:bookmarkEnd w:id="371"/>
      <w:bookmarkEnd w:id="372"/>
      <w:bookmarkEnd w:id="373"/>
    </w:p>
    <w:p w14:paraId="5EF4CEF9">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1）支持项目成本相关参数设置，包括：否启用工作量和作业系数等设置、是否启用多院区、资源成本分配差额允许范围值、作业成本分配差额允许范围值、是否启用工作量系数、作业系数合计值校验等。</w:t>
      </w:r>
    </w:p>
    <w:p w14:paraId="62617C7D">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2）支持项目成本核算所需的相关字典设置，包括：核算科室、收费项目、成本项目、作业分类、作业字典、资源动因、作业动因、技术职务等字典。</w:t>
      </w:r>
    </w:p>
    <w:p w14:paraId="66F2E634">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3）支持项目成本涉及的相关字典对应关系设置，包括：项目成本核算科室与科室成本核算科室的对应关系、收费项目开单执行科室关系、科室作业关系等设置。</w:t>
      </w:r>
    </w:p>
    <w:p w14:paraId="07E47A7B">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4）支持作业库初始化，即标准作业库信息初始化医院作业库功能以及维护医院字段与标准字典的映射关系功能。</w:t>
      </w:r>
    </w:p>
    <w:p w14:paraId="7DE7FC4A">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bookmarkStart w:id="374" w:name="_Toc127548257"/>
      <w:r>
        <w:rPr>
          <w:rFonts w:hint="eastAsia" w:ascii="宋体" w:hAnsi="宋体" w:eastAsia="宋体" w:cs="宋体"/>
          <w:b/>
          <w:bCs w:val="0"/>
          <w:spacing w:val="6"/>
          <w:szCs w:val="21"/>
          <w:highlight w:val="none"/>
          <w:lang w:val="en-US" w:eastAsia="zh-CN"/>
        </w:rPr>
        <w:t xml:space="preserve">2.3.4 </w:t>
      </w:r>
      <w:bookmarkStart w:id="375" w:name="_Toc205288562"/>
      <w:bookmarkStart w:id="376" w:name="_Toc20364"/>
      <w:r>
        <w:rPr>
          <w:rFonts w:hint="eastAsia" w:ascii="宋体" w:hAnsi="宋体" w:eastAsia="宋体" w:cs="宋体"/>
          <w:b/>
          <w:bCs w:val="0"/>
          <w:spacing w:val="6"/>
          <w:szCs w:val="21"/>
          <w:highlight w:val="none"/>
          <w:lang w:val="en-US" w:eastAsia="zh-CN"/>
        </w:rPr>
        <w:t>病种成本管理系统（叠加法）</w:t>
      </w:r>
      <w:bookmarkEnd w:id="374"/>
      <w:bookmarkEnd w:id="375"/>
      <w:bookmarkEnd w:id="376"/>
    </w:p>
    <w:p w14:paraId="37E7BA60">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bookmarkStart w:id="377" w:name="_Toc127548258"/>
      <w:r>
        <w:rPr>
          <w:rFonts w:hint="eastAsia" w:ascii="宋体" w:hAnsi="宋体" w:eastAsia="宋体" w:cs="宋体"/>
          <w:b/>
          <w:bCs w:val="0"/>
          <w:spacing w:val="6"/>
          <w:szCs w:val="21"/>
          <w:highlight w:val="none"/>
          <w:lang w:val="en-US" w:eastAsia="zh-CN"/>
        </w:rPr>
        <w:t xml:space="preserve">2.3.4.1 </w:t>
      </w:r>
      <w:bookmarkStart w:id="378" w:name="_Toc21478"/>
      <w:bookmarkStart w:id="379" w:name="_Toc205288563"/>
      <w:r>
        <w:rPr>
          <w:rFonts w:hint="eastAsia" w:ascii="宋体" w:hAnsi="宋体" w:eastAsia="宋体" w:cs="宋体"/>
          <w:b/>
          <w:bCs w:val="0"/>
          <w:spacing w:val="6"/>
          <w:szCs w:val="21"/>
          <w:highlight w:val="none"/>
          <w:lang w:val="en-US" w:eastAsia="zh-CN"/>
        </w:rPr>
        <w:t>基础数据维护</w:t>
      </w:r>
      <w:bookmarkEnd w:id="377"/>
      <w:bookmarkEnd w:id="378"/>
      <w:bookmarkEnd w:id="379"/>
    </w:p>
    <w:p w14:paraId="62C3D9CD">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1）系统支持和其他相关业务系统建立接口，每月自动获取所需数据，若无法建立接口，系统支持按照模板导入数据。</w:t>
      </w:r>
    </w:p>
    <w:p w14:paraId="220A19AE">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2）支持科室、项目、病种成本核算数据同源，与科室成本核算共用患者收费明细数据。</w:t>
      </w:r>
    </w:p>
    <w:p w14:paraId="3A74AA91">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val="0"/>
          <w:bCs/>
          <w:spacing w:val="6"/>
          <w:szCs w:val="21"/>
          <w:highlight w:val="none"/>
          <w:lang w:val="en-US" w:eastAsia="zh-CN"/>
        </w:rPr>
      </w:pPr>
      <w:r>
        <w:rPr>
          <w:rFonts w:hint="eastAsia" w:ascii="宋体" w:hAnsi="宋体" w:eastAsia="宋体" w:cs="宋体"/>
          <w:b w:val="0"/>
          <w:bCs/>
          <w:spacing w:val="6"/>
          <w:szCs w:val="21"/>
          <w:highlight w:val="none"/>
          <w:lang w:val="en-US" w:eastAsia="zh-CN"/>
        </w:rPr>
        <w:t>3）支持接入患者出院结算数据，用实际结算数据与患者成本形成对比，形成真实的收入与成本分析。</w:t>
      </w:r>
    </w:p>
    <w:p w14:paraId="445B2CD3">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bookmarkStart w:id="380" w:name="_Toc127548259"/>
      <w:r>
        <w:rPr>
          <w:rFonts w:hint="eastAsia" w:ascii="宋体" w:hAnsi="宋体" w:eastAsia="宋体" w:cs="宋体"/>
          <w:b/>
          <w:bCs w:val="0"/>
          <w:spacing w:val="6"/>
          <w:szCs w:val="21"/>
          <w:highlight w:val="none"/>
          <w:lang w:val="en-US" w:eastAsia="zh-CN"/>
        </w:rPr>
        <w:t xml:space="preserve">2.3.4.2 </w:t>
      </w:r>
      <w:bookmarkStart w:id="381" w:name="_Toc205288564"/>
      <w:bookmarkStart w:id="382" w:name="_Toc4200"/>
      <w:r>
        <w:rPr>
          <w:rFonts w:hint="eastAsia" w:ascii="宋体" w:hAnsi="宋体" w:eastAsia="宋体" w:cs="宋体"/>
          <w:b/>
          <w:bCs w:val="0"/>
          <w:spacing w:val="6"/>
          <w:szCs w:val="21"/>
          <w:highlight w:val="none"/>
          <w:lang w:val="en-US" w:eastAsia="zh-CN"/>
        </w:rPr>
        <w:t>成本计算</w:t>
      </w:r>
      <w:bookmarkEnd w:id="380"/>
      <w:bookmarkEnd w:id="381"/>
      <w:bookmarkEnd w:id="382"/>
    </w:p>
    <w:p w14:paraId="75254E5C">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1）支持按任意时间段定义病种成本核算方案，进行病种成本核算。</w:t>
      </w:r>
    </w:p>
    <w:p w14:paraId="2BC53A04">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r>
        <w:rPr>
          <w:rFonts w:hint="eastAsia" w:ascii="宋体" w:hAnsi="宋体" w:eastAsia="宋体" w:cs="宋体"/>
          <w:b/>
          <w:bCs w:val="0"/>
          <w:spacing w:val="6"/>
          <w:szCs w:val="21"/>
          <w:highlight w:val="none"/>
          <w:lang w:val="en-US" w:eastAsia="zh-CN"/>
        </w:rPr>
        <w:t>▲2）支持同一时间段的病种按不同的项目成本版本进行灵活核算。</w:t>
      </w:r>
    </w:p>
    <w:p w14:paraId="05D5F4AE">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r>
        <w:rPr>
          <w:rFonts w:hint="eastAsia" w:ascii="宋体" w:hAnsi="宋体" w:eastAsia="宋体" w:cs="宋体"/>
          <w:b/>
          <w:bCs w:val="0"/>
          <w:spacing w:val="6"/>
          <w:szCs w:val="21"/>
          <w:highlight w:val="none"/>
          <w:lang w:val="en-US" w:eastAsia="zh-CN"/>
        </w:rPr>
        <w:t xml:space="preserve">▲3）支持对参与核算的病历，按年龄、性别、入院病情、离院方式、住院天数、总费用条件进行筛选。 </w:t>
      </w:r>
    </w:p>
    <w:p w14:paraId="3FF3DB85">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val="0"/>
          <w:bCs/>
          <w:spacing w:val="6"/>
          <w:szCs w:val="21"/>
          <w:highlight w:val="none"/>
          <w:lang w:val="en-US" w:eastAsia="zh-CN"/>
        </w:rPr>
      </w:pPr>
      <w:r>
        <w:rPr>
          <w:rFonts w:hint="eastAsia" w:ascii="宋体" w:hAnsi="宋体" w:eastAsia="宋体" w:cs="宋体"/>
          <w:b w:val="0"/>
          <w:bCs/>
          <w:spacing w:val="6"/>
          <w:szCs w:val="21"/>
          <w:highlight w:val="none"/>
          <w:lang w:val="en-US" w:eastAsia="zh-CN"/>
        </w:rPr>
        <w:t>4）核算方案定义ICD编码支持两种编码体系：中医码、西医码，其中中医码可满足中医类医院的病种成本核算。</w:t>
      </w:r>
    </w:p>
    <w:p w14:paraId="1544B9FD">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val="0"/>
          <w:bCs/>
          <w:spacing w:val="6"/>
          <w:szCs w:val="21"/>
          <w:highlight w:val="none"/>
          <w:lang w:val="en-US" w:eastAsia="zh-CN"/>
        </w:rPr>
      </w:pPr>
      <w:r>
        <w:rPr>
          <w:rFonts w:hint="eastAsia" w:ascii="宋体" w:hAnsi="宋体" w:eastAsia="宋体" w:cs="宋体"/>
          <w:b w:val="0"/>
          <w:bCs/>
          <w:spacing w:val="6"/>
          <w:szCs w:val="21"/>
          <w:highlight w:val="none"/>
          <w:lang w:val="en-US" w:eastAsia="zh-CN"/>
        </w:rPr>
        <w:t>5）病种成本计算完成，支持从全院医疗收入与成本、门诊收入与成本、住院收入与成本的平衡性和病种成本的同比变化两个方面进行校验。</w:t>
      </w:r>
    </w:p>
    <w:p w14:paraId="1CC77039">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6）支持病人个案成本核算，按照每份病历采集信息区分每份病历消耗的医疗服务项目、药品和单收费材料成本。其中医疗服务项目成本应首先采用科室的核算结果，涉及医院公用的医疗技术服务成本可以采用医技科室的核算结果。药品和单收费材料成本采用加成率反推的方式核算。将上述成本进行叠加，形成每病历实际成本。</w:t>
      </w:r>
    </w:p>
    <w:p w14:paraId="2FDC16BF">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zh-CN" w:eastAsia="zh-CN"/>
        </w:rPr>
      </w:pPr>
      <w:r>
        <w:rPr>
          <w:rFonts w:hint="eastAsia" w:ascii="宋体" w:hAnsi="宋体" w:eastAsia="宋体" w:cs="宋体"/>
          <w:bCs/>
          <w:spacing w:val="6"/>
          <w:szCs w:val="21"/>
          <w:highlight w:val="none"/>
          <w:lang w:val="en-US" w:eastAsia="zh-CN"/>
        </w:rPr>
        <w:t>7）支持科室级病种成本核算，将病人</w:t>
      </w:r>
      <w:r>
        <w:rPr>
          <w:rFonts w:hint="eastAsia" w:ascii="宋体" w:hAnsi="宋体" w:eastAsia="宋体" w:cs="宋体"/>
          <w:bCs/>
          <w:spacing w:val="6"/>
          <w:szCs w:val="21"/>
          <w:highlight w:val="none"/>
          <w:lang w:val="zh-CN" w:eastAsia="zh-CN"/>
        </w:rPr>
        <w:t>成本</w:t>
      </w:r>
      <w:r>
        <w:rPr>
          <w:rFonts w:hint="eastAsia" w:ascii="宋体" w:hAnsi="宋体" w:eastAsia="宋体" w:cs="宋体"/>
          <w:bCs/>
          <w:spacing w:val="6"/>
          <w:szCs w:val="21"/>
          <w:highlight w:val="none"/>
          <w:lang w:val="en-US" w:eastAsia="zh-CN"/>
        </w:rPr>
        <w:t>在科室层面按病种进行汇总，形成科室级病种总成本，</w:t>
      </w:r>
      <w:r>
        <w:rPr>
          <w:rFonts w:hint="eastAsia" w:ascii="宋体" w:hAnsi="宋体" w:eastAsia="宋体" w:cs="宋体"/>
          <w:bCs/>
          <w:spacing w:val="6"/>
          <w:szCs w:val="21"/>
          <w:highlight w:val="none"/>
          <w:lang w:val="zh-CN" w:eastAsia="zh-CN"/>
        </w:rPr>
        <w:t>科室级病种总成本等于科室该病种出院</w:t>
      </w:r>
      <w:r>
        <w:rPr>
          <w:rFonts w:hint="eastAsia" w:ascii="宋体" w:hAnsi="宋体" w:eastAsia="宋体" w:cs="宋体"/>
          <w:bCs/>
          <w:spacing w:val="6"/>
          <w:szCs w:val="21"/>
          <w:highlight w:val="none"/>
          <w:lang w:val="en-US" w:eastAsia="zh-CN"/>
        </w:rPr>
        <w:t>病人</w:t>
      </w:r>
      <w:r>
        <w:rPr>
          <w:rFonts w:hint="eastAsia" w:ascii="宋体" w:hAnsi="宋体" w:eastAsia="宋体" w:cs="宋体"/>
          <w:bCs/>
          <w:spacing w:val="6"/>
          <w:szCs w:val="21"/>
          <w:highlight w:val="none"/>
          <w:lang w:val="zh-CN" w:eastAsia="zh-CN"/>
        </w:rPr>
        <w:t>成本之和，科室级病种单位成本等于科室级病种总成本除以科室病种</w:t>
      </w:r>
      <w:r>
        <w:rPr>
          <w:rFonts w:hint="eastAsia" w:ascii="宋体" w:hAnsi="宋体" w:eastAsia="宋体" w:cs="宋体"/>
          <w:bCs/>
          <w:spacing w:val="6"/>
          <w:szCs w:val="21"/>
          <w:highlight w:val="none"/>
          <w:lang w:val="en-US" w:eastAsia="zh-CN"/>
        </w:rPr>
        <w:t>病人</w:t>
      </w:r>
      <w:r>
        <w:rPr>
          <w:rFonts w:hint="eastAsia" w:ascii="宋体" w:hAnsi="宋体" w:eastAsia="宋体" w:cs="宋体"/>
          <w:bCs/>
          <w:spacing w:val="6"/>
          <w:szCs w:val="21"/>
          <w:highlight w:val="none"/>
          <w:lang w:val="zh-CN" w:eastAsia="zh-CN"/>
        </w:rPr>
        <w:t>数</w:t>
      </w:r>
      <w:r>
        <w:rPr>
          <w:rFonts w:hint="eastAsia" w:ascii="宋体" w:hAnsi="宋体" w:eastAsia="宋体" w:cs="宋体"/>
          <w:bCs/>
          <w:spacing w:val="6"/>
          <w:szCs w:val="21"/>
          <w:highlight w:val="none"/>
          <w:lang w:val="en-US" w:eastAsia="zh-CN"/>
        </w:rPr>
        <w:t>。</w:t>
      </w:r>
    </w:p>
    <w:p w14:paraId="1068EC81">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zh-CN" w:eastAsia="zh-CN"/>
        </w:rPr>
      </w:pPr>
      <w:r>
        <w:rPr>
          <w:rFonts w:hint="eastAsia" w:ascii="宋体" w:hAnsi="宋体" w:eastAsia="宋体" w:cs="宋体"/>
          <w:bCs/>
          <w:spacing w:val="6"/>
          <w:szCs w:val="21"/>
          <w:highlight w:val="none"/>
          <w:lang w:val="en-US" w:eastAsia="zh-CN"/>
        </w:rPr>
        <w:t>8）支持院级病种成本核算，将病人</w:t>
      </w:r>
      <w:r>
        <w:rPr>
          <w:rFonts w:hint="eastAsia" w:ascii="宋体" w:hAnsi="宋体" w:eastAsia="宋体" w:cs="宋体"/>
          <w:bCs/>
          <w:spacing w:val="6"/>
          <w:szCs w:val="21"/>
          <w:highlight w:val="none"/>
          <w:lang w:val="zh-CN" w:eastAsia="zh-CN"/>
        </w:rPr>
        <w:t>成本</w:t>
      </w:r>
      <w:r>
        <w:rPr>
          <w:rFonts w:hint="eastAsia" w:ascii="宋体" w:hAnsi="宋体" w:eastAsia="宋体" w:cs="宋体"/>
          <w:bCs/>
          <w:spacing w:val="6"/>
          <w:szCs w:val="21"/>
          <w:highlight w:val="none"/>
          <w:lang w:val="en-US" w:eastAsia="zh-CN"/>
        </w:rPr>
        <w:t>在全面层面按病种进行汇总，形成院级病种总成本，院</w:t>
      </w:r>
      <w:r>
        <w:rPr>
          <w:rFonts w:hint="eastAsia" w:ascii="宋体" w:hAnsi="宋体" w:eastAsia="宋体" w:cs="宋体"/>
          <w:bCs/>
          <w:spacing w:val="6"/>
          <w:szCs w:val="21"/>
          <w:highlight w:val="none"/>
          <w:lang w:val="zh-CN" w:eastAsia="zh-CN"/>
        </w:rPr>
        <w:t>级病种总成本等于</w:t>
      </w:r>
      <w:r>
        <w:rPr>
          <w:rFonts w:hint="eastAsia" w:ascii="宋体" w:hAnsi="宋体" w:eastAsia="宋体" w:cs="宋体"/>
          <w:bCs/>
          <w:spacing w:val="6"/>
          <w:szCs w:val="21"/>
          <w:highlight w:val="none"/>
          <w:lang w:val="en-US" w:eastAsia="zh-CN"/>
        </w:rPr>
        <w:t>全院</w:t>
      </w:r>
      <w:r>
        <w:rPr>
          <w:rFonts w:hint="eastAsia" w:ascii="宋体" w:hAnsi="宋体" w:eastAsia="宋体" w:cs="宋体"/>
          <w:bCs/>
          <w:spacing w:val="6"/>
          <w:szCs w:val="21"/>
          <w:highlight w:val="none"/>
          <w:lang w:val="zh-CN" w:eastAsia="zh-CN"/>
        </w:rPr>
        <w:t>该病种出院</w:t>
      </w:r>
      <w:r>
        <w:rPr>
          <w:rFonts w:hint="eastAsia" w:ascii="宋体" w:hAnsi="宋体" w:eastAsia="宋体" w:cs="宋体"/>
          <w:bCs/>
          <w:spacing w:val="6"/>
          <w:szCs w:val="21"/>
          <w:highlight w:val="none"/>
          <w:lang w:val="en-US" w:eastAsia="zh-CN"/>
        </w:rPr>
        <w:t>病人</w:t>
      </w:r>
      <w:r>
        <w:rPr>
          <w:rFonts w:hint="eastAsia" w:ascii="宋体" w:hAnsi="宋体" w:eastAsia="宋体" w:cs="宋体"/>
          <w:bCs/>
          <w:spacing w:val="6"/>
          <w:szCs w:val="21"/>
          <w:highlight w:val="none"/>
          <w:lang w:val="zh-CN" w:eastAsia="zh-CN"/>
        </w:rPr>
        <w:t>成本之和，</w:t>
      </w:r>
      <w:r>
        <w:rPr>
          <w:rFonts w:hint="eastAsia" w:ascii="宋体" w:hAnsi="宋体" w:eastAsia="宋体" w:cs="宋体"/>
          <w:bCs/>
          <w:spacing w:val="6"/>
          <w:szCs w:val="21"/>
          <w:highlight w:val="none"/>
          <w:lang w:val="en-US" w:eastAsia="zh-CN"/>
        </w:rPr>
        <w:t>院</w:t>
      </w:r>
      <w:r>
        <w:rPr>
          <w:rFonts w:hint="eastAsia" w:ascii="宋体" w:hAnsi="宋体" w:eastAsia="宋体" w:cs="宋体"/>
          <w:bCs/>
          <w:spacing w:val="6"/>
          <w:szCs w:val="21"/>
          <w:highlight w:val="none"/>
          <w:lang w:val="zh-CN" w:eastAsia="zh-CN"/>
        </w:rPr>
        <w:t>级病种单位成本等于</w:t>
      </w:r>
      <w:r>
        <w:rPr>
          <w:rFonts w:hint="eastAsia" w:ascii="宋体" w:hAnsi="宋体" w:eastAsia="宋体" w:cs="宋体"/>
          <w:bCs/>
          <w:spacing w:val="6"/>
          <w:szCs w:val="21"/>
          <w:highlight w:val="none"/>
          <w:lang w:val="en-US" w:eastAsia="zh-CN"/>
        </w:rPr>
        <w:t>院</w:t>
      </w:r>
      <w:r>
        <w:rPr>
          <w:rFonts w:hint="eastAsia" w:ascii="宋体" w:hAnsi="宋体" w:eastAsia="宋体" w:cs="宋体"/>
          <w:bCs/>
          <w:spacing w:val="6"/>
          <w:szCs w:val="21"/>
          <w:highlight w:val="none"/>
          <w:lang w:val="zh-CN" w:eastAsia="zh-CN"/>
        </w:rPr>
        <w:t>级病种总成本除以</w:t>
      </w:r>
      <w:r>
        <w:rPr>
          <w:rFonts w:hint="eastAsia" w:ascii="宋体" w:hAnsi="宋体" w:eastAsia="宋体" w:cs="宋体"/>
          <w:bCs/>
          <w:spacing w:val="6"/>
          <w:szCs w:val="21"/>
          <w:highlight w:val="none"/>
          <w:lang w:val="en-US" w:eastAsia="zh-CN"/>
        </w:rPr>
        <w:t>全院</w:t>
      </w:r>
      <w:r>
        <w:rPr>
          <w:rFonts w:hint="eastAsia" w:ascii="宋体" w:hAnsi="宋体" w:eastAsia="宋体" w:cs="宋体"/>
          <w:bCs/>
          <w:spacing w:val="6"/>
          <w:szCs w:val="21"/>
          <w:highlight w:val="none"/>
          <w:lang w:val="zh-CN" w:eastAsia="zh-CN"/>
        </w:rPr>
        <w:t>病种</w:t>
      </w:r>
      <w:r>
        <w:rPr>
          <w:rFonts w:hint="eastAsia" w:ascii="宋体" w:hAnsi="宋体" w:eastAsia="宋体" w:cs="宋体"/>
          <w:bCs/>
          <w:spacing w:val="6"/>
          <w:szCs w:val="21"/>
          <w:highlight w:val="none"/>
          <w:lang w:val="en-US" w:eastAsia="zh-CN"/>
        </w:rPr>
        <w:t>病人</w:t>
      </w:r>
      <w:r>
        <w:rPr>
          <w:rFonts w:hint="eastAsia" w:ascii="宋体" w:hAnsi="宋体" w:eastAsia="宋体" w:cs="宋体"/>
          <w:bCs/>
          <w:spacing w:val="6"/>
          <w:szCs w:val="21"/>
          <w:highlight w:val="none"/>
          <w:lang w:val="zh-CN" w:eastAsia="zh-CN"/>
        </w:rPr>
        <w:t>数</w:t>
      </w:r>
      <w:r>
        <w:rPr>
          <w:rFonts w:hint="eastAsia" w:ascii="宋体" w:hAnsi="宋体" w:eastAsia="宋体" w:cs="宋体"/>
          <w:bCs/>
          <w:spacing w:val="6"/>
          <w:szCs w:val="21"/>
          <w:highlight w:val="none"/>
          <w:lang w:val="en-US" w:eastAsia="zh-CN"/>
        </w:rPr>
        <w:t>。</w:t>
      </w:r>
    </w:p>
    <w:p w14:paraId="7D3A3940">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9）支持在成本发布前，可以反复修改方案并进行核算，数据发布后，对核算结果进行锁定，便后后续的数据查询、统计与分析。</w:t>
      </w:r>
    </w:p>
    <w:p w14:paraId="29966FDB">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bookmarkStart w:id="383" w:name="_Toc127548261"/>
      <w:r>
        <w:rPr>
          <w:rFonts w:hint="eastAsia" w:ascii="宋体" w:hAnsi="宋体" w:eastAsia="宋体" w:cs="宋体"/>
          <w:b/>
          <w:bCs w:val="0"/>
          <w:spacing w:val="6"/>
          <w:szCs w:val="21"/>
          <w:highlight w:val="none"/>
          <w:lang w:val="en-US" w:eastAsia="zh-CN"/>
        </w:rPr>
        <w:t xml:space="preserve">2.3.4.3 </w:t>
      </w:r>
      <w:bookmarkStart w:id="384" w:name="_Toc21923"/>
      <w:bookmarkStart w:id="385" w:name="_Toc205288565"/>
      <w:r>
        <w:rPr>
          <w:rFonts w:hint="eastAsia" w:ascii="宋体" w:hAnsi="宋体" w:eastAsia="宋体" w:cs="宋体"/>
          <w:b/>
          <w:bCs w:val="0"/>
          <w:spacing w:val="6"/>
          <w:szCs w:val="21"/>
          <w:highlight w:val="none"/>
          <w:lang w:val="en-US" w:eastAsia="zh-CN"/>
        </w:rPr>
        <w:t>成本报表</w:t>
      </w:r>
      <w:bookmarkEnd w:id="383"/>
      <w:bookmarkEnd w:id="384"/>
      <w:bookmarkEnd w:id="385"/>
    </w:p>
    <w:p w14:paraId="6F85EB1D">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1）支持病种盈亏分析，分析全院病例数、病种情况、及盈亏整体情况，分析各科室病例数、病种情况、及盈亏整体情况，分析各疾病分类病例数、入组情况、及盈亏整体情况。</w:t>
      </w:r>
    </w:p>
    <w:p w14:paraId="0BD2BDEA">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2）支持病种收益分析，分析全院角度对各个病种的收益情况，分析全院角度对各个病种的各个项目分类的的收益情况进行详细情况，分析科室角度对各个病种的收益情况，分析科室角度对各个病种的各个项目分类的的收益情况进行详细情况。</w:t>
      </w:r>
    </w:p>
    <w:p w14:paraId="59DA62B7">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3）支持病种趋势分析，分析全院角度对各个病种的病例数、病例成本、结余等趋势，分析科室角度对各个病种的病例数、病例成本、结余等趋势。</w:t>
      </w:r>
    </w:p>
    <w:p w14:paraId="596880E7">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4）支持病种成本结构分析，从全院角度对各个病种的成本构成情况进行分析，从各个科室角度对各个病种的成本构成情况进行分析。</w:t>
      </w:r>
    </w:p>
    <w:p w14:paraId="5712DBEC">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5）支持病种成本控制分析，排序分析全院各个病种的结余情况，排序分析全院病种的收入情况。</w:t>
      </w:r>
    </w:p>
    <w:p w14:paraId="7C703719">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6）所有报表均支持按excel、pdf、csv格式进行导出。</w:t>
      </w:r>
    </w:p>
    <w:p w14:paraId="3A98AFB1">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color w:val="000000" w:themeColor="text1"/>
          <w:spacing w:val="6"/>
          <w:szCs w:val="21"/>
          <w:highlight w:val="none"/>
          <w:lang w:val="en-US" w:eastAsia="zh-CN"/>
          <w14:textFill>
            <w14:solidFill>
              <w14:schemeClr w14:val="tx1"/>
            </w14:solidFill>
          </w14:textFill>
        </w:rPr>
      </w:pPr>
      <w:bookmarkStart w:id="386" w:name="_Toc6380"/>
      <w:bookmarkStart w:id="387" w:name="_Toc127548264"/>
      <w:bookmarkStart w:id="388" w:name="_Toc205288567"/>
      <w:r>
        <w:rPr>
          <w:rFonts w:hint="eastAsia" w:ascii="宋体" w:hAnsi="宋体" w:eastAsia="宋体" w:cs="宋体"/>
          <w:b/>
          <w:bCs w:val="0"/>
          <w:color w:val="000000" w:themeColor="text1"/>
          <w:spacing w:val="6"/>
          <w:szCs w:val="21"/>
          <w:highlight w:val="none"/>
          <w:lang w:val="en-US" w:eastAsia="zh-CN"/>
          <w14:textFill>
            <w14:solidFill>
              <w14:schemeClr w14:val="tx1"/>
            </w14:solidFill>
          </w14:textFill>
        </w:rPr>
        <w:t>▲2.3.4.4 分析报告</w:t>
      </w:r>
    </w:p>
    <w:p w14:paraId="00173C3B">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color w:val="000000" w:themeColor="text1"/>
          <w:spacing w:val="6"/>
          <w:szCs w:val="21"/>
          <w:highlight w:val="none"/>
          <w:lang w:val="en-US" w:eastAsia="zh-CN"/>
          <w14:textFill>
            <w14:solidFill>
              <w14:schemeClr w14:val="tx1"/>
            </w14:solidFill>
          </w14:textFill>
        </w:rPr>
      </w:pPr>
      <w:r>
        <w:rPr>
          <w:rFonts w:hint="eastAsia" w:ascii="宋体" w:hAnsi="宋体" w:eastAsia="宋体" w:cs="宋体"/>
          <w:b/>
          <w:bCs w:val="0"/>
          <w:color w:val="000000" w:themeColor="text1"/>
          <w:spacing w:val="6"/>
          <w:szCs w:val="21"/>
          <w:highlight w:val="none"/>
          <w:lang w:val="en-US" w:eastAsia="zh-CN"/>
          <w14:textFill>
            <w14:solidFill>
              <w14:schemeClr w14:val="tx1"/>
            </w14:solidFill>
          </w14:textFill>
        </w:rPr>
        <w:t>支持自动生成以院级及科室为单位的病种成本分析报告，并进行查询和下载。</w:t>
      </w:r>
    </w:p>
    <w:p w14:paraId="2D7195DA">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r>
        <w:rPr>
          <w:rFonts w:hint="eastAsia" w:ascii="宋体" w:hAnsi="宋体" w:eastAsia="宋体" w:cs="宋体"/>
          <w:b/>
          <w:bCs w:val="0"/>
          <w:spacing w:val="6"/>
          <w:szCs w:val="21"/>
          <w:highlight w:val="none"/>
          <w:lang w:val="en-US" w:eastAsia="zh-CN"/>
        </w:rPr>
        <w:t>2.3.4.5 基础设置</w:t>
      </w:r>
      <w:bookmarkEnd w:id="386"/>
      <w:bookmarkEnd w:id="387"/>
      <w:bookmarkEnd w:id="388"/>
    </w:p>
    <w:p w14:paraId="745D83D8">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1）支持病种成本核算相关的参数设置。包括：病种定义方式、药品管理成本分摊依据、药品计算方法设置、单收费材料计算方法设置、支持启用多院区设置。</w:t>
      </w:r>
    </w:p>
    <w:p w14:paraId="3CE36803">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2）支持维护加成率的维护。</w:t>
      </w:r>
    </w:p>
    <w:p w14:paraId="2EF8F741">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bookmarkStart w:id="389" w:name="_Toc127548273"/>
      <w:bookmarkStart w:id="390" w:name="_Toc205288568"/>
      <w:bookmarkStart w:id="391" w:name="_Toc18056"/>
      <w:r>
        <w:rPr>
          <w:rFonts w:hint="eastAsia" w:ascii="宋体" w:hAnsi="宋体" w:eastAsia="宋体" w:cs="宋体"/>
          <w:b/>
          <w:bCs w:val="0"/>
          <w:spacing w:val="6"/>
          <w:szCs w:val="21"/>
          <w:highlight w:val="none"/>
          <w:lang w:val="en-US" w:eastAsia="zh-CN"/>
        </w:rPr>
        <w:t>2.3.5 DIP成本管理系统（叠加法）</w:t>
      </w:r>
      <w:bookmarkEnd w:id="389"/>
      <w:bookmarkEnd w:id="390"/>
      <w:bookmarkEnd w:id="391"/>
    </w:p>
    <w:p w14:paraId="2DBB4979">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bookmarkStart w:id="392" w:name="_Toc127548274"/>
      <w:r>
        <w:rPr>
          <w:rFonts w:hint="eastAsia" w:ascii="宋体" w:hAnsi="宋体" w:eastAsia="宋体" w:cs="宋体"/>
          <w:b/>
          <w:bCs w:val="0"/>
          <w:spacing w:val="6"/>
          <w:szCs w:val="21"/>
          <w:highlight w:val="none"/>
          <w:lang w:val="en-US" w:eastAsia="zh-CN"/>
        </w:rPr>
        <w:t xml:space="preserve">2.3.5.1 </w:t>
      </w:r>
      <w:bookmarkStart w:id="393" w:name="_Toc205288569"/>
      <w:bookmarkStart w:id="394" w:name="_Toc26443"/>
      <w:r>
        <w:rPr>
          <w:rFonts w:hint="eastAsia" w:ascii="宋体" w:hAnsi="宋体" w:eastAsia="宋体" w:cs="宋体"/>
          <w:b/>
          <w:bCs w:val="0"/>
          <w:spacing w:val="6"/>
          <w:szCs w:val="21"/>
          <w:highlight w:val="none"/>
          <w:lang w:val="en-US" w:eastAsia="zh-CN"/>
        </w:rPr>
        <w:t>基础数据维护</w:t>
      </w:r>
      <w:bookmarkEnd w:id="392"/>
      <w:bookmarkEnd w:id="393"/>
      <w:bookmarkEnd w:id="394"/>
    </w:p>
    <w:p w14:paraId="04FE8587">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bookmarkStart w:id="395" w:name="_Toc127548275"/>
      <w:r>
        <w:rPr>
          <w:rFonts w:hint="eastAsia" w:ascii="宋体" w:hAnsi="宋体" w:eastAsia="宋体" w:cs="宋体"/>
          <w:bCs/>
          <w:spacing w:val="6"/>
          <w:szCs w:val="21"/>
          <w:highlight w:val="none"/>
          <w:lang w:val="en-US" w:eastAsia="zh-CN"/>
        </w:rPr>
        <w:t>1）系统支持和其他相关业务系统建立接口，每月自动获取DIP成本核算所需的病案首页数据、病例分组情况、费用结算明细、项目成本数据，若无法建立接口，系统支持按照模板导入数据。</w:t>
      </w:r>
    </w:p>
    <w:p w14:paraId="6A92CD12">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2）支持科室、项目、DIP成本核算数据同源，与科室成本核算共用患者收费明细数据。</w:t>
      </w:r>
    </w:p>
    <w:p w14:paraId="4B2C0C72">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val="0"/>
          <w:bCs/>
          <w:spacing w:val="6"/>
          <w:szCs w:val="21"/>
          <w:highlight w:val="none"/>
          <w:lang w:val="en-US" w:eastAsia="zh-CN"/>
        </w:rPr>
      </w:pPr>
      <w:r>
        <w:rPr>
          <w:rFonts w:hint="eastAsia" w:ascii="宋体" w:hAnsi="宋体" w:eastAsia="宋体" w:cs="宋体"/>
          <w:b w:val="0"/>
          <w:bCs/>
          <w:spacing w:val="6"/>
          <w:szCs w:val="21"/>
          <w:highlight w:val="none"/>
          <w:lang w:val="en-US" w:eastAsia="zh-CN"/>
        </w:rPr>
        <w:t>3）支持接入患者DIP结算数据，用实际结算数据与患者成本形成对比，形成真实的收入与成本分析。</w:t>
      </w:r>
    </w:p>
    <w:p w14:paraId="676A94DF">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r>
        <w:rPr>
          <w:rFonts w:hint="eastAsia" w:ascii="宋体" w:hAnsi="宋体" w:eastAsia="宋体" w:cs="宋体"/>
          <w:b/>
          <w:bCs w:val="0"/>
          <w:spacing w:val="6"/>
          <w:szCs w:val="21"/>
          <w:highlight w:val="none"/>
          <w:lang w:val="en-US" w:eastAsia="zh-CN"/>
        </w:rPr>
        <w:t xml:space="preserve">2.3.5.2 </w:t>
      </w:r>
      <w:bookmarkStart w:id="396" w:name="_Toc205288570"/>
      <w:bookmarkStart w:id="397" w:name="_Toc15088"/>
      <w:r>
        <w:rPr>
          <w:rFonts w:hint="eastAsia" w:ascii="宋体" w:hAnsi="宋体" w:eastAsia="宋体" w:cs="宋体"/>
          <w:b/>
          <w:bCs w:val="0"/>
          <w:spacing w:val="6"/>
          <w:szCs w:val="21"/>
          <w:highlight w:val="none"/>
          <w:lang w:val="en-US" w:eastAsia="zh-CN"/>
        </w:rPr>
        <w:t>成本计算</w:t>
      </w:r>
      <w:bookmarkEnd w:id="395"/>
      <w:bookmarkEnd w:id="396"/>
      <w:bookmarkEnd w:id="397"/>
    </w:p>
    <w:p w14:paraId="701C3F39">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bookmarkStart w:id="398" w:name="_Toc127548276"/>
      <w:r>
        <w:rPr>
          <w:rFonts w:hint="eastAsia" w:ascii="宋体" w:hAnsi="宋体" w:eastAsia="宋体" w:cs="宋体"/>
          <w:bCs/>
          <w:spacing w:val="6"/>
          <w:szCs w:val="21"/>
          <w:highlight w:val="none"/>
          <w:lang w:val="en-US" w:eastAsia="zh-CN"/>
        </w:rPr>
        <w:t>1）支持按任意时间段定义DIP成本核算方案，进行DIP成本核算。</w:t>
      </w:r>
    </w:p>
    <w:p w14:paraId="3BF472AF">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r>
        <w:rPr>
          <w:rFonts w:hint="eastAsia" w:ascii="宋体" w:hAnsi="宋体" w:eastAsia="宋体" w:cs="宋体"/>
          <w:b/>
          <w:bCs w:val="0"/>
          <w:spacing w:val="6"/>
          <w:szCs w:val="21"/>
          <w:highlight w:val="none"/>
          <w:lang w:val="en-US" w:eastAsia="zh-CN"/>
        </w:rPr>
        <w:t>▲2）支持同一时间段的DIP成本核算按不同的项目成本版本进行灵活核算。</w:t>
      </w:r>
    </w:p>
    <w:p w14:paraId="17FA37E0">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highlight w:val="none"/>
          <w:lang w:val="en-US" w:eastAsia="zh-CN"/>
        </w:rPr>
      </w:pPr>
      <w:r>
        <w:rPr>
          <w:rFonts w:hint="eastAsia" w:ascii="宋体" w:hAnsi="宋体" w:eastAsia="宋体" w:cs="宋体"/>
          <w:bCs/>
          <w:spacing w:val="6"/>
          <w:szCs w:val="21"/>
          <w:highlight w:val="none"/>
          <w:lang w:val="en-US" w:eastAsia="zh-CN"/>
        </w:rPr>
        <w:t>3）DIP成本计算完成，支持从全院医疗收入与成本、门诊收入与成本、住院收入与成本，DIP患者收入与成本、非DIP患者收入与成本的平衡性和DIP成本的同比变化两个方面进行校验;</w:t>
      </w:r>
    </w:p>
    <w:p w14:paraId="1FF2BC43">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r>
        <w:rPr>
          <w:rFonts w:hint="eastAsia" w:ascii="宋体" w:hAnsi="宋体" w:eastAsia="宋体" w:cs="宋体"/>
          <w:b/>
          <w:bCs w:val="0"/>
          <w:spacing w:val="6"/>
          <w:szCs w:val="21"/>
          <w:highlight w:val="none"/>
          <w:lang w:val="en-US" w:eastAsia="zh-CN"/>
        </w:rPr>
        <w:t>▲4）支持病人个案成本核算，按照每份病历采集信息区分每份病历消耗的医疗服务项目、药品和单收费材料成本。其中医疗服务项目成本应首先采用科室的核算结果，涉及医院公用的医疗技术服务成本可以采用医技科室的核算结果。药品和单收费材料成本按照加成率反推方式核算。将上述成本进行叠加，形成每病历实际成本。</w:t>
      </w:r>
    </w:p>
    <w:p w14:paraId="6148190E">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val="0"/>
          <w:bCs/>
          <w:spacing w:val="6"/>
          <w:szCs w:val="21"/>
          <w:highlight w:val="none"/>
          <w:lang w:val="zh-CN" w:eastAsia="zh-CN"/>
        </w:rPr>
      </w:pPr>
      <w:r>
        <w:rPr>
          <w:rFonts w:hint="eastAsia" w:ascii="宋体" w:hAnsi="宋体" w:eastAsia="宋体" w:cs="宋体"/>
          <w:b w:val="0"/>
          <w:bCs/>
          <w:spacing w:val="6"/>
          <w:szCs w:val="21"/>
          <w:highlight w:val="none"/>
          <w:lang w:val="en-US" w:eastAsia="zh-CN"/>
        </w:rPr>
        <w:t>5）支持科室级DIP病种成本核算，将病人</w:t>
      </w:r>
      <w:r>
        <w:rPr>
          <w:rFonts w:hint="eastAsia" w:ascii="宋体" w:hAnsi="宋体" w:eastAsia="宋体" w:cs="宋体"/>
          <w:b w:val="0"/>
          <w:bCs/>
          <w:spacing w:val="6"/>
          <w:szCs w:val="21"/>
          <w:highlight w:val="none"/>
          <w:lang w:val="zh-CN" w:eastAsia="zh-CN"/>
        </w:rPr>
        <w:t>成本</w:t>
      </w:r>
      <w:r>
        <w:rPr>
          <w:rFonts w:hint="eastAsia" w:ascii="宋体" w:hAnsi="宋体" w:eastAsia="宋体" w:cs="宋体"/>
          <w:b w:val="0"/>
          <w:bCs/>
          <w:spacing w:val="6"/>
          <w:szCs w:val="21"/>
          <w:highlight w:val="none"/>
          <w:lang w:val="en-US" w:eastAsia="zh-CN"/>
        </w:rPr>
        <w:t>在科室层面按病种进行汇总，形成科室级DIP病种总成本，</w:t>
      </w:r>
      <w:r>
        <w:rPr>
          <w:rFonts w:hint="eastAsia" w:ascii="宋体" w:hAnsi="宋体" w:eastAsia="宋体" w:cs="宋体"/>
          <w:b w:val="0"/>
          <w:bCs/>
          <w:spacing w:val="6"/>
          <w:szCs w:val="21"/>
          <w:highlight w:val="none"/>
          <w:lang w:val="zh-CN" w:eastAsia="zh-CN"/>
        </w:rPr>
        <w:t>科室级</w:t>
      </w:r>
      <w:r>
        <w:rPr>
          <w:rFonts w:hint="eastAsia" w:ascii="宋体" w:hAnsi="宋体" w:eastAsia="宋体" w:cs="宋体"/>
          <w:b w:val="0"/>
          <w:bCs/>
          <w:spacing w:val="6"/>
          <w:szCs w:val="21"/>
          <w:highlight w:val="none"/>
          <w:lang w:val="en-US" w:eastAsia="zh-CN"/>
        </w:rPr>
        <w:t>DIP病种</w:t>
      </w:r>
      <w:r>
        <w:rPr>
          <w:rFonts w:hint="eastAsia" w:ascii="宋体" w:hAnsi="宋体" w:eastAsia="宋体" w:cs="宋体"/>
          <w:b w:val="0"/>
          <w:bCs/>
          <w:spacing w:val="6"/>
          <w:szCs w:val="21"/>
          <w:highlight w:val="none"/>
          <w:lang w:val="zh-CN" w:eastAsia="zh-CN"/>
        </w:rPr>
        <w:t>总成本等于科室该病种出院</w:t>
      </w:r>
      <w:r>
        <w:rPr>
          <w:rFonts w:hint="eastAsia" w:ascii="宋体" w:hAnsi="宋体" w:eastAsia="宋体" w:cs="宋体"/>
          <w:b w:val="0"/>
          <w:bCs/>
          <w:spacing w:val="6"/>
          <w:szCs w:val="21"/>
          <w:highlight w:val="none"/>
          <w:lang w:val="en-US" w:eastAsia="zh-CN"/>
        </w:rPr>
        <w:t>病人</w:t>
      </w:r>
      <w:r>
        <w:rPr>
          <w:rFonts w:hint="eastAsia" w:ascii="宋体" w:hAnsi="宋体" w:eastAsia="宋体" w:cs="宋体"/>
          <w:b w:val="0"/>
          <w:bCs/>
          <w:spacing w:val="6"/>
          <w:szCs w:val="21"/>
          <w:highlight w:val="none"/>
          <w:lang w:val="zh-CN" w:eastAsia="zh-CN"/>
        </w:rPr>
        <w:t>成本之和，科室级</w:t>
      </w:r>
      <w:r>
        <w:rPr>
          <w:rFonts w:hint="eastAsia" w:ascii="宋体" w:hAnsi="宋体" w:eastAsia="宋体" w:cs="宋体"/>
          <w:b w:val="0"/>
          <w:bCs/>
          <w:spacing w:val="6"/>
          <w:szCs w:val="21"/>
          <w:highlight w:val="none"/>
          <w:lang w:val="en-US" w:eastAsia="zh-CN"/>
        </w:rPr>
        <w:t>DIP病种</w:t>
      </w:r>
      <w:r>
        <w:rPr>
          <w:rFonts w:hint="eastAsia" w:ascii="宋体" w:hAnsi="宋体" w:eastAsia="宋体" w:cs="宋体"/>
          <w:b w:val="0"/>
          <w:bCs/>
          <w:spacing w:val="6"/>
          <w:szCs w:val="21"/>
          <w:highlight w:val="none"/>
          <w:lang w:val="zh-CN" w:eastAsia="zh-CN"/>
        </w:rPr>
        <w:t>单位成本等于科室级病种总成本除以科室病种</w:t>
      </w:r>
      <w:r>
        <w:rPr>
          <w:rFonts w:hint="eastAsia" w:ascii="宋体" w:hAnsi="宋体" w:eastAsia="宋体" w:cs="宋体"/>
          <w:b w:val="0"/>
          <w:bCs/>
          <w:spacing w:val="6"/>
          <w:szCs w:val="21"/>
          <w:highlight w:val="none"/>
          <w:lang w:val="en-US" w:eastAsia="zh-CN"/>
        </w:rPr>
        <w:t>病人</w:t>
      </w:r>
      <w:r>
        <w:rPr>
          <w:rFonts w:hint="eastAsia" w:ascii="宋体" w:hAnsi="宋体" w:eastAsia="宋体" w:cs="宋体"/>
          <w:b w:val="0"/>
          <w:bCs/>
          <w:spacing w:val="6"/>
          <w:szCs w:val="21"/>
          <w:highlight w:val="none"/>
          <w:lang w:val="zh-CN" w:eastAsia="zh-CN"/>
        </w:rPr>
        <w:t>数</w:t>
      </w:r>
      <w:r>
        <w:rPr>
          <w:rFonts w:hint="eastAsia" w:ascii="宋体" w:hAnsi="宋体" w:eastAsia="宋体" w:cs="宋体"/>
          <w:b w:val="0"/>
          <w:bCs/>
          <w:spacing w:val="6"/>
          <w:szCs w:val="21"/>
          <w:highlight w:val="none"/>
          <w:lang w:val="en-US" w:eastAsia="zh-CN"/>
        </w:rPr>
        <w:t>。</w:t>
      </w:r>
    </w:p>
    <w:p w14:paraId="30F127D2">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val="0"/>
          <w:bCs/>
          <w:spacing w:val="6"/>
          <w:szCs w:val="21"/>
          <w:lang w:val="zh-CN" w:eastAsia="zh-CN"/>
        </w:rPr>
      </w:pPr>
      <w:r>
        <w:rPr>
          <w:rFonts w:hint="eastAsia" w:ascii="宋体" w:hAnsi="宋体" w:eastAsia="宋体" w:cs="宋体"/>
          <w:b w:val="0"/>
          <w:bCs/>
          <w:spacing w:val="6"/>
          <w:szCs w:val="21"/>
          <w:lang w:val="en-US" w:eastAsia="zh-CN"/>
        </w:rPr>
        <w:t>6）支持院级DIP病种成本核算，将病人</w:t>
      </w:r>
      <w:r>
        <w:rPr>
          <w:rFonts w:hint="eastAsia" w:ascii="宋体" w:hAnsi="宋体" w:eastAsia="宋体" w:cs="宋体"/>
          <w:b w:val="0"/>
          <w:bCs/>
          <w:spacing w:val="6"/>
          <w:szCs w:val="21"/>
          <w:lang w:val="zh-CN" w:eastAsia="zh-CN"/>
        </w:rPr>
        <w:t>成本</w:t>
      </w:r>
      <w:r>
        <w:rPr>
          <w:rFonts w:hint="eastAsia" w:ascii="宋体" w:hAnsi="宋体" w:eastAsia="宋体" w:cs="宋体"/>
          <w:b w:val="0"/>
          <w:bCs/>
          <w:spacing w:val="6"/>
          <w:szCs w:val="21"/>
          <w:lang w:val="en-US" w:eastAsia="zh-CN"/>
        </w:rPr>
        <w:t>在全面层面按DIP病种进行汇总，形成院级DIP病种总成本，院</w:t>
      </w:r>
      <w:r>
        <w:rPr>
          <w:rFonts w:hint="eastAsia" w:ascii="宋体" w:hAnsi="宋体" w:eastAsia="宋体" w:cs="宋体"/>
          <w:b w:val="0"/>
          <w:bCs/>
          <w:spacing w:val="6"/>
          <w:szCs w:val="21"/>
          <w:lang w:val="zh-CN" w:eastAsia="zh-CN"/>
        </w:rPr>
        <w:t>级</w:t>
      </w:r>
      <w:r>
        <w:rPr>
          <w:rFonts w:hint="eastAsia" w:ascii="宋体" w:hAnsi="宋体" w:eastAsia="宋体" w:cs="宋体"/>
          <w:b w:val="0"/>
          <w:bCs/>
          <w:spacing w:val="6"/>
          <w:szCs w:val="21"/>
          <w:lang w:val="en-US" w:eastAsia="zh-CN"/>
        </w:rPr>
        <w:t>DIP病种</w:t>
      </w:r>
      <w:r>
        <w:rPr>
          <w:rFonts w:hint="eastAsia" w:ascii="宋体" w:hAnsi="宋体" w:eastAsia="宋体" w:cs="宋体"/>
          <w:b w:val="0"/>
          <w:bCs/>
          <w:spacing w:val="6"/>
          <w:szCs w:val="21"/>
          <w:lang w:val="zh-CN" w:eastAsia="zh-CN"/>
        </w:rPr>
        <w:t>总成本等于</w:t>
      </w:r>
      <w:r>
        <w:rPr>
          <w:rFonts w:hint="eastAsia" w:ascii="宋体" w:hAnsi="宋体" w:eastAsia="宋体" w:cs="宋体"/>
          <w:b w:val="0"/>
          <w:bCs/>
          <w:spacing w:val="6"/>
          <w:szCs w:val="21"/>
          <w:lang w:val="en-US" w:eastAsia="zh-CN"/>
        </w:rPr>
        <w:t>全院</w:t>
      </w:r>
      <w:r>
        <w:rPr>
          <w:rFonts w:hint="eastAsia" w:ascii="宋体" w:hAnsi="宋体" w:eastAsia="宋体" w:cs="宋体"/>
          <w:b w:val="0"/>
          <w:bCs/>
          <w:spacing w:val="6"/>
          <w:szCs w:val="21"/>
          <w:lang w:val="zh-CN" w:eastAsia="zh-CN"/>
        </w:rPr>
        <w:t>该病种出院</w:t>
      </w:r>
      <w:r>
        <w:rPr>
          <w:rFonts w:hint="eastAsia" w:ascii="宋体" w:hAnsi="宋体" w:eastAsia="宋体" w:cs="宋体"/>
          <w:b w:val="0"/>
          <w:bCs/>
          <w:spacing w:val="6"/>
          <w:szCs w:val="21"/>
          <w:lang w:val="en-US" w:eastAsia="zh-CN"/>
        </w:rPr>
        <w:t>病人</w:t>
      </w:r>
      <w:r>
        <w:rPr>
          <w:rFonts w:hint="eastAsia" w:ascii="宋体" w:hAnsi="宋体" w:eastAsia="宋体" w:cs="宋体"/>
          <w:b w:val="0"/>
          <w:bCs/>
          <w:spacing w:val="6"/>
          <w:szCs w:val="21"/>
          <w:lang w:val="zh-CN" w:eastAsia="zh-CN"/>
        </w:rPr>
        <w:t>成本之和，</w:t>
      </w:r>
      <w:r>
        <w:rPr>
          <w:rFonts w:hint="eastAsia" w:ascii="宋体" w:hAnsi="宋体" w:eastAsia="宋体" w:cs="宋体"/>
          <w:b w:val="0"/>
          <w:bCs/>
          <w:spacing w:val="6"/>
          <w:szCs w:val="21"/>
          <w:lang w:val="en-US" w:eastAsia="zh-CN"/>
        </w:rPr>
        <w:t>院</w:t>
      </w:r>
      <w:r>
        <w:rPr>
          <w:rFonts w:hint="eastAsia" w:ascii="宋体" w:hAnsi="宋体" w:eastAsia="宋体" w:cs="宋体"/>
          <w:b w:val="0"/>
          <w:bCs/>
          <w:spacing w:val="6"/>
          <w:szCs w:val="21"/>
          <w:lang w:val="zh-CN" w:eastAsia="zh-CN"/>
        </w:rPr>
        <w:t>级</w:t>
      </w:r>
      <w:r>
        <w:rPr>
          <w:rFonts w:hint="eastAsia" w:ascii="宋体" w:hAnsi="宋体" w:eastAsia="宋体" w:cs="宋体"/>
          <w:b w:val="0"/>
          <w:bCs/>
          <w:spacing w:val="6"/>
          <w:szCs w:val="21"/>
          <w:lang w:val="en-US" w:eastAsia="zh-CN"/>
        </w:rPr>
        <w:t>DIP病种</w:t>
      </w:r>
      <w:r>
        <w:rPr>
          <w:rFonts w:hint="eastAsia" w:ascii="宋体" w:hAnsi="宋体" w:eastAsia="宋体" w:cs="宋体"/>
          <w:b w:val="0"/>
          <w:bCs/>
          <w:spacing w:val="6"/>
          <w:szCs w:val="21"/>
          <w:lang w:val="zh-CN" w:eastAsia="zh-CN"/>
        </w:rPr>
        <w:t>单位成本等于</w:t>
      </w:r>
      <w:r>
        <w:rPr>
          <w:rFonts w:hint="eastAsia" w:ascii="宋体" w:hAnsi="宋体" w:eastAsia="宋体" w:cs="宋体"/>
          <w:b w:val="0"/>
          <w:bCs/>
          <w:spacing w:val="6"/>
          <w:szCs w:val="21"/>
          <w:lang w:val="en-US" w:eastAsia="zh-CN"/>
        </w:rPr>
        <w:t>院</w:t>
      </w:r>
      <w:r>
        <w:rPr>
          <w:rFonts w:hint="eastAsia" w:ascii="宋体" w:hAnsi="宋体" w:eastAsia="宋体" w:cs="宋体"/>
          <w:b w:val="0"/>
          <w:bCs/>
          <w:spacing w:val="6"/>
          <w:szCs w:val="21"/>
          <w:lang w:val="zh-CN" w:eastAsia="zh-CN"/>
        </w:rPr>
        <w:t>级病种总成本除以</w:t>
      </w:r>
      <w:r>
        <w:rPr>
          <w:rFonts w:hint="eastAsia" w:ascii="宋体" w:hAnsi="宋体" w:eastAsia="宋体" w:cs="宋体"/>
          <w:b w:val="0"/>
          <w:bCs/>
          <w:spacing w:val="6"/>
          <w:szCs w:val="21"/>
          <w:lang w:val="en-US" w:eastAsia="zh-CN"/>
        </w:rPr>
        <w:t>全院</w:t>
      </w:r>
      <w:r>
        <w:rPr>
          <w:rFonts w:hint="eastAsia" w:ascii="宋体" w:hAnsi="宋体" w:eastAsia="宋体" w:cs="宋体"/>
          <w:b w:val="0"/>
          <w:bCs/>
          <w:spacing w:val="6"/>
          <w:szCs w:val="21"/>
          <w:lang w:val="zh-CN" w:eastAsia="zh-CN"/>
        </w:rPr>
        <w:t>病种</w:t>
      </w:r>
      <w:r>
        <w:rPr>
          <w:rFonts w:hint="eastAsia" w:ascii="宋体" w:hAnsi="宋体" w:eastAsia="宋体" w:cs="宋体"/>
          <w:b w:val="0"/>
          <w:bCs/>
          <w:spacing w:val="6"/>
          <w:szCs w:val="21"/>
          <w:lang w:val="en-US" w:eastAsia="zh-CN"/>
        </w:rPr>
        <w:t>病人</w:t>
      </w:r>
      <w:r>
        <w:rPr>
          <w:rFonts w:hint="eastAsia" w:ascii="宋体" w:hAnsi="宋体" w:eastAsia="宋体" w:cs="宋体"/>
          <w:b w:val="0"/>
          <w:bCs/>
          <w:spacing w:val="6"/>
          <w:szCs w:val="21"/>
          <w:lang w:val="zh-CN" w:eastAsia="zh-CN"/>
        </w:rPr>
        <w:t>数</w:t>
      </w:r>
      <w:r>
        <w:rPr>
          <w:rFonts w:hint="eastAsia" w:ascii="宋体" w:hAnsi="宋体" w:eastAsia="宋体" w:cs="宋体"/>
          <w:b w:val="0"/>
          <w:bCs/>
          <w:spacing w:val="6"/>
          <w:szCs w:val="21"/>
          <w:lang w:val="en-US" w:eastAsia="zh-CN"/>
        </w:rPr>
        <w:t>。</w:t>
      </w:r>
    </w:p>
    <w:p w14:paraId="1F2090F2">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val="0"/>
          <w:bCs/>
          <w:spacing w:val="6"/>
          <w:szCs w:val="21"/>
          <w:lang w:val="en-US" w:eastAsia="zh-CN"/>
        </w:rPr>
      </w:pPr>
      <w:r>
        <w:rPr>
          <w:rFonts w:hint="eastAsia" w:ascii="宋体" w:hAnsi="宋体" w:eastAsia="宋体" w:cs="宋体"/>
          <w:b w:val="0"/>
          <w:bCs/>
          <w:spacing w:val="6"/>
          <w:szCs w:val="21"/>
          <w:lang w:val="en-US" w:eastAsia="zh-CN"/>
        </w:rPr>
        <w:t>7）支持在成本发布前，可以反复修改方案并进行核算，数据发布后，对核算结果进行锁定，便后后续的数据查询、统计与分析。</w:t>
      </w:r>
    </w:p>
    <w:p w14:paraId="7FEE94B4">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r>
        <w:rPr>
          <w:rFonts w:hint="eastAsia" w:ascii="宋体" w:hAnsi="宋体" w:eastAsia="宋体" w:cs="宋体"/>
          <w:b/>
          <w:bCs w:val="0"/>
          <w:spacing w:val="6"/>
          <w:szCs w:val="21"/>
          <w:lang w:val="en-US" w:eastAsia="zh-CN"/>
        </w:rPr>
        <w:t xml:space="preserve">2.3.5.3 </w:t>
      </w:r>
      <w:bookmarkStart w:id="399" w:name="_Toc16039"/>
      <w:bookmarkStart w:id="400" w:name="_Toc205288571"/>
      <w:r>
        <w:rPr>
          <w:rFonts w:hint="eastAsia" w:ascii="宋体" w:hAnsi="宋体" w:eastAsia="宋体" w:cs="宋体"/>
          <w:b/>
          <w:bCs w:val="0"/>
          <w:spacing w:val="6"/>
          <w:szCs w:val="21"/>
          <w:lang w:val="en-US" w:eastAsia="zh-CN"/>
        </w:rPr>
        <w:t>成本报表</w:t>
      </w:r>
      <w:bookmarkEnd w:id="398"/>
      <w:bookmarkEnd w:id="399"/>
      <w:bookmarkEnd w:id="400"/>
    </w:p>
    <w:p w14:paraId="52117F5E">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1）满足《公立医院成本核算指导手册》国卫办财务函(2023]377号文件中要求的公立医院成本报表。</w:t>
      </w:r>
    </w:p>
    <w:p w14:paraId="76CE5E3A">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bookmarkStart w:id="401" w:name="_Toc127548278"/>
      <w:r>
        <w:rPr>
          <w:rFonts w:hint="eastAsia" w:ascii="宋体" w:hAnsi="宋体" w:eastAsia="宋体" w:cs="宋体"/>
          <w:bCs/>
          <w:spacing w:val="6"/>
          <w:szCs w:val="21"/>
          <w:lang w:val="en-US" w:eastAsia="zh-CN"/>
        </w:rPr>
        <w:t>2）支持DIP成本盈亏分析，从全院病例数、入组情况、及盈亏整体情况，从各科室病例数、入组情况、及盈亏整体情况， 从各一级目录下病例数、入组情况、及盈亏整体情况，从全院及各科室，各个权重段的盈亏情况。</w:t>
      </w:r>
    </w:p>
    <w:p w14:paraId="713617D1">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3）支持DIP成本收益分析，从全院角度对各个DIP的收入、成本、收益情况进行分析以及从科室角度对各个DIP的收入、成本、收益情况进行分析。</w:t>
      </w:r>
    </w:p>
    <w:p w14:paraId="665ECC29">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4）支持DIP成本趋势分析，从全院、科室、责任医师三个角度，对具体DIP病种的病例数、病例数占比、平均住院日、例均收入、例均成本、例均结余的变化趋势进行分析。</w:t>
      </w:r>
    </w:p>
    <w:p w14:paraId="1E90E3CD">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5）支持DIP成本构成分析，从全院、科室、责任医师三个角度，对DIP病种的人员经费、药品成本、材料成本、固定资产折旧、无形资产摊销、其他费用的金额及占比进行分析。</w:t>
      </w:r>
    </w:p>
    <w:p w14:paraId="155CCBE1">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6）支持DIP成本控制分析，按收入排名、病例数排名对DRG病组的病例数、平均住院日、收入、成本、收益进行分析。</w:t>
      </w:r>
    </w:p>
    <w:p w14:paraId="55EA7B5B">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r>
        <w:rPr>
          <w:rFonts w:hint="eastAsia" w:ascii="宋体" w:hAnsi="宋体" w:eastAsia="宋体" w:cs="宋体"/>
          <w:b/>
          <w:bCs w:val="0"/>
          <w:spacing w:val="6"/>
          <w:szCs w:val="21"/>
          <w:lang w:val="en-US" w:eastAsia="zh-CN"/>
        </w:rPr>
        <w:t>▲7）支持从院级DIP病种成本的结果入手，从DIP病种下的项目分类、医生、空间维度对具体的成本进行分析。</w:t>
      </w:r>
    </w:p>
    <w:p w14:paraId="79DD88C0">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r>
        <w:rPr>
          <w:rFonts w:hint="eastAsia" w:ascii="宋体" w:hAnsi="宋体" w:eastAsia="宋体" w:cs="宋体"/>
          <w:b/>
          <w:bCs w:val="0"/>
          <w:spacing w:val="6"/>
          <w:szCs w:val="21"/>
          <w:lang w:val="en-US" w:eastAsia="zh-CN"/>
        </w:rPr>
        <w:t>▲8）支持从科室级DIP病种成本的结果入手，从DIP病种下的项目分类、医生、空间维度对具体的成本进行分析。</w:t>
      </w:r>
    </w:p>
    <w:p w14:paraId="71BCD345">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r>
        <w:rPr>
          <w:rFonts w:hint="eastAsia" w:ascii="宋体" w:hAnsi="宋体" w:eastAsia="宋体" w:cs="宋体"/>
          <w:b/>
          <w:bCs w:val="0"/>
          <w:spacing w:val="6"/>
          <w:szCs w:val="21"/>
          <w:lang w:val="en-US" w:eastAsia="zh-CN"/>
        </w:rPr>
        <w:t>▲9）支持直接从病人的核算结果入手，按收费分类对其收费、成本、收益进行逐级分析，并从收费分类挖掘到具体的项目，也可以直接对病人开展的具体医疗服务项目成本进行分析。</w:t>
      </w:r>
    </w:p>
    <w:p w14:paraId="58B964D9">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10）所有报表均支持按excel、pdf、csv格式进行导出。</w:t>
      </w:r>
    </w:p>
    <w:bookmarkEnd w:id="401"/>
    <w:p w14:paraId="77605DF8">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bookmarkStart w:id="402" w:name="_Toc127548279"/>
      <w:bookmarkStart w:id="403" w:name="_Toc205288573"/>
      <w:bookmarkStart w:id="404" w:name="_Toc2884"/>
      <w:r>
        <w:rPr>
          <w:rFonts w:hint="eastAsia" w:ascii="宋体" w:hAnsi="宋体" w:eastAsia="宋体" w:cs="宋体"/>
          <w:b/>
          <w:bCs w:val="0"/>
          <w:spacing w:val="6"/>
          <w:szCs w:val="21"/>
          <w:lang w:val="en-US" w:eastAsia="zh-CN"/>
        </w:rPr>
        <w:t>2.3.5.4 分析报告</w:t>
      </w:r>
    </w:p>
    <w:p w14:paraId="151B7B5A">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val="0"/>
          <w:bCs/>
          <w:spacing w:val="6"/>
          <w:szCs w:val="21"/>
          <w:lang w:val="en-US" w:eastAsia="zh-CN"/>
        </w:rPr>
      </w:pPr>
      <w:r>
        <w:rPr>
          <w:rFonts w:hint="eastAsia" w:ascii="宋体" w:hAnsi="宋体" w:eastAsia="宋体" w:cs="宋体"/>
          <w:b w:val="0"/>
          <w:bCs/>
          <w:spacing w:val="6"/>
          <w:szCs w:val="21"/>
          <w:lang w:val="en-US" w:eastAsia="zh-CN"/>
        </w:rPr>
        <w:t>支持自动生成以院级及科室为单位的DIP成本分析报告，并进行查询和下载。</w:t>
      </w:r>
    </w:p>
    <w:p w14:paraId="6C6FF264">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r>
        <w:rPr>
          <w:rFonts w:hint="eastAsia" w:ascii="宋体" w:hAnsi="宋体" w:eastAsia="宋体" w:cs="宋体"/>
          <w:b/>
          <w:bCs w:val="0"/>
          <w:spacing w:val="6"/>
          <w:szCs w:val="21"/>
          <w:lang w:val="en-US" w:eastAsia="zh-CN"/>
        </w:rPr>
        <w:t>2.3.5.5 基础设置</w:t>
      </w:r>
      <w:bookmarkEnd w:id="402"/>
      <w:bookmarkEnd w:id="403"/>
      <w:bookmarkEnd w:id="404"/>
    </w:p>
    <w:p w14:paraId="42EDAD21">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1）支持DIP成本核算相关的药品管理成本分摊依据设置，支持启用多院区设置。</w:t>
      </w:r>
    </w:p>
    <w:p w14:paraId="7FA9D21F">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2）支持维护加成率及DIP字典。</w:t>
      </w:r>
    </w:p>
    <w:bookmarkEnd w:id="301"/>
    <w:bookmarkEnd w:id="302"/>
    <w:bookmarkEnd w:id="303"/>
    <w:bookmarkEnd w:id="304"/>
    <w:bookmarkEnd w:id="305"/>
    <w:bookmarkEnd w:id="306"/>
    <w:bookmarkEnd w:id="307"/>
    <w:p w14:paraId="0AC768BD">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bookmarkStart w:id="405" w:name="_Toc531443967"/>
      <w:bookmarkStart w:id="406" w:name="_Toc127548280"/>
      <w:bookmarkStart w:id="407" w:name="_Toc205288574"/>
      <w:bookmarkStart w:id="408" w:name="_Toc11151"/>
      <w:r>
        <w:rPr>
          <w:rFonts w:hint="eastAsia" w:ascii="宋体" w:hAnsi="宋体" w:eastAsia="宋体" w:cs="宋体"/>
          <w:b/>
          <w:bCs w:val="0"/>
          <w:spacing w:val="6"/>
          <w:szCs w:val="21"/>
          <w:lang w:val="en-US" w:eastAsia="zh-CN"/>
        </w:rPr>
        <w:t>2.4数据接口对接要求</w:t>
      </w:r>
      <w:bookmarkEnd w:id="405"/>
      <w:bookmarkEnd w:id="406"/>
      <w:bookmarkEnd w:id="407"/>
      <w:bookmarkEnd w:id="408"/>
    </w:p>
    <w:p w14:paraId="558C9E6A">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接口对接需要涵盖为实现系统功能而需要的所有数据对接，对接方式需要按照招标人的实际信息化建设要求。所有具备信息化条件支持的数据要求全部通过医院现有的运营数据中心进行采集，如果存在当前运营数据中心中未接入的数据，需要首先完成各业务系统至运营数据中心的元数据采集工作，经过运营数据中心进行元数据整理后，再完成由运营数据中心采集到成本核算系统的工作。包含但不限于以下业务数据采集：</w:t>
      </w:r>
    </w:p>
    <w:p w14:paraId="7E94106C">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bookmarkStart w:id="409" w:name="_Toc151589598"/>
      <w:r>
        <w:rPr>
          <w:rFonts w:hint="eastAsia" w:ascii="宋体" w:hAnsi="宋体" w:eastAsia="宋体" w:cs="宋体"/>
          <w:b/>
          <w:bCs w:val="0"/>
          <w:spacing w:val="6"/>
          <w:szCs w:val="21"/>
          <w:lang w:val="en-US" w:eastAsia="zh-CN"/>
        </w:rPr>
        <w:t xml:space="preserve">2.4.1 </w:t>
      </w:r>
      <w:bookmarkStart w:id="410" w:name="_Toc22623"/>
      <w:bookmarkStart w:id="411" w:name="_Toc205288575"/>
      <w:r>
        <w:rPr>
          <w:rFonts w:hint="eastAsia" w:ascii="宋体" w:hAnsi="宋体" w:eastAsia="宋体" w:cs="宋体"/>
          <w:b/>
          <w:bCs w:val="0"/>
          <w:spacing w:val="6"/>
          <w:szCs w:val="21"/>
          <w:lang w:val="en-US" w:eastAsia="zh-CN"/>
        </w:rPr>
        <w:t>收入类相关数据采集</w:t>
      </w:r>
      <w:bookmarkEnd w:id="409"/>
      <w:bookmarkEnd w:id="410"/>
      <w:bookmarkEnd w:id="411"/>
      <w:r>
        <w:rPr>
          <w:rFonts w:hint="eastAsia" w:ascii="宋体" w:hAnsi="宋体" w:eastAsia="宋体" w:cs="宋体"/>
          <w:b/>
          <w:bCs w:val="0"/>
          <w:spacing w:val="6"/>
          <w:szCs w:val="21"/>
          <w:lang w:val="en-US" w:eastAsia="zh-CN"/>
        </w:rPr>
        <w:tab/>
      </w:r>
    </w:p>
    <w:p w14:paraId="448123E5">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具体数据包括门诊收入月报、住院收入月报、HIS科室字典等。</w:t>
      </w:r>
    </w:p>
    <w:p w14:paraId="3ABE0060">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bookmarkStart w:id="412" w:name="_Toc151589599"/>
      <w:r>
        <w:rPr>
          <w:rFonts w:hint="eastAsia" w:ascii="宋体" w:hAnsi="宋体" w:eastAsia="宋体" w:cs="宋体"/>
          <w:b/>
          <w:bCs w:val="0"/>
          <w:spacing w:val="6"/>
          <w:szCs w:val="21"/>
          <w:lang w:val="en-US" w:eastAsia="zh-CN"/>
        </w:rPr>
        <w:t xml:space="preserve">2.4.2 </w:t>
      </w:r>
      <w:bookmarkStart w:id="413" w:name="_Toc17417"/>
      <w:bookmarkStart w:id="414" w:name="_Toc205288576"/>
      <w:r>
        <w:rPr>
          <w:rFonts w:hint="eastAsia" w:ascii="宋体" w:hAnsi="宋体" w:eastAsia="宋体" w:cs="宋体"/>
          <w:b/>
          <w:bCs w:val="0"/>
          <w:spacing w:val="6"/>
          <w:szCs w:val="21"/>
          <w:lang w:val="en-US" w:eastAsia="zh-CN"/>
        </w:rPr>
        <w:t>工作量相关数据采集</w:t>
      </w:r>
      <w:bookmarkEnd w:id="412"/>
      <w:bookmarkEnd w:id="413"/>
      <w:bookmarkEnd w:id="414"/>
    </w:p>
    <w:p w14:paraId="7E296190">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Cs/>
          <w:spacing w:val="6"/>
          <w:szCs w:val="21"/>
          <w:lang w:val="en-US" w:eastAsia="zh-CN"/>
        </w:rPr>
      </w:pPr>
      <w:r>
        <w:rPr>
          <w:rFonts w:hint="eastAsia" w:ascii="宋体" w:hAnsi="宋体" w:eastAsia="宋体" w:cs="宋体"/>
          <w:bCs/>
          <w:spacing w:val="6"/>
          <w:szCs w:val="21"/>
          <w:lang w:val="en-US" w:eastAsia="zh-CN"/>
        </w:rPr>
        <w:t>具体数据内容包括：门急诊工作量日报表数据、住院工作量日报表数据等。</w:t>
      </w:r>
    </w:p>
    <w:p w14:paraId="74A8C097">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bookmarkStart w:id="415" w:name="_Toc151127661"/>
      <w:bookmarkStart w:id="416" w:name="_Toc22709"/>
      <w:bookmarkStart w:id="417" w:name="_Toc29301"/>
      <w:bookmarkStart w:id="418" w:name="_Toc12507"/>
      <w:bookmarkStart w:id="419" w:name="_Toc151589600"/>
      <w:r>
        <w:rPr>
          <w:rFonts w:hint="eastAsia" w:ascii="宋体" w:hAnsi="宋体" w:eastAsia="宋体" w:cs="宋体"/>
          <w:b/>
          <w:bCs w:val="0"/>
          <w:spacing w:val="6"/>
          <w:szCs w:val="21"/>
          <w:lang w:val="en-US" w:eastAsia="zh-CN"/>
        </w:rPr>
        <w:t xml:space="preserve">2.4.3 </w:t>
      </w:r>
      <w:bookmarkStart w:id="420" w:name="_Toc6125"/>
      <w:bookmarkStart w:id="421" w:name="_Toc205288577"/>
      <w:r>
        <w:rPr>
          <w:rFonts w:hint="eastAsia" w:ascii="宋体" w:hAnsi="宋体" w:eastAsia="宋体" w:cs="宋体"/>
          <w:b/>
          <w:bCs w:val="0"/>
          <w:spacing w:val="6"/>
          <w:szCs w:val="21"/>
          <w:lang w:val="en-US" w:eastAsia="zh-CN"/>
        </w:rPr>
        <w:t>病案</w:t>
      </w:r>
      <w:bookmarkEnd w:id="415"/>
      <w:bookmarkEnd w:id="416"/>
      <w:bookmarkEnd w:id="417"/>
      <w:bookmarkEnd w:id="418"/>
      <w:r>
        <w:rPr>
          <w:rFonts w:hint="eastAsia" w:ascii="宋体" w:hAnsi="宋体" w:eastAsia="宋体" w:cs="宋体"/>
          <w:b/>
          <w:bCs w:val="0"/>
          <w:spacing w:val="6"/>
          <w:szCs w:val="21"/>
          <w:lang w:val="en-US" w:eastAsia="zh-CN"/>
        </w:rPr>
        <w:t>类相关数据采集</w:t>
      </w:r>
      <w:bookmarkEnd w:id="419"/>
      <w:bookmarkEnd w:id="420"/>
      <w:bookmarkEnd w:id="421"/>
      <w:r>
        <w:rPr>
          <w:rFonts w:hint="eastAsia" w:ascii="宋体" w:hAnsi="宋体" w:eastAsia="宋体" w:cs="宋体"/>
          <w:b/>
          <w:bCs w:val="0"/>
          <w:spacing w:val="6"/>
          <w:szCs w:val="21"/>
          <w:lang w:val="en-US" w:eastAsia="zh-CN"/>
        </w:rPr>
        <w:tab/>
      </w:r>
    </w:p>
    <w:p w14:paraId="082254D2">
      <w:pPr>
        <w:ind w:firstLine="560"/>
        <w:rPr>
          <w:rFonts w:ascii="仿宋" w:hAnsi="仿宋" w:cs="仿宋"/>
          <w:szCs w:val="28"/>
        </w:rPr>
      </w:pPr>
      <w:r>
        <w:rPr>
          <w:rFonts w:hint="eastAsia" w:ascii="宋体" w:hAnsi="宋体" w:eastAsia="宋体" w:cs="宋体"/>
          <w:bCs/>
          <w:spacing w:val="6"/>
          <w:kern w:val="2"/>
          <w:sz w:val="21"/>
          <w:szCs w:val="21"/>
          <w:lang w:val="en-US" w:eastAsia="zh-CN" w:bidi="ar-SA"/>
        </w:rPr>
        <w:t>具体数据内容包括： 病案首页诊断记录、ICD10字典、ICD9字典等。</w:t>
      </w:r>
    </w:p>
    <w:p w14:paraId="20B709CE">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bookmarkStart w:id="422" w:name="_Toc151589601"/>
      <w:r>
        <w:rPr>
          <w:rFonts w:hint="eastAsia" w:ascii="宋体" w:hAnsi="宋体" w:eastAsia="宋体" w:cs="宋体"/>
          <w:b/>
          <w:bCs w:val="0"/>
          <w:spacing w:val="6"/>
          <w:szCs w:val="21"/>
          <w:lang w:val="en-US" w:eastAsia="zh-CN"/>
        </w:rPr>
        <w:t xml:space="preserve">2.4.4 </w:t>
      </w:r>
      <w:bookmarkStart w:id="423" w:name="_Toc205288578"/>
      <w:bookmarkStart w:id="424" w:name="_Toc20486"/>
      <w:r>
        <w:rPr>
          <w:rFonts w:hint="eastAsia" w:ascii="宋体" w:hAnsi="宋体" w:eastAsia="宋体" w:cs="宋体"/>
          <w:b/>
          <w:bCs w:val="0"/>
          <w:spacing w:val="6"/>
          <w:szCs w:val="21"/>
          <w:lang w:val="en-US" w:eastAsia="zh-CN"/>
        </w:rPr>
        <w:t>会计核算类相关数据采集</w:t>
      </w:r>
      <w:bookmarkEnd w:id="422"/>
      <w:bookmarkEnd w:id="423"/>
      <w:bookmarkEnd w:id="424"/>
    </w:p>
    <w:p w14:paraId="40DA7C80">
      <w:pPr>
        <w:ind w:firstLine="560"/>
        <w:rPr>
          <w:rFonts w:ascii="仿宋" w:hAnsi="仿宋" w:cs="仿宋"/>
          <w:szCs w:val="28"/>
        </w:rPr>
      </w:pPr>
      <w:r>
        <w:rPr>
          <w:rFonts w:hint="eastAsia" w:ascii="宋体" w:hAnsi="宋体" w:eastAsia="宋体" w:cs="宋体"/>
          <w:bCs/>
          <w:spacing w:val="6"/>
          <w:kern w:val="2"/>
          <w:sz w:val="21"/>
          <w:szCs w:val="21"/>
          <w:lang w:val="en-US" w:eastAsia="zh-CN" w:bidi="ar-SA"/>
        </w:rPr>
        <w:t>具体数据内容包括会计科室字典、会计科目字典、会计收入凭证明细数据、会计支出凭证明细数据等</w:t>
      </w:r>
      <w:r>
        <w:rPr>
          <w:rFonts w:hint="eastAsia" w:ascii="仿宋" w:hAnsi="仿宋" w:cs="仿宋"/>
          <w:szCs w:val="28"/>
        </w:rPr>
        <w:t>。</w:t>
      </w:r>
    </w:p>
    <w:p w14:paraId="5D54D396">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bookmarkStart w:id="425" w:name="_Toc151127663"/>
      <w:bookmarkStart w:id="426" w:name="_Toc12229"/>
      <w:bookmarkStart w:id="427" w:name="_Toc16860"/>
      <w:bookmarkStart w:id="428" w:name="_Toc27030"/>
      <w:bookmarkStart w:id="429" w:name="_Toc151589602"/>
      <w:r>
        <w:rPr>
          <w:rFonts w:hint="eastAsia" w:ascii="宋体" w:hAnsi="宋体" w:eastAsia="宋体" w:cs="宋体"/>
          <w:b/>
          <w:bCs w:val="0"/>
          <w:spacing w:val="6"/>
          <w:szCs w:val="21"/>
          <w:lang w:val="en-US" w:eastAsia="zh-CN"/>
        </w:rPr>
        <w:t xml:space="preserve">2.4.5 </w:t>
      </w:r>
      <w:bookmarkStart w:id="430" w:name="_Toc205288579"/>
      <w:bookmarkStart w:id="431" w:name="_Toc25371"/>
      <w:r>
        <w:rPr>
          <w:rFonts w:hint="eastAsia" w:ascii="宋体" w:hAnsi="宋体" w:eastAsia="宋体" w:cs="宋体"/>
          <w:b/>
          <w:bCs w:val="0"/>
          <w:spacing w:val="6"/>
          <w:szCs w:val="21"/>
          <w:lang w:val="en-US" w:eastAsia="zh-CN"/>
        </w:rPr>
        <w:t>固定资产</w:t>
      </w:r>
      <w:bookmarkEnd w:id="425"/>
      <w:bookmarkEnd w:id="426"/>
      <w:bookmarkEnd w:id="427"/>
      <w:bookmarkEnd w:id="428"/>
      <w:r>
        <w:rPr>
          <w:rFonts w:hint="eastAsia" w:ascii="宋体" w:hAnsi="宋体" w:eastAsia="宋体" w:cs="宋体"/>
          <w:b/>
          <w:bCs w:val="0"/>
          <w:spacing w:val="6"/>
          <w:szCs w:val="21"/>
          <w:lang w:val="en-US" w:eastAsia="zh-CN"/>
        </w:rPr>
        <w:t>类相关数据采集</w:t>
      </w:r>
      <w:bookmarkEnd w:id="429"/>
      <w:bookmarkEnd w:id="430"/>
      <w:bookmarkEnd w:id="431"/>
      <w:r>
        <w:rPr>
          <w:rFonts w:hint="eastAsia" w:ascii="宋体" w:hAnsi="宋体" w:eastAsia="宋体" w:cs="宋体"/>
          <w:b/>
          <w:bCs w:val="0"/>
          <w:spacing w:val="6"/>
          <w:szCs w:val="21"/>
          <w:lang w:val="en-US" w:eastAsia="zh-CN"/>
        </w:rPr>
        <w:tab/>
      </w:r>
    </w:p>
    <w:p w14:paraId="3D66B656">
      <w:pPr>
        <w:ind w:firstLine="560"/>
        <w:rPr>
          <w:rFonts w:ascii="仿宋" w:hAnsi="仿宋" w:cs="仿宋"/>
          <w:szCs w:val="28"/>
        </w:rPr>
      </w:pPr>
      <w:r>
        <w:rPr>
          <w:rFonts w:hint="eastAsia" w:ascii="宋体" w:hAnsi="宋体" w:eastAsia="宋体" w:cs="宋体"/>
          <w:bCs/>
          <w:spacing w:val="6"/>
          <w:kern w:val="2"/>
          <w:sz w:val="21"/>
          <w:szCs w:val="21"/>
          <w:lang w:val="en-US" w:eastAsia="zh-CN" w:bidi="ar-SA"/>
        </w:rPr>
        <w:t>具体数据内容包括固定资产科室字典、固定资产字典、固定资产月度折旧明细数据等。</w:t>
      </w:r>
    </w:p>
    <w:p w14:paraId="2F0C31CF">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bookmarkStart w:id="432" w:name="_Toc151127664"/>
      <w:bookmarkStart w:id="433" w:name="_Toc15563"/>
      <w:bookmarkStart w:id="434" w:name="_Toc5702"/>
      <w:bookmarkStart w:id="435" w:name="_Toc2004"/>
      <w:bookmarkStart w:id="436" w:name="_Toc151589603"/>
      <w:r>
        <w:rPr>
          <w:rFonts w:hint="eastAsia" w:ascii="宋体" w:hAnsi="宋体" w:eastAsia="宋体" w:cs="宋体"/>
          <w:b/>
          <w:bCs w:val="0"/>
          <w:spacing w:val="6"/>
          <w:szCs w:val="21"/>
          <w:lang w:val="en-US" w:eastAsia="zh-CN"/>
        </w:rPr>
        <w:t xml:space="preserve">2.4.6 </w:t>
      </w:r>
      <w:bookmarkStart w:id="437" w:name="_Toc13233"/>
      <w:bookmarkStart w:id="438" w:name="_Toc205288580"/>
      <w:r>
        <w:rPr>
          <w:rFonts w:hint="eastAsia" w:ascii="宋体" w:hAnsi="宋体" w:eastAsia="宋体" w:cs="宋体"/>
          <w:b/>
          <w:bCs w:val="0"/>
          <w:spacing w:val="6"/>
          <w:szCs w:val="21"/>
          <w:lang w:val="en-US" w:eastAsia="zh-CN"/>
        </w:rPr>
        <w:t>物资类相关数据</w:t>
      </w:r>
      <w:bookmarkEnd w:id="432"/>
      <w:bookmarkEnd w:id="433"/>
      <w:bookmarkEnd w:id="434"/>
      <w:bookmarkEnd w:id="435"/>
      <w:r>
        <w:rPr>
          <w:rFonts w:hint="eastAsia" w:ascii="宋体" w:hAnsi="宋体" w:eastAsia="宋体" w:cs="宋体"/>
          <w:b/>
          <w:bCs w:val="0"/>
          <w:spacing w:val="6"/>
          <w:szCs w:val="21"/>
          <w:lang w:val="en-US" w:eastAsia="zh-CN"/>
        </w:rPr>
        <w:t>采集</w:t>
      </w:r>
      <w:bookmarkEnd w:id="436"/>
      <w:bookmarkEnd w:id="437"/>
      <w:bookmarkEnd w:id="438"/>
      <w:r>
        <w:rPr>
          <w:rFonts w:hint="eastAsia" w:ascii="宋体" w:hAnsi="宋体" w:eastAsia="宋体" w:cs="宋体"/>
          <w:b/>
          <w:bCs w:val="0"/>
          <w:spacing w:val="6"/>
          <w:szCs w:val="21"/>
          <w:lang w:val="en-US" w:eastAsia="zh-CN"/>
        </w:rPr>
        <w:tab/>
      </w:r>
    </w:p>
    <w:p w14:paraId="6B91E63F">
      <w:pPr>
        <w:ind w:firstLine="560"/>
        <w:rPr>
          <w:rFonts w:hint="eastAsia" w:ascii="宋体" w:hAnsi="宋体" w:eastAsia="宋体" w:cs="宋体"/>
          <w:bCs/>
          <w:spacing w:val="6"/>
          <w:kern w:val="2"/>
          <w:sz w:val="21"/>
          <w:szCs w:val="21"/>
          <w:lang w:val="en-US" w:eastAsia="zh-CN" w:bidi="ar-SA"/>
        </w:rPr>
      </w:pPr>
      <w:r>
        <w:rPr>
          <w:rFonts w:hint="eastAsia" w:ascii="宋体" w:hAnsi="宋体" w:eastAsia="宋体" w:cs="宋体"/>
          <w:bCs/>
          <w:spacing w:val="6"/>
          <w:kern w:val="2"/>
          <w:sz w:val="21"/>
          <w:szCs w:val="21"/>
          <w:lang w:val="en-US" w:eastAsia="zh-CN" w:bidi="ar-SA"/>
        </w:rPr>
        <w:t>具体数据内容包括物资字典、物流月度消耗明细数据等。</w:t>
      </w:r>
      <w:r>
        <w:rPr>
          <w:rFonts w:hint="eastAsia" w:ascii="宋体" w:hAnsi="宋体" w:eastAsia="宋体" w:cs="宋体"/>
          <w:bCs/>
          <w:spacing w:val="6"/>
          <w:kern w:val="2"/>
          <w:sz w:val="21"/>
          <w:szCs w:val="21"/>
          <w:lang w:val="en-US" w:eastAsia="zh-CN" w:bidi="ar-SA"/>
        </w:rPr>
        <w:tab/>
      </w:r>
    </w:p>
    <w:p w14:paraId="31243C29">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bookmarkStart w:id="439" w:name="_Toc868"/>
      <w:bookmarkStart w:id="440" w:name="_Toc151127666"/>
      <w:bookmarkStart w:id="441" w:name="_Toc9947"/>
      <w:bookmarkStart w:id="442" w:name="_Toc9191"/>
      <w:bookmarkStart w:id="443" w:name="_Toc151589604"/>
      <w:r>
        <w:rPr>
          <w:rFonts w:hint="eastAsia" w:ascii="宋体" w:hAnsi="宋体" w:eastAsia="宋体" w:cs="宋体"/>
          <w:b/>
          <w:bCs w:val="0"/>
          <w:spacing w:val="6"/>
          <w:szCs w:val="21"/>
          <w:lang w:val="en-US" w:eastAsia="zh-CN"/>
        </w:rPr>
        <w:t xml:space="preserve">2.4.7 </w:t>
      </w:r>
      <w:bookmarkStart w:id="444" w:name="_Toc12446"/>
      <w:bookmarkStart w:id="445" w:name="_Toc205288581"/>
      <w:r>
        <w:rPr>
          <w:rFonts w:hint="eastAsia" w:ascii="宋体" w:hAnsi="宋体" w:eastAsia="宋体" w:cs="宋体"/>
          <w:b/>
          <w:bCs w:val="0"/>
          <w:spacing w:val="6"/>
          <w:szCs w:val="21"/>
          <w:lang w:val="en-US" w:eastAsia="zh-CN"/>
        </w:rPr>
        <w:t>药品类相关数据</w:t>
      </w:r>
      <w:bookmarkEnd w:id="439"/>
      <w:bookmarkEnd w:id="440"/>
      <w:bookmarkEnd w:id="441"/>
      <w:bookmarkEnd w:id="442"/>
      <w:r>
        <w:rPr>
          <w:rFonts w:hint="eastAsia" w:ascii="宋体" w:hAnsi="宋体" w:eastAsia="宋体" w:cs="宋体"/>
          <w:b/>
          <w:bCs w:val="0"/>
          <w:spacing w:val="6"/>
          <w:szCs w:val="21"/>
          <w:lang w:val="en-US" w:eastAsia="zh-CN"/>
        </w:rPr>
        <w:t>采集</w:t>
      </w:r>
      <w:bookmarkEnd w:id="443"/>
      <w:bookmarkEnd w:id="444"/>
      <w:bookmarkEnd w:id="445"/>
      <w:r>
        <w:rPr>
          <w:rFonts w:hint="eastAsia" w:ascii="宋体" w:hAnsi="宋体" w:eastAsia="宋体" w:cs="宋体"/>
          <w:b/>
          <w:bCs w:val="0"/>
          <w:spacing w:val="6"/>
          <w:szCs w:val="21"/>
          <w:lang w:val="en-US" w:eastAsia="zh-CN"/>
        </w:rPr>
        <w:tab/>
      </w:r>
    </w:p>
    <w:p w14:paraId="1E0A9CFB">
      <w:pPr>
        <w:ind w:firstLine="560"/>
        <w:rPr>
          <w:rFonts w:ascii="仿宋" w:hAnsi="仿宋" w:cs="仿宋"/>
          <w:szCs w:val="28"/>
        </w:rPr>
      </w:pPr>
      <w:r>
        <w:rPr>
          <w:rFonts w:hint="eastAsia" w:ascii="宋体" w:hAnsi="宋体" w:eastAsia="宋体" w:cs="宋体"/>
          <w:bCs/>
          <w:spacing w:val="6"/>
          <w:kern w:val="2"/>
          <w:sz w:val="21"/>
          <w:szCs w:val="21"/>
          <w:lang w:val="en-US" w:eastAsia="zh-CN" w:bidi="ar-SA"/>
        </w:rPr>
        <w:t>具体数据内容包括药品字典、药房月度出库明细等。</w:t>
      </w:r>
    </w:p>
    <w:p w14:paraId="5AD4C4D5">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bookmarkStart w:id="446" w:name="_Toc151589605"/>
      <w:r>
        <w:rPr>
          <w:rFonts w:hint="eastAsia" w:ascii="宋体" w:hAnsi="宋体" w:eastAsia="宋体" w:cs="宋体"/>
          <w:b/>
          <w:bCs w:val="0"/>
          <w:spacing w:val="6"/>
          <w:szCs w:val="21"/>
          <w:lang w:val="en-US" w:eastAsia="zh-CN"/>
        </w:rPr>
        <w:t xml:space="preserve">2.4.8 </w:t>
      </w:r>
      <w:bookmarkStart w:id="447" w:name="_Toc2359"/>
      <w:bookmarkStart w:id="448" w:name="_Toc205288582"/>
      <w:r>
        <w:rPr>
          <w:rFonts w:hint="eastAsia" w:ascii="宋体" w:hAnsi="宋体" w:eastAsia="宋体" w:cs="宋体"/>
          <w:b/>
          <w:bCs w:val="0"/>
          <w:spacing w:val="6"/>
          <w:szCs w:val="21"/>
          <w:lang w:val="en-US" w:eastAsia="zh-CN"/>
        </w:rPr>
        <w:t>薪酬类相关数据采集</w:t>
      </w:r>
      <w:bookmarkEnd w:id="446"/>
      <w:bookmarkEnd w:id="447"/>
      <w:bookmarkEnd w:id="448"/>
    </w:p>
    <w:p w14:paraId="06977518">
      <w:pPr>
        <w:ind w:firstLine="560"/>
        <w:rPr>
          <w:rFonts w:hint="eastAsia" w:ascii="宋体" w:hAnsi="宋体" w:eastAsia="宋体" w:cs="宋体"/>
          <w:bCs/>
          <w:spacing w:val="6"/>
          <w:kern w:val="2"/>
          <w:sz w:val="21"/>
          <w:szCs w:val="21"/>
          <w:lang w:val="en-US" w:eastAsia="zh-CN" w:bidi="ar-SA"/>
        </w:rPr>
      </w:pPr>
      <w:r>
        <w:rPr>
          <w:rFonts w:hint="eastAsia" w:ascii="宋体" w:hAnsi="宋体" w:eastAsia="宋体" w:cs="宋体"/>
          <w:bCs/>
          <w:spacing w:val="6"/>
          <w:kern w:val="2"/>
          <w:sz w:val="21"/>
          <w:szCs w:val="21"/>
          <w:lang w:val="en-US" w:eastAsia="zh-CN" w:bidi="ar-SA"/>
        </w:rPr>
        <w:t>具体数据内容包括薪酬月度明细数据等。</w:t>
      </w:r>
    </w:p>
    <w:p w14:paraId="789C710F">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bookmarkStart w:id="449" w:name="_Toc5042"/>
      <w:bookmarkStart w:id="450" w:name="_Toc22365"/>
      <w:bookmarkStart w:id="451" w:name="_Toc151127667"/>
      <w:bookmarkStart w:id="452" w:name="_Toc8953"/>
      <w:bookmarkStart w:id="453" w:name="_Toc151589606"/>
      <w:r>
        <w:rPr>
          <w:rFonts w:hint="eastAsia" w:ascii="宋体" w:hAnsi="宋体" w:eastAsia="宋体" w:cs="宋体"/>
          <w:b/>
          <w:bCs w:val="0"/>
          <w:spacing w:val="6"/>
          <w:szCs w:val="21"/>
          <w:lang w:val="en-US" w:eastAsia="zh-CN"/>
        </w:rPr>
        <w:t xml:space="preserve">2.4.9 </w:t>
      </w:r>
      <w:bookmarkEnd w:id="449"/>
      <w:bookmarkEnd w:id="450"/>
      <w:bookmarkEnd w:id="451"/>
      <w:bookmarkEnd w:id="452"/>
      <w:bookmarkStart w:id="454" w:name="_Toc205288583"/>
      <w:bookmarkStart w:id="455" w:name="_Toc32511"/>
      <w:r>
        <w:rPr>
          <w:rFonts w:hint="eastAsia" w:ascii="宋体" w:hAnsi="宋体" w:eastAsia="宋体" w:cs="宋体"/>
          <w:b/>
          <w:bCs w:val="0"/>
          <w:spacing w:val="6"/>
          <w:szCs w:val="21"/>
          <w:lang w:val="en-US" w:eastAsia="zh-CN"/>
        </w:rPr>
        <w:t>DIP相关数据采集</w:t>
      </w:r>
      <w:bookmarkEnd w:id="453"/>
      <w:bookmarkEnd w:id="454"/>
      <w:bookmarkEnd w:id="455"/>
    </w:p>
    <w:p w14:paraId="346241AD">
      <w:pPr>
        <w:ind w:firstLine="560"/>
        <w:rPr>
          <w:rFonts w:hint="eastAsia" w:ascii="宋体" w:hAnsi="宋体" w:eastAsia="宋体" w:cs="宋体"/>
          <w:bCs/>
          <w:spacing w:val="6"/>
          <w:kern w:val="2"/>
          <w:sz w:val="21"/>
          <w:szCs w:val="21"/>
          <w:lang w:val="en-US" w:eastAsia="zh-CN" w:bidi="ar-SA"/>
        </w:rPr>
      </w:pPr>
      <w:r>
        <w:rPr>
          <w:rFonts w:hint="eastAsia" w:ascii="宋体" w:hAnsi="宋体" w:eastAsia="宋体" w:cs="宋体"/>
          <w:bCs/>
          <w:spacing w:val="6"/>
          <w:kern w:val="2"/>
          <w:sz w:val="21"/>
          <w:szCs w:val="21"/>
          <w:lang w:val="en-US" w:eastAsia="zh-CN" w:bidi="ar-SA"/>
        </w:rPr>
        <w:t>具体数据内容包括病人DIP分组结果等。</w:t>
      </w:r>
    </w:p>
    <w:p w14:paraId="75DD3183">
      <w:pPr>
        <w:pStyle w:val="4"/>
        <w:pageBreakBefore w:val="0"/>
        <w:kinsoku/>
        <w:wordWrap/>
        <w:overflowPunct/>
        <w:topLinePunct w:val="0"/>
        <w:autoSpaceDE/>
        <w:autoSpaceDN/>
        <w:bidi w:val="0"/>
        <w:adjustRightInd/>
        <w:snapToGrid/>
        <w:spacing w:line="420" w:lineRule="exact"/>
        <w:textAlignment w:val="auto"/>
        <w:rPr>
          <w:rFonts w:hint="eastAsia" w:ascii="Times New Roman" w:hAnsi="Times New Roman" w:eastAsia="黑体" w:cs="Times New Roman"/>
          <w:b w:val="0"/>
          <w:bCs w:val="0"/>
          <w:spacing w:val="0"/>
          <w:sz w:val="28"/>
          <w:szCs w:val="28"/>
          <w:lang w:val="en-US" w:eastAsia="zh-CN"/>
        </w:rPr>
      </w:pPr>
      <w:bookmarkStart w:id="456" w:name="_Toc127548281"/>
      <w:bookmarkStart w:id="457" w:name="_Toc17570"/>
      <w:r>
        <w:rPr>
          <w:rFonts w:hint="eastAsia" w:ascii="Times New Roman" w:hAnsi="Times New Roman" w:eastAsia="黑体" w:cs="Times New Roman"/>
          <w:b w:val="0"/>
          <w:bCs w:val="0"/>
          <w:spacing w:val="0"/>
          <w:sz w:val="28"/>
          <w:szCs w:val="28"/>
          <w:lang w:val="en-US" w:eastAsia="zh-CN"/>
        </w:rPr>
        <w:t xml:space="preserve">3. </w:t>
      </w:r>
      <w:bookmarkStart w:id="458" w:name="_Toc17325"/>
      <w:bookmarkStart w:id="459" w:name="_Toc205288584"/>
      <w:r>
        <w:rPr>
          <w:rFonts w:hint="eastAsia" w:ascii="Times New Roman" w:hAnsi="Times New Roman" w:eastAsia="黑体" w:cs="Times New Roman"/>
          <w:b w:val="0"/>
          <w:bCs w:val="0"/>
          <w:spacing w:val="0"/>
          <w:sz w:val="28"/>
          <w:szCs w:val="28"/>
          <w:lang w:val="en-US" w:eastAsia="zh-CN"/>
        </w:rPr>
        <w:t>项目其他要求</w:t>
      </w:r>
      <w:bookmarkEnd w:id="456"/>
      <w:bookmarkEnd w:id="457"/>
      <w:bookmarkEnd w:id="458"/>
      <w:bookmarkEnd w:id="459"/>
    </w:p>
    <w:p w14:paraId="14D67206">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bookmarkStart w:id="460" w:name="_Toc151589610"/>
      <w:r>
        <w:rPr>
          <w:rFonts w:hint="eastAsia" w:ascii="宋体" w:hAnsi="宋体" w:eastAsia="宋体" w:cs="宋体"/>
          <w:b/>
          <w:bCs w:val="0"/>
          <w:spacing w:val="6"/>
          <w:szCs w:val="21"/>
          <w:lang w:val="en-US" w:eastAsia="zh-CN"/>
        </w:rPr>
        <w:t xml:space="preserve">3.1项目人员要求 </w:t>
      </w:r>
      <w:bookmarkStart w:id="461" w:name="_Toc205288586"/>
      <w:bookmarkStart w:id="462" w:name="_Toc5921"/>
    </w:p>
    <w:p w14:paraId="315A3885">
      <w:pPr>
        <w:ind w:firstLine="560"/>
        <w:rPr>
          <w:rFonts w:hint="default" w:ascii="宋体" w:hAnsi="宋体" w:eastAsia="宋体" w:cs="宋体"/>
          <w:bCs/>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bCs/>
          <w:color w:val="000000" w:themeColor="text1"/>
          <w:spacing w:val="6"/>
          <w:kern w:val="2"/>
          <w:sz w:val="21"/>
          <w:szCs w:val="21"/>
          <w:lang w:val="en-US" w:eastAsia="zh-CN" w:bidi="ar-SA"/>
          <w14:textFill>
            <w14:solidFill>
              <w14:schemeClr w14:val="tx1"/>
            </w14:solidFill>
          </w14:textFill>
        </w:rPr>
        <w:t>根据项目要求，投标人应明确项目组织机构中各岗位的职责，配备有业务经验和技术经验的项目经理、专业人员承担本项目的建设工作，确保项目顺利实施。在项目实施的阶段，投标人需确保足够数量的专业技术人员（不少于6人的团队成员</w:t>
      </w:r>
      <w:r>
        <w:rPr>
          <w:rFonts w:hint="eastAsia" w:ascii="宋体" w:hAnsi="宋体" w:cs="宋体"/>
          <w:bCs/>
          <w:color w:val="000000" w:themeColor="text1"/>
          <w:spacing w:val="6"/>
          <w:kern w:val="2"/>
          <w:sz w:val="21"/>
          <w:szCs w:val="21"/>
          <w:lang w:val="en-US" w:eastAsia="zh-CN" w:bidi="ar-SA"/>
          <w14:textFill>
            <w14:solidFill>
              <w14:schemeClr w14:val="tx1"/>
            </w14:solidFill>
          </w14:textFill>
        </w:rPr>
        <w:t>，提供人员名单</w:t>
      </w:r>
      <w:r>
        <w:rPr>
          <w:rFonts w:hint="eastAsia" w:ascii="宋体" w:hAnsi="宋体" w:eastAsia="宋体" w:cs="宋体"/>
          <w:bCs/>
          <w:color w:val="000000" w:themeColor="text1"/>
          <w:spacing w:val="6"/>
          <w:kern w:val="2"/>
          <w:sz w:val="21"/>
          <w:szCs w:val="21"/>
          <w:lang w:val="en-US" w:eastAsia="zh-CN" w:bidi="ar-SA"/>
          <w14:textFill>
            <w14:solidFill>
              <w14:schemeClr w14:val="tx1"/>
            </w14:solidFill>
          </w14:textFill>
        </w:rPr>
        <w:t>）组成项目专业团队进行设计、安装、调试、培训、试运行和验收等整体实施工作。</w:t>
      </w:r>
    </w:p>
    <w:p w14:paraId="4A8FF130">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r>
        <w:rPr>
          <w:rFonts w:hint="eastAsia" w:ascii="宋体" w:hAnsi="宋体" w:eastAsia="宋体" w:cs="宋体"/>
          <w:b/>
          <w:bCs w:val="0"/>
          <w:spacing w:val="6"/>
          <w:szCs w:val="21"/>
          <w:lang w:val="en-US" w:eastAsia="zh-CN"/>
        </w:rPr>
        <w:t>3.2项目培训要求</w:t>
      </w:r>
      <w:bookmarkEnd w:id="460"/>
      <w:bookmarkEnd w:id="461"/>
      <w:bookmarkEnd w:id="462"/>
    </w:p>
    <w:p w14:paraId="7D51DA05">
      <w:pPr>
        <w:ind w:firstLine="560"/>
        <w:rPr>
          <w:rFonts w:hint="eastAsia" w:ascii="宋体" w:hAnsi="宋体" w:eastAsia="宋体" w:cs="宋体"/>
          <w:bCs/>
          <w:spacing w:val="6"/>
          <w:kern w:val="2"/>
          <w:sz w:val="21"/>
          <w:szCs w:val="21"/>
          <w:lang w:val="en-US" w:eastAsia="zh-CN" w:bidi="ar-SA"/>
        </w:rPr>
      </w:pPr>
      <w:r>
        <w:rPr>
          <w:rFonts w:hint="eastAsia" w:ascii="宋体" w:hAnsi="宋体" w:eastAsia="宋体" w:cs="宋体"/>
          <w:bCs/>
          <w:spacing w:val="6"/>
          <w:kern w:val="2"/>
          <w:sz w:val="21"/>
          <w:szCs w:val="21"/>
          <w:lang w:val="en-US" w:eastAsia="zh-CN" w:bidi="ar-SA"/>
        </w:rPr>
        <w:t>投标人需要提供必要的培训与技术转移手段，保证能够将其传授于采购方客户技术人员，并针对系统使用人员、系统运行维护管理人员等不同对象制定有针对性的培训计划。</w:t>
      </w:r>
    </w:p>
    <w:p w14:paraId="7230F0F7">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lang w:val="en-US" w:eastAsia="zh-CN"/>
        </w:rPr>
      </w:pPr>
      <w:bookmarkStart w:id="463" w:name="_Toc151589612"/>
      <w:bookmarkStart w:id="464" w:name="_Toc7818"/>
      <w:bookmarkStart w:id="465" w:name="_Toc205288587"/>
      <w:r>
        <w:rPr>
          <w:rFonts w:hint="eastAsia" w:ascii="宋体" w:hAnsi="宋体" w:eastAsia="宋体" w:cs="宋体"/>
          <w:b/>
          <w:bCs w:val="0"/>
          <w:spacing w:val="6"/>
          <w:szCs w:val="21"/>
          <w:lang w:val="en-US" w:eastAsia="zh-CN"/>
        </w:rPr>
        <w:t>3.3项目售后服务要求</w:t>
      </w:r>
      <w:bookmarkEnd w:id="463"/>
      <w:bookmarkEnd w:id="464"/>
      <w:bookmarkEnd w:id="465"/>
    </w:p>
    <w:p w14:paraId="185C8C3F">
      <w:pPr>
        <w:ind w:firstLine="560"/>
        <w:rPr>
          <w:rFonts w:hint="eastAsia" w:ascii="宋体" w:hAnsi="宋体" w:eastAsia="宋体" w:cs="宋体"/>
          <w:bCs/>
          <w:spacing w:val="6"/>
          <w:kern w:val="2"/>
          <w:sz w:val="21"/>
          <w:szCs w:val="21"/>
          <w:highlight w:val="none"/>
          <w:lang w:val="en-US" w:eastAsia="zh-CN" w:bidi="ar-SA"/>
        </w:rPr>
      </w:pPr>
      <w:r>
        <w:rPr>
          <w:rFonts w:hint="eastAsia" w:ascii="宋体" w:hAnsi="宋体" w:eastAsia="宋体" w:cs="宋体"/>
          <w:bCs/>
          <w:spacing w:val="6"/>
          <w:kern w:val="2"/>
          <w:sz w:val="21"/>
          <w:szCs w:val="21"/>
          <w:highlight w:val="none"/>
          <w:lang w:val="en-US" w:eastAsia="zh-CN" w:bidi="ar-SA"/>
        </w:rPr>
        <w:t>1）投标人需提供</w:t>
      </w:r>
      <w:r>
        <w:rPr>
          <w:rFonts w:hint="eastAsia" w:ascii="宋体" w:hAnsi="宋体" w:cs="宋体"/>
          <w:bCs/>
          <w:spacing w:val="6"/>
          <w:kern w:val="2"/>
          <w:sz w:val="21"/>
          <w:szCs w:val="21"/>
          <w:highlight w:val="none"/>
          <w:lang w:val="en-US" w:eastAsia="zh-CN" w:bidi="ar-SA"/>
        </w:rPr>
        <w:t>不少</w:t>
      </w:r>
      <w:r>
        <w:rPr>
          <w:rFonts w:hint="eastAsia" w:ascii="宋体" w:hAnsi="宋体" w:eastAsia="宋体" w:cs="宋体"/>
          <w:bCs/>
          <w:spacing w:val="6"/>
          <w:kern w:val="2"/>
          <w:sz w:val="21"/>
          <w:szCs w:val="21"/>
          <w:highlight w:val="none"/>
          <w:lang w:val="en-US" w:eastAsia="zh-CN" w:bidi="ar-SA"/>
        </w:rPr>
        <w:t>于3年的软件系统及相关数据库、操作系统等产品的免费质保，质保期从系统整体验收合格，且双方在验收单上签字之日起开始计算。质保期内免上门费、维修费和系统升级费等。</w:t>
      </w:r>
      <w:r>
        <w:rPr>
          <w:rFonts w:hint="eastAsia" w:ascii="宋体" w:hAnsi="宋体" w:cs="宋体"/>
          <w:bCs/>
          <w:spacing w:val="6"/>
          <w:kern w:val="2"/>
          <w:sz w:val="21"/>
          <w:szCs w:val="21"/>
          <w:highlight w:val="none"/>
          <w:lang w:val="en-US" w:eastAsia="zh-CN" w:bidi="ar-SA"/>
        </w:rPr>
        <w:t>质保期</w:t>
      </w:r>
      <w:r>
        <w:rPr>
          <w:rFonts w:hint="eastAsia" w:ascii="宋体" w:hAnsi="宋体" w:eastAsia="宋体" w:cs="宋体"/>
          <w:bCs/>
          <w:spacing w:val="6"/>
          <w:kern w:val="2"/>
          <w:sz w:val="21"/>
          <w:szCs w:val="21"/>
          <w:highlight w:val="none"/>
          <w:lang w:val="en-US" w:eastAsia="zh-CN" w:bidi="ar-SA"/>
        </w:rPr>
        <w:t>过后，采购方可自行选择是否继续签订维保合同</w:t>
      </w:r>
      <w:r>
        <w:rPr>
          <w:rFonts w:hint="eastAsia" w:ascii="宋体" w:hAnsi="宋体" w:cs="宋体"/>
          <w:bCs/>
          <w:spacing w:val="6"/>
          <w:kern w:val="2"/>
          <w:sz w:val="21"/>
          <w:szCs w:val="21"/>
          <w:highlight w:val="none"/>
          <w:lang w:val="en-US" w:eastAsia="zh-CN" w:bidi="ar-SA"/>
        </w:rPr>
        <w:t>，每年维保服务费不得超过合同价的5%</w:t>
      </w:r>
      <w:r>
        <w:rPr>
          <w:rFonts w:hint="eastAsia" w:ascii="宋体" w:hAnsi="宋体" w:eastAsia="宋体" w:cs="宋体"/>
          <w:bCs/>
          <w:spacing w:val="6"/>
          <w:kern w:val="2"/>
          <w:sz w:val="21"/>
          <w:szCs w:val="21"/>
          <w:highlight w:val="none"/>
          <w:lang w:val="en-US" w:eastAsia="zh-CN" w:bidi="ar-SA"/>
        </w:rPr>
        <w:t>。</w:t>
      </w:r>
    </w:p>
    <w:p w14:paraId="704FD1CE">
      <w:pPr>
        <w:ind w:firstLine="560"/>
        <w:rPr>
          <w:rFonts w:hint="eastAsia" w:ascii="宋体" w:hAnsi="宋体" w:eastAsia="宋体" w:cs="宋体"/>
          <w:bCs/>
          <w:spacing w:val="6"/>
          <w:kern w:val="2"/>
          <w:sz w:val="21"/>
          <w:szCs w:val="21"/>
          <w:highlight w:val="none"/>
          <w:lang w:val="en-US" w:eastAsia="zh-CN" w:bidi="ar-SA"/>
        </w:rPr>
      </w:pPr>
      <w:r>
        <w:rPr>
          <w:rFonts w:hint="eastAsia" w:ascii="宋体" w:hAnsi="宋体" w:eastAsia="宋体" w:cs="宋体"/>
          <w:bCs/>
          <w:spacing w:val="6"/>
          <w:kern w:val="2"/>
          <w:sz w:val="21"/>
          <w:szCs w:val="21"/>
          <w:highlight w:val="none"/>
          <w:lang w:val="en-US" w:eastAsia="zh-CN" w:bidi="ar-SA"/>
        </w:rPr>
        <w:t>2）投标人需提供采购项目产品免费维保期的维护方案。</w:t>
      </w:r>
    </w:p>
    <w:p w14:paraId="68879A5B">
      <w:pPr>
        <w:ind w:firstLine="560"/>
        <w:rPr>
          <w:rFonts w:hint="eastAsia" w:ascii="宋体" w:hAnsi="宋体" w:eastAsia="宋体" w:cs="宋体"/>
          <w:bCs/>
          <w:spacing w:val="6"/>
          <w:kern w:val="2"/>
          <w:sz w:val="21"/>
          <w:szCs w:val="21"/>
          <w:highlight w:val="none"/>
          <w:lang w:val="en-US" w:eastAsia="zh-CN" w:bidi="ar-SA"/>
        </w:rPr>
      </w:pPr>
      <w:r>
        <w:rPr>
          <w:rFonts w:hint="eastAsia" w:ascii="宋体" w:hAnsi="宋体" w:eastAsia="宋体" w:cs="宋体"/>
          <w:bCs/>
          <w:spacing w:val="6"/>
          <w:kern w:val="2"/>
          <w:sz w:val="21"/>
          <w:szCs w:val="21"/>
          <w:highlight w:val="none"/>
          <w:lang w:val="en-US" w:eastAsia="zh-CN" w:bidi="ar-SA"/>
        </w:rPr>
        <w:t>3）质保期内，投标人需保证7*24小时的服务响应，响应时间不得低于如下标准：接到采购方客户的通知后2小时内必须做出明确的响应和安排。需提供现场服务的，服务团队须在4小时内达到故障现场。6小时内做出故障诊断报告，常规故障8小时内解决。</w:t>
      </w:r>
    </w:p>
    <w:p w14:paraId="27902A9C">
      <w:pPr>
        <w:ind w:firstLine="560"/>
        <w:rPr>
          <w:rFonts w:hint="eastAsia" w:ascii="宋体" w:hAnsi="宋体" w:eastAsia="宋体" w:cs="宋体"/>
          <w:bCs/>
          <w:spacing w:val="6"/>
          <w:kern w:val="2"/>
          <w:sz w:val="21"/>
          <w:szCs w:val="21"/>
          <w:highlight w:val="none"/>
          <w:lang w:val="en-US" w:eastAsia="zh-CN" w:bidi="ar-SA"/>
        </w:rPr>
      </w:pPr>
      <w:r>
        <w:rPr>
          <w:rFonts w:hint="eastAsia" w:ascii="宋体" w:hAnsi="宋体" w:eastAsia="宋体" w:cs="宋体"/>
          <w:bCs/>
          <w:spacing w:val="6"/>
          <w:kern w:val="2"/>
          <w:sz w:val="21"/>
          <w:szCs w:val="21"/>
          <w:highlight w:val="none"/>
          <w:lang w:val="en-US" w:eastAsia="zh-CN" w:bidi="ar-SA"/>
        </w:rPr>
        <w:t>4）免费维保期和维保合同期内，提供原厂软件系统升级和咨询服务，并应提供软件扩充、升级方面的技术支持服务。</w:t>
      </w:r>
    </w:p>
    <w:p w14:paraId="29702CC4">
      <w:pPr>
        <w:ind w:firstLine="560"/>
        <w:rPr>
          <w:rFonts w:hint="default" w:ascii="宋体" w:hAnsi="宋体" w:eastAsia="宋体" w:cs="宋体"/>
          <w:bCs/>
          <w:spacing w:val="6"/>
          <w:kern w:val="2"/>
          <w:sz w:val="21"/>
          <w:szCs w:val="21"/>
          <w:highlight w:val="none"/>
          <w:lang w:val="en-US" w:eastAsia="zh-CN" w:bidi="ar-SA"/>
        </w:rPr>
      </w:pPr>
      <w:r>
        <w:rPr>
          <w:rFonts w:hint="eastAsia" w:ascii="宋体" w:hAnsi="宋体" w:cs="宋体"/>
          <w:bCs/>
          <w:spacing w:val="6"/>
          <w:kern w:val="2"/>
          <w:sz w:val="21"/>
          <w:szCs w:val="21"/>
          <w:highlight w:val="none"/>
          <w:lang w:val="en-US" w:eastAsia="zh-CN" w:bidi="ar-SA"/>
        </w:rPr>
        <w:t>5）项目实施完成，须提供不少于2名技术人员驻场服务。</w:t>
      </w:r>
    </w:p>
    <w:p w14:paraId="519AA4FC">
      <w:pPr>
        <w:pStyle w:val="11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pacing w:val="6"/>
          <w:szCs w:val="21"/>
          <w:highlight w:val="none"/>
          <w:lang w:val="en-US" w:eastAsia="zh-CN"/>
        </w:rPr>
      </w:pPr>
      <w:bookmarkStart w:id="466" w:name="_Toc151589614"/>
      <w:r>
        <w:rPr>
          <w:rFonts w:hint="eastAsia" w:ascii="宋体" w:hAnsi="宋体" w:eastAsia="宋体" w:cs="宋体"/>
          <w:b/>
          <w:bCs w:val="0"/>
          <w:spacing w:val="6"/>
          <w:szCs w:val="21"/>
          <w:highlight w:val="none"/>
          <w:lang w:val="en-US" w:eastAsia="zh-CN"/>
        </w:rPr>
        <w:t>3.</w:t>
      </w:r>
      <w:bookmarkStart w:id="467" w:name="_Toc29011"/>
      <w:bookmarkStart w:id="468" w:name="_Toc205288588"/>
      <w:r>
        <w:rPr>
          <w:rFonts w:hint="eastAsia" w:ascii="宋体" w:hAnsi="宋体" w:eastAsia="宋体" w:cs="宋体"/>
          <w:b/>
          <w:bCs w:val="0"/>
          <w:spacing w:val="6"/>
          <w:szCs w:val="21"/>
          <w:highlight w:val="none"/>
          <w:lang w:val="en-US" w:eastAsia="zh-CN"/>
        </w:rPr>
        <w:t>4其他要求</w:t>
      </w:r>
      <w:bookmarkEnd w:id="466"/>
      <w:bookmarkEnd w:id="467"/>
      <w:bookmarkEnd w:id="468"/>
    </w:p>
    <w:p w14:paraId="6C478591">
      <w:pPr>
        <w:ind w:firstLine="560"/>
        <w:rPr>
          <w:rFonts w:hint="eastAsia" w:ascii="宋体" w:hAnsi="宋体" w:eastAsia="宋体" w:cs="宋体"/>
          <w:bCs/>
          <w:spacing w:val="6"/>
          <w:kern w:val="2"/>
          <w:sz w:val="21"/>
          <w:szCs w:val="21"/>
          <w:lang w:val="en-US" w:eastAsia="zh-CN" w:bidi="ar-SA"/>
        </w:rPr>
      </w:pPr>
      <w:r>
        <w:rPr>
          <w:rFonts w:hint="eastAsia" w:ascii="宋体" w:hAnsi="宋体" w:eastAsia="宋体" w:cs="宋体"/>
          <w:bCs/>
          <w:spacing w:val="6"/>
          <w:kern w:val="2"/>
          <w:sz w:val="21"/>
          <w:szCs w:val="21"/>
          <w:lang w:val="en-US" w:eastAsia="zh-CN" w:bidi="ar-SA"/>
        </w:rPr>
        <w:t>1）站点数限制：系统管理平台、科室成本管理系统、医疗服务项目成本管理系统、病种成本管理系统、DIP成本管理系统都不允许有使用站点数限制。</w:t>
      </w:r>
    </w:p>
    <w:p w14:paraId="36196798">
      <w:pPr>
        <w:ind w:firstLine="560"/>
        <w:rPr>
          <w:rFonts w:hint="eastAsia" w:ascii="宋体" w:hAnsi="宋体" w:eastAsia="宋体" w:cs="宋体"/>
          <w:bCs/>
          <w:spacing w:val="6"/>
          <w:kern w:val="2"/>
          <w:sz w:val="21"/>
          <w:szCs w:val="21"/>
          <w:lang w:val="en-US" w:eastAsia="zh-CN" w:bidi="ar-SA"/>
        </w:rPr>
      </w:pPr>
      <w:r>
        <w:rPr>
          <w:rFonts w:hint="eastAsia" w:ascii="宋体" w:hAnsi="宋体" w:eastAsia="宋体" w:cs="宋体"/>
          <w:bCs/>
          <w:spacing w:val="6"/>
          <w:kern w:val="2"/>
          <w:sz w:val="21"/>
          <w:szCs w:val="21"/>
          <w:lang w:val="en-US" w:eastAsia="zh-CN" w:bidi="ar-SA"/>
        </w:rPr>
        <w:t>2）数据接口要求：需要按照医院成本数据要求，提供合理方案，完成相关系统数据对接。</w:t>
      </w:r>
    </w:p>
    <w:p w14:paraId="328B1C12">
      <w:pPr>
        <w:ind w:firstLine="560"/>
        <w:rPr>
          <w:rFonts w:hint="eastAsia" w:ascii="宋体" w:hAnsi="宋体" w:eastAsia="宋体" w:cs="宋体"/>
          <w:bCs/>
          <w:spacing w:val="6"/>
          <w:kern w:val="2"/>
          <w:sz w:val="21"/>
          <w:szCs w:val="21"/>
          <w:lang w:val="en-US" w:eastAsia="zh-CN" w:bidi="ar-SA"/>
        </w:rPr>
      </w:pPr>
      <w:r>
        <w:rPr>
          <w:rFonts w:hint="eastAsia" w:ascii="宋体" w:hAnsi="宋体" w:eastAsia="宋体" w:cs="宋体"/>
          <w:bCs/>
          <w:spacing w:val="6"/>
          <w:kern w:val="2"/>
          <w:sz w:val="21"/>
          <w:szCs w:val="21"/>
          <w:lang w:val="en-US" w:eastAsia="zh-CN" w:bidi="ar-SA"/>
        </w:rPr>
        <w:t>3）相关接口费用：本项目涉及到的接口费用，均由中标方承担。</w:t>
      </w:r>
    </w:p>
    <w:p w14:paraId="0860916E">
      <w:pPr>
        <w:numPr>
          <w:ilvl w:val="0"/>
          <w:numId w:val="2"/>
        </w:numPr>
        <w:ind w:left="0" w:leftChars="0" w:firstLine="0" w:firstLineChars="0"/>
        <w:rPr>
          <w:rFonts w:hint="eastAsia" w:ascii="宋体" w:hAnsi="宋体" w:eastAsia="宋体" w:cs="宋体"/>
          <w:b w:val="0"/>
          <w:bCs w:val="0"/>
          <w:color w:val="auto"/>
          <w:spacing w:val="6"/>
          <w:sz w:val="32"/>
          <w:szCs w:val="32"/>
          <w:highlight w:val="none"/>
          <w:lang w:eastAsia="zh-CN"/>
        </w:rPr>
      </w:pPr>
      <w:r>
        <w:rPr>
          <w:rFonts w:hint="eastAsia" w:ascii="宋体" w:hAnsi="宋体" w:eastAsia="宋体" w:cs="宋体"/>
          <w:b w:val="0"/>
          <w:bCs w:val="0"/>
          <w:color w:val="auto"/>
          <w:spacing w:val="6"/>
          <w:sz w:val="32"/>
          <w:szCs w:val="32"/>
          <w:highlight w:val="none"/>
          <w:lang w:eastAsia="zh-CN"/>
        </w:rPr>
        <w:br w:type="page"/>
      </w:r>
    </w:p>
    <w:p w14:paraId="31145664">
      <w:pPr>
        <w:pStyle w:val="23"/>
        <w:rPr>
          <w:rFonts w:hint="eastAsia" w:ascii="宋体" w:hAnsi="宋体" w:eastAsia="宋体" w:cs="宋体"/>
          <w:b/>
          <w:bCs/>
          <w:color w:val="auto"/>
          <w:spacing w:val="6"/>
          <w:highlight w:val="none"/>
          <w:lang w:eastAsia="zh-CN"/>
        </w:rPr>
      </w:pPr>
      <w:bookmarkStart w:id="469" w:name="_Toc14569"/>
      <w:bookmarkStart w:id="470" w:name="_Toc2750"/>
      <w:bookmarkStart w:id="471" w:name="_Toc8303"/>
      <w:bookmarkStart w:id="472" w:name="_Toc20963"/>
      <w:r>
        <w:rPr>
          <w:rFonts w:hint="eastAsia" w:ascii="宋体" w:hAnsi="宋体" w:eastAsia="宋体" w:cs="宋体"/>
          <w:b/>
          <w:bCs/>
          <w:color w:val="auto"/>
          <w:spacing w:val="6"/>
          <w:sz w:val="32"/>
          <w:szCs w:val="32"/>
          <w:highlight w:val="none"/>
          <w:lang w:eastAsia="zh-CN"/>
        </w:rPr>
        <w:t>第四章 合 同(样本)</w:t>
      </w:r>
      <w:bookmarkEnd w:id="277"/>
      <w:bookmarkEnd w:id="469"/>
      <w:bookmarkEnd w:id="470"/>
      <w:bookmarkEnd w:id="471"/>
      <w:bookmarkEnd w:id="472"/>
    </w:p>
    <w:p w14:paraId="02271389">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双方应根据招标文件、中标通知书、中标人的投标文件（包括澄清说明），以及与本项目招标相关的资料签订采购合同。所签订的合同不得背离招标文件的实质性内容要求和投标文件的承诺。</w:t>
      </w:r>
    </w:p>
    <w:p w14:paraId="48BA8FE0">
      <w:pPr>
        <w:rPr>
          <w:rFonts w:hint="eastAsia" w:ascii="宋体" w:hAnsi="宋体" w:eastAsia="宋体" w:cs="宋体"/>
          <w:color w:val="auto"/>
          <w:highlight w:val="none"/>
        </w:rPr>
      </w:pPr>
    </w:p>
    <w:p w14:paraId="4F9D3BFE">
      <w:pPr>
        <w:spacing w:line="420" w:lineRule="exact"/>
        <w:rPr>
          <w:rFonts w:hint="eastAsia" w:ascii="宋体" w:hAnsi="宋体" w:eastAsia="宋体" w:cs="宋体"/>
          <w:color w:val="auto"/>
          <w:spacing w:val="6"/>
          <w:highlight w:val="none"/>
        </w:rPr>
      </w:pPr>
    </w:p>
    <w:p w14:paraId="496DA3B4">
      <w:pPr>
        <w:pStyle w:val="120"/>
        <w:spacing w:line="420" w:lineRule="exact"/>
        <w:ind w:firstLine="422" w:firstLineChars="200"/>
        <w:rPr>
          <w:rFonts w:hint="eastAsia" w:ascii="宋体" w:hAnsi="宋体" w:eastAsia="宋体" w:cs="宋体"/>
          <w:color w:val="auto"/>
          <w:spacing w:val="6"/>
          <w:szCs w:val="21"/>
          <w:highlight w:val="none"/>
        </w:rPr>
      </w:pPr>
    </w:p>
    <w:p w14:paraId="7B1DED59">
      <w:pPr>
        <w:jc w:val="center"/>
        <w:rPr>
          <w:rFonts w:hint="eastAsia" w:ascii="宋体" w:hAnsi="宋体" w:eastAsia="宋体" w:cs="宋体"/>
          <w:b/>
          <w:bCs/>
          <w:color w:val="auto"/>
          <w:spacing w:val="6"/>
          <w:sz w:val="28"/>
          <w:szCs w:val="28"/>
          <w:highlight w:val="none"/>
          <w:lang w:val="en-US" w:eastAsia="zh-CN"/>
        </w:rPr>
      </w:pPr>
      <w:r>
        <w:rPr>
          <w:rFonts w:hint="eastAsia" w:ascii="宋体" w:hAnsi="宋体" w:eastAsia="宋体" w:cs="宋体"/>
          <w:b/>
          <w:bCs/>
          <w:color w:val="auto"/>
          <w:spacing w:val="6"/>
          <w:sz w:val="28"/>
          <w:szCs w:val="28"/>
          <w:highlight w:val="none"/>
          <w:lang w:val="en-US" w:eastAsia="zh-CN"/>
        </w:rPr>
        <w:t>本合同样本仅供参考，具体以双方商定为准。</w:t>
      </w:r>
    </w:p>
    <w:p w14:paraId="7F64207A">
      <w:pPr>
        <w:bidi w:val="0"/>
        <w:rPr>
          <w:rFonts w:hint="eastAsia" w:ascii="宋体" w:hAnsi="宋体" w:eastAsia="宋体" w:cs="宋体"/>
          <w:color w:val="auto"/>
          <w:highlight w:val="none"/>
          <w:lang w:val="en-US" w:eastAsia="zh-CN"/>
        </w:rPr>
      </w:pPr>
    </w:p>
    <w:p w14:paraId="7564A84D">
      <w:pPr>
        <w:bidi w:val="0"/>
        <w:rPr>
          <w:rFonts w:hint="eastAsia" w:ascii="宋体" w:hAnsi="宋体" w:eastAsia="宋体" w:cs="宋体"/>
          <w:color w:val="auto"/>
          <w:highlight w:val="none"/>
          <w:lang w:val="en-US" w:eastAsia="zh-CN"/>
        </w:rPr>
      </w:pPr>
    </w:p>
    <w:p w14:paraId="06023991">
      <w:pPr>
        <w:bidi w:val="0"/>
        <w:rPr>
          <w:rFonts w:hint="eastAsia" w:ascii="宋体" w:hAnsi="宋体" w:eastAsia="宋体" w:cs="宋体"/>
          <w:color w:val="auto"/>
          <w:highlight w:val="none"/>
          <w:lang w:val="en-US" w:eastAsia="zh-CN"/>
        </w:rPr>
      </w:pPr>
    </w:p>
    <w:p w14:paraId="353EFC9C">
      <w:pPr>
        <w:bidi w:val="0"/>
        <w:rPr>
          <w:rFonts w:hint="eastAsia" w:ascii="宋体" w:hAnsi="宋体" w:eastAsia="宋体" w:cs="宋体"/>
          <w:color w:val="auto"/>
          <w:highlight w:val="none"/>
          <w:lang w:val="en-US" w:eastAsia="zh-CN"/>
        </w:rPr>
      </w:pPr>
    </w:p>
    <w:p w14:paraId="59774DD6">
      <w:pPr>
        <w:bidi w:val="0"/>
        <w:rPr>
          <w:rFonts w:hint="eastAsia" w:ascii="宋体" w:hAnsi="宋体" w:eastAsia="宋体" w:cs="宋体"/>
          <w:color w:val="auto"/>
          <w:highlight w:val="none"/>
          <w:lang w:val="en-US" w:eastAsia="zh-CN"/>
        </w:rPr>
      </w:pPr>
    </w:p>
    <w:p w14:paraId="582C9F74">
      <w:pPr>
        <w:bidi w:val="0"/>
        <w:rPr>
          <w:rFonts w:hint="eastAsia" w:ascii="宋体" w:hAnsi="宋体" w:eastAsia="宋体" w:cs="宋体"/>
          <w:color w:val="auto"/>
          <w:highlight w:val="none"/>
          <w:lang w:val="en-US" w:eastAsia="zh-CN"/>
        </w:rPr>
      </w:pPr>
    </w:p>
    <w:p w14:paraId="4AD34F07">
      <w:pPr>
        <w:bidi w:val="0"/>
        <w:rPr>
          <w:rFonts w:hint="eastAsia" w:ascii="宋体" w:hAnsi="宋体" w:eastAsia="宋体" w:cs="宋体"/>
          <w:color w:val="auto"/>
          <w:highlight w:val="none"/>
          <w:lang w:val="en-US" w:eastAsia="zh-CN"/>
        </w:rPr>
      </w:pPr>
    </w:p>
    <w:p w14:paraId="0253B5B0">
      <w:pPr>
        <w:bidi w:val="0"/>
        <w:rPr>
          <w:rFonts w:hint="eastAsia" w:ascii="宋体" w:hAnsi="宋体" w:eastAsia="宋体" w:cs="宋体"/>
          <w:color w:val="auto"/>
          <w:highlight w:val="none"/>
          <w:lang w:val="en-US" w:eastAsia="zh-CN"/>
        </w:rPr>
      </w:pPr>
    </w:p>
    <w:p w14:paraId="021A52CA">
      <w:pPr>
        <w:bidi w:val="0"/>
        <w:rPr>
          <w:rFonts w:hint="eastAsia" w:ascii="宋体" w:hAnsi="宋体" w:eastAsia="宋体" w:cs="宋体"/>
          <w:color w:val="auto"/>
          <w:highlight w:val="none"/>
          <w:lang w:val="en-US" w:eastAsia="zh-CN"/>
        </w:rPr>
      </w:pPr>
    </w:p>
    <w:p w14:paraId="086FB8EB">
      <w:pPr>
        <w:rPr>
          <w:rFonts w:hint="eastAsia" w:ascii="宋体" w:hAnsi="宋体" w:eastAsia="宋体" w:cs="宋体"/>
          <w:color w:val="auto"/>
          <w:spacing w:val="6"/>
          <w:szCs w:val="21"/>
          <w:highlight w:val="none"/>
        </w:rPr>
      </w:pPr>
    </w:p>
    <w:p w14:paraId="0C820FF6">
      <w:pPr>
        <w:rPr>
          <w:rFonts w:hint="eastAsia" w:ascii="宋体" w:hAnsi="宋体" w:eastAsia="宋体" w:cs="宋体"/>
          <w:color w:val="auto"/>
          <w:spacing w:val="6"/>
          <w:sz w:val="32"/>
          <w:szCs w:val="32"/>
          <w:highlight w:val="none"/>
        </w:rPr>
      </w:pPr>
      <w:r>
        <w:rPr>
          <w:rFonts w:hint="eastAsia" w:ascii="宋体" w:hAnsi="宋体" w:eastAsia="宋体" w:cs="宋体"/>
          <w:color w:val="auto"/>
          <w:spacing w:val="6"/>
          <w:sz w:val="32"/>
          <w:szCs w:val="32"/>
          <w:highlight w:val="none"/>
        </w:rPr>
        <w:br w:type="page"/>
      </w:r>
    </w:p>
    <w:p w14:paraId="413C34CB">
      <w:pPr>
        <w:rPr>
          <w:rFonts w:hint="eastAsia" w:ascii="宋体" w:hAnsi="宋体" w:eastAsia="宋体" w:cs="宋体"/>
          <w:spacing w:val="6"/>
          <w:sz w:val="32"/>
          <w:szCs w:val="32"/>
        </w:rPr>
      </w:pPr>
      <w:bookmarkStart w:id="473" w:name="_Toc310580633"/>
      <w:r>
        <w:rPr>
          <w:rFonts w:hint="eastAsia" w:ascii="宋体" w:hAnsi="宋体" w:eastAsia="宋体" w:cs="宋体"/>
          <w:spacing w:val="6"/>
          <w:sz w:val="32"/>
          <w:szCs w:val="32"/>
        </w:rPr>
        <w:t>（</w:t>
      </w:r>
      <w:r>
        <w:rPr>
          <w:rFonts w:hint="eastAsia" w:ascii="宋体" w:hAnsi="宋体" w:cs="宋体"/>
          <w:bCs/>
          <w:spacing w:val="6"/>
          <w:sz w:val="32"/>
          <w:szCs w:val="32"/>
          <w:lang w:val="en-US" w:eastAsia="zh-CN"/>
        </w:rPr>
        <w:t>服务</w:t>
      </w:r>
      <w:r>
        <w:rPr>
          <w:rFonts w:hint="eastAsia" w:ascii="宋体" w:hAnsi="宋体" w:eastAsia="宋体" w:cs="宋体"/>
          <w:bCs/>
          <w:spacing w:val="6"/>
          <w:sz w:val="32"/>
          <w:szCs w:val="32"/>
        </w:rPr>
        <w:t>类</w:t>
      </w:r>
      <w:r>
        <w:rPr>
          <w:rFonts w:hint="eastAsia" w:ascii="宋体" w:hAnsi="宋体" w:eastAsia="宋体" w:cs="宋体"/>
          <w:spacing w:val="6"/>
          <w:sz w:val="32"/>
          <w:szCs w:val="32"/>
        </w:rPr>
        <w:t>）</w:t>
      </w:r>
    </w:p>
    <w:p w14:paraId="6DAE4E95">
      <w:pPr>
        <w:jc w:val="center"/>
        <w:rPr>
          <w:rFonts w:hint="eastAsia" w:ascii="宋体" w:hAnsi="宋体" w:eastAsia="宋体" w:cs="宋体"/>
          <w:b/>
          <w:spacing w:val="6"/>
          <w:sz w:val="72"/>
          <w:szCs w:val="72"/>
        </w:rPr>
      </w:pPr>
    </w:p>
    <w:p w14:paraId="170C1DF6">
      <w:pPr>
        <w:jc w:val="center"/>
        <w:rPr>
          <w:rFonts w:hint="eastAsia" w:ascii="宋体" w:hAnsi="宋体" w:eastAsia="宋体" w:cs="宋体"/>
          <w:b/>
          <w:spacing w:val="6"/>
          <w:sz w:val="52"/>
          <w:szCs w:val="52"/>
        </w:rPr>
      </w:pPr>
      <w:r>
        <w:rPr>
          <w:rFonts w:hint="eastAsia" w:ascii="宋体" w:hAnsi="宋体" w:eastAsia="宋体" w:cs="宋体"/>
          <w:b/>
          <w:spacing w:val="6"/>
          <w:sz w:val="52"/>
          <w:szCs w:val="52"/>
        </w:rPr>
        <w:t>政府采购合同</w:t>
      </w:r>
    </w:p>
    <w:p w14:paraId="290F5652">
      <w:pPr>
        <w:jc w:val="center"/>
        <w:rPr>
          <w:rFonts w:hint="eastAsia" w:ascii="宋体" w:hAnsi="宋体" w:eastAsia="宋体" w:cs="宋体"/>
          <w:b/>
          <w:spacing w:val="6"/>
          <w:sz w:val="72"/>
          <w:szCs w:val="72"/>
        </w:rPr>
      </w:pPr>
    </w:p>
    <w:p w14:paraId="6EC03F45">
      <w:pPr>
        <w:jc w:val="center"/>
        <w:rPr>
          <w:rFonts w:hint="eastAsia" w:ascii="宋体" w:hAnsi="宋体" w:eastAsia="宋体" w:cs="宋体"/>
          <w:b/>
          <w:spacing w:val="6"/>
          <w:sz w:val="96"/>
          <w:szCs w:val="96"/>
        </w:rPr>
      </w:pPr>
    </w:p>
    <w:p w14:paraId="2906C825">
      <w:pPr>
        <w:jc w:val="center"/>
        <w:rPr>
          <w:rFonts w:hint="eastAsia" w:ascii="宋体" w:hAnsi="宋体" w:eastAsia="宋体" w:cs="宋体"/>
          <w:b/>
          <w:spacing w:val="6"/>
          <w:sz w:val="96"/>
          <w:szCs w:val="96"/>
        </w:rPr>
      </w:pPr>
    </w:p>
    <w:p w14:paraId="60F48F51">
      <w:pPr>
        <w:ind w:firstLine="642" w:firstLineChars="200"/>
        <w:rPr>
          <w:rFonts w:hint="eastAsia" w:ascii="宋体" w:hAnsi="宋体" w:eastAsia="宋体" w:cs="宋体"/>
          <w:spacing w:val="6"/>
          <w:sz w:val="32"/>
          <w:szCs w:val="32"/>
        </w:rPr>
      </w:pPr>
      <w:r>
        <w:rPr>
          <w:rFonts w:hint="eastAsia" w:ascii="宋体" w:hAnsi="宋体" w:eastAsia="宋体" w:cs="宋体"/>
          <w:spacing w:val="6"/>
          <w:sz w:val="32"/>
          <w:szCs w:val="32"/>
        </w:rPr>
        <w:t>项目名称：</w:t>
      </w:r>
      <w:r>
        <w:rPr>
          <w:rFonts w:hint="eastAsia" w:ascii="宋体" w:hAnsi="宋体" w:eastAsia="宋体" w:cs="宋体"/>
          <w:spacing w:val="6"/>
          <w:sz w:val="32"/>
          <w:szCs w:val="32"/>
          <w:u w:val="single"/>
        </w:rPr>
        <w:t xml:space="preserve">                                   </w:t>
      </w:r>
    </w:p>
    <w:p w14:paraId="26EB3C31">
      <w:pPr>
        <w:ind w:firstLine="642" w:firstLineChars="200"/>
        <w:rPr>
          <w:rFonts w:hint="eastAsia" w:ascii="宋体" w:hAnsi="宋体" w:eastAsia="宋体" w:cs="宋体"/>
          <w:spacing w:val="6"/>
          <w:sz w:val="32"/>
          <w:szCs w:val="32"/>
          <w:u w:val="single"/>
        </w:rPr>
      </w:pPr>
      <w:r>
        <w:rPr>
          <w:rFonts w:hint="eastAsia" w:ascii="宋体" w:hAnsi="宋体" w:eastAsia="宋体" w:cs="宋体"/>
          <w:spacing w:val="6"/>
          <w:sz w:val="32"/>
          <w:szCs w:val="32"/>
        </w:rPr>
        <w:t>政府采购管理部门备案编号：</w:t>
      </w:r>
      <w:r>
        <w:rPr>
          <w:rFonts w:hint="eastAsia" w:ascii="宋体" w:hAnsi="宋体" w:eastAsia="宋体" w:cs="宋体"/>
          <w:spacing w:val="6"/>
          <w:sz w:val="32"/>
          <w:szCs w:val="32"/>
          <w:u w:val="single"/>
        </w:rPr>
        <w:t xml:space="preserve">                   </w:t>
      </w:r>
    </w:p>
    <w:p w14:paraId="28E2602E">
      <w:pPr>
        <w:ind w:firstLine="642" w:firstLineChars="200"/>
        <w:rPr>
          <w:rFonts w:hint="eastAsia" w:ascii="宋体" w:hAnsi="宋体" w:eastAsia="宋体" w:cs="宋体"/>
          <w:spacing w:val="6"/>
          <w:sz w:val="32"/>
          <w:szCs w:val="32"/>
        </w:rPr>
      </w:pPr>
      <w:r>
        <w:rPr>
          <w:rFonts w:hint="eastAsia" w:ascii="宋体" w:hAnsi="宋体" w:eastAsia="宋体" w:cs="宋体"/>
          <w:spacing w:val="6"/>
          <w:sz w:val="32"/>
          <w:szCs w:val="32"/>
        </w:rPr>
        <w:t>招标采购文件编号：</w:t>
      </w:r>
      <w:r>
        <w:rPr>
          <w:rFonts w:hint="eastAsia" w:ascii="宋体" w:hAnsi="宋体" w:eastAsia="宋体" w:cs="宋体"/>
          <w:spacing w:val="6"/>
          <w:sz w:val="32"/>
          <w:szCs w:val="32"/>
          <w:u w:val="single"/>
        </w:rPr>
        <w:t xml:space="preserve">                           </w:t>
      </w:r>
    </w:p>
    <w:p w14:paraId="5502183E">
      <w:pPr>
        <w:ind w:firstLine="642" w:firstLineChars="200"/>
        <w:rPr>
          <w:rFonts w:hint="eastAsia" w:ascii="宋体" w:hAnsi="宋体" w:eastAsia="宋体" w:cs="宋体"/>
          <w:spacing w:val="6"/>
          <w:sz w:val="32"/>
          <w:szCs w:val="32"/>
        </w:rPr>
      </w:pPr>
      <w:r>
        <w:rPr>
          <w:rFonts w:hint="eastAsia" w:ascii="宋体" w:hAnsi="宋体" w:eastAsia="宋体" w:cs="宋体"/>
          <w:spacing w:val="6"/>
          <w:sz w:val="32"/>
          <w:szCs w:val="32"/>
        </w:rPr>
        <w:t>甲方合同编号：</w:t>
      </w:r>
      <w:r>
        <w:rPr>
          <w:rFonts w:hint="eastAsia" w:ascii="宋体" w:hAnsi="宋体" w:eastAsia="宋体" w:cs="宋体"/>
          <w:spacing w:val="6"/>
          <w:sz w:val="32"/>
          <w:szCs w:val="32"/>
          <w:u w:val="single"/>
        </w:rPr>
        <w:t xml:space="preserve">                               </w:t>
      </w:r>
    </w:p>
    <w:p w14:paraId="00BE39E3">
      <w:pPr>
        <w:ind w:firstLine="642" w:firstLineChars="200"/>
        <w:rPr>
          <w:rFonts w:hint="eastAsia" w:ascii="宋体" w:hAnsi="宋体" w:eastAsia="宋体" w:cs="宋体"/>
          <w:spacing w:val="6"/>
          <w:sz w:val="32"/>
          <w:szCs w:val="32"/>
          <w:u w:val="single"/>
        </w:rPr>
      </w:pPr>
      <w:r>
        <w:rPr>
          <w:rFonts w:hint="eastAsia" w:ascii="宋体" w:hAnsi="宋体" w:eastAsia="宋体" w:cs="宋体"/>
          <w:spacing w:val="6"/>
          <w:sz w:val="32"/>
          <w:szCs w:val="32"/>
        </w:rPr>
        <w:t>甲方：</w:t>
      </w:r>
      <w:r>
        <w:rPr>
          <w:rFonts w:hint="eastAsia" w:ascii="宋体" w:hAnsi="宋体" w:eastAsia="宋体" w:cs="宋体"/>
          <w:spacing w:val="6"/>
          <w:sz w:val="32"/>
          <w:szCs w:val="32"/>
          <w:u w:val="single"/>
        </w:rPr>
        <w:t xml:space="preserve">                                       </w:t>
      </w:r>
    </w:p>
    <w:p w14:paraId="3D347ABD">
      <w:pPr>
        <w:ind w:firstLine="642" w:firstLineChars="200"/>
        <w:rPr>
          <w:rFonts w:hint="eastAsia" w:ascii="宋体" w:hAnsi="宋体" w:eastAsia="宋体" w:cs="宋体"/>
          <w:spacing w:val="6"/>
          <w:sz w:val="32"/>
          <w:szCs w:val="32"/>
        </w:rPr>
      </w:pPr>
      <w:r>
        <w:rPr>
          <w:rFonts w:hint="eastAsia" w:ascii="宋体" w:hAnsi="宋体" w:eastAsia="宋体" w:cs="宋体"/>
          <w:spacing w:val="6"/>
          <w:sz w:val="32"/>
          <w:szCs w:val="32"/>
        </w:rPr>
        <w:t>乙方：</w:t>
      </w:r>
      <w:r>
        <w:rPr>
          <w:rFonts w:hint="eastAsia" w:ascii="宋体" w:hAnsi="宋体" w:eastAsia="宋体" w:cs="宋体"/>
          <w:spacing w:val="6"/>
          <w:sz w:val="32"/>
          <w:szCs w:val="32"/>
          <w:u w:val="single"/>
        </w:rPr>
        <w:t xml:space="preserve">                                       </w:t>
      </w:r>
    </w:p>
    <w:p w14:paraId="35A7ECAF">
      <w:pPr>
        <w:ind w:firstLine="642" w:firstLineChars="200"/>
        <w:rPr>
          <w:rFonts w:hint="eastAsia" w:ascii="宋体" w:hAnsi="宋体" w:eastAsia="宋体" w:cs="宋体"/>
          <w:spacing w:val="6"/>
          <w:sz w:val="32"/>
          <w:szCs w:val="32"/>
          <w:u w:val="single"/>
        </w:rPr>
      </w:pPr>
      <w:r>
        <w:rPr>
          <w:rFonts w:hint="eastAsia" w:ascii="宋体" w:hAnsi="宋体" w:eastAsia="宋体" w:cs="宋体"/>
          <w:spacing w:val="6"/>
          <w:sz w:val="32"/>
          <w:szCs w:val="32"/>
        </w:rPr>
        <w:t>甲方合同法律审核部门：</w:t>
      </w:r>
      <w:r>
        <w:rPr>
          <w:rFonts w:hint="eastAsia" w:ascii="宋体" w:hAnsi="宋体" w:eastAsia="宋体" w:cs="宋体"/>
          <w:spacing w:val="6"/>
          <w:sz w:val="32"/>
          <w:szCs w:val="32"/>
          <w:u w:val="single"/>
        </w:rPr>
        <w:t xml:space="preserve">                       </w:t>
      </w:r>
    </w:p>
    <w:p w14:paraId="061BDB6A">
      <w:pPr>
        <w:rPr>
          <w:rFonts w:hint="eastAsia" w:ascii="宋体" w:hAnsi="宋体" w:eastAsia="宋体" w:cs="宋体"/>
          <w:spacing w:val="6"/>
          <w:sz w:val="32"/>
          <w:szCs w:val="32"/>
        </w:rPr>
      </w:pPr>
    </w:p>
    <w:p w14:paraId="0980CE2A">
      <w:pPr>
        <w:jc w:val="center"/>
        <w:rPr>
          <w:rFonts w:hint="eastAsia" w:ascii="宋体" w:hAnsi="宋体" w:eastAsia="宋体" w:cs="宋体"/>
          <w:spacing w:val="6"/>
          <w:sz w:val="32"/>
          <w:szCs w:val="32"/>
        </w:rPr>
      </w:pPr>
      <w:r>
        <w:rPr>
          <w:rFonts w:hint="eastAsia" w:ascii="宋体" w:hAnsi="宋体" w:eastAsia="宋体" w:cs="宋体"/>
          <w:spacing w:val="6"/>
          <w:sz w:val="32"/>
          <w:szCs w:val="32"/>
        </w:rPr>
        <w:t>签订时间：      年    月    日</w:t>
      </w:r>
    </w:p>
    <w:p w14:paraId="13AEB378">
      <w:pPr>
        <w:rPr>
          <w:rFonts w:hint="eastAsia" w:ascii="宋体" w:hAnsi="宋体" w:eastAsia="宋体" w:cs="宋体"/>
          <w:spacing w:val="6"/>
          <w:sz w:val="32"/>
          <w:szCs w:val="32"/>
        </w:rPr>
      </w:pPr>
      <w:r>
        <w:rPr>
          <w:rFonts w:hint="eastAsia" w:ascii="宋体" w:hAnsi="宋体" w:eastAsia="宋体" w:cs="宋体"/>
          <w:spacing w:val="6"/>
          <w:sz w:val="32"/>
          <w:szCs w:val="32"/>
        </w:rPr>
        <w:br w:type="page"/>
      </w:r>
    </w:p>
    <w:p w14:paraId="6DB42908">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（甲方）（××项目）委托（代理机构名称）进行了政府采购。按照评委会评审推荐、甲方确定乙方为中标单位。现甲乙双方协商同意签订本合同。</w:t>
      </w:r>
    </w:p>
    <w:p w14:paraId="7C740AAE">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firstLine="398"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  合同文件</w:t>
      </w:r>
    </w:p>
    <w:p w14:paraId="40A7969E">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下列与本次采购活动有关的文件及附件是本合同不可分割的组成部分，与本合同具有同等法律效力，这些文件包括但不限于：</w:t>
      </w:r>
    </w:p>
    <w:p w14:paraId="21C019A1">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r>
        <w:rPr>
          <w:rFonts w:hint="eastAsia" w:cs="Times New Roman" w:eastAsiaTheme="minorEastAsia"/>
          <w:sz w:val="21"/>
          <w:szCs w:val="21"/>
          <w:lang w:eastAsia="zh-CN"/>
        </w:rPr>
        <w:t>、</w:t>
      </w:r>
      <w:r>
        <w:rPr>
          <w:rFonts w:hint="default" w:ascii="Times New Roman" w:hAnsi="Times New Roman" w:cs="Times New Roman" w:eastAsiaTheme="minorEastAsia"/>
          <w:sz w:val="21"/>
          <w:szCs w:val="21"/>
        </w:rPr>
        <w:t>（××号）招标采购文件</w:t>
      </w:r>
    </w:p>
    <w:p w14:paraId="74D2F6C0">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r>
        <w:rPr>
          <w:rFonts w:hint="eastAsia" w:cs="Times New Roman" w:eastAsiaTheme="minorEastAsia"/>
          <w:sz w:val="21"/>
          <w:szCs w:val="21"/>
          <w:lang w:eastAsia="zh-CN"/>
        </w:rPr>
        <w:t>、</w:t>
      </w:r>
      <w:r>
        <w:rPr>
          <w:rFonts w:hint="default" w:ascii="Times New Roman" w:hAnsi="Times New Roman" w:cs="Times New Roman" w:eastAsiaTheme="minorEastAsia"/>
          <w:sz w:val="21"/>
          <w:szCs w:val="21"/>
        </w:rPr>
        <w:t>投标文件</w:t>
      </w:r>
    </w:p>
    <w:p w14:paraId="62D0D84B">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r>
        <w:rPr>
          <w:rFonts w:hint="eastAsia" w:cs="Times New Roman" w:eastAsiaTheme="minorEastAsia"/>
          <w:sz w:val="21"/>
          <w:szCs w:val="21"/>
          <w:lang w:eastAsia="zh-CN"/>
        </w:rPr>
        <w:t>、</w:t>
      </w:r>
      <w:r>
        <w:rPr>
          <w:rFonts w:hint="default" w:ascii="Times New Roman" w:hAnsi="Times New Roman" w:cs="Times New Roman" w:eastAsiaTheme="minorEastAsia"/>
          <w:sz w:val="21"/>
          <w:szCs w:val="21"/>
        </w:rPr>
        <w:t>乙方在投标时的书面承诺</w:t>
      </w:r>
    </w:p>
    <w:p w14:paraId="7DEE83CC">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r>
        <w:rPr>
          <w:rFonts w:hint="eastAsia" w:cs="Times New Roman" w:eastAsiaTheme="minorEastAsia"/>
          <w:sz w:val="21"/>
          <w:szCs w:val="21"/>
          <w:lang w:eastAsia="zh-CN"/>
        </w:rPr>
        <w:t>、</w:t>
      </w:r>
      <w:r>
        <w:rPr>
          <w:rFonts w:hint="default" w:ascii="Times New Roman" w:hAnsi="Times New Roman" w:cs="Times New Roman" w:eastAsiaTheme="minorEastAsia"/>
          <w:sz w:val="21"/>
          <w:szCs w:val="21"/>
        </w:rPr>
        <w:t>（××号）中标通知书</w:t>
      </w:r>
    </w:p>
    <w:p w14:paraId="42A62ADE">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rPr>
        <w:t>5</w:t>
      </w:r>
      <w:r>
        <w:rPr>
          <w:rFonts w:hint="eastAsia" w:cs="Times New Roman" w:eastAsiaTheme="minorEastAsia"/>
          <w:sz w:val="21"/>
          <w:szCs w:val="21"/>
          <w:lang w:eastAsia="zh-CN"/>
        </w:rPr>
        <w:t>、</w:t>
      </w:r>
      <w:r>
        <w:rPr>
          <w:rFonts w:hint="default" w:ascii="Times New Roman" w:hAnsi="Times New Roman" w:cs="Times New Roman" w:eastAsiaTheme="minorEastAsia"/>
          <w:sz w:val="21"/>
          <w:szCs w:val="21"/>
          <w:highlight w:val="none"/>
        </w:rPr>
        <w:t>合同补充条款或说明</w:t>
      </w:r>
    </w:p>
    <w:p w14:paraId="4135E1AE">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6</w:t>
      </w:r>
      <w:r>
        <w:rPr>
          <w:rFonts w:hint="eastAsia" w:cs="Times New Roman" w:eastAsiaTheme="minorEastAsia"/>
          <w:sz w:val="21"/>
          <w:szCs w:val="21"/>
          <w:highlight w:val="none"/>
          <w:lang w:eastAsia="zh-CN"/>
        </w:rPr>
        <w:t>、</w:t>
      </w:r>
      <w:r>
        <w:rPr>
          <w:rFonts w:hint="default" w:ascii="Times New Roman" w:hAnsi="Times New Roman" w:cs="Times New Roman" w:eastAsiaTheme="minorEastAsia"/>
          <w:sz w:val="21"/>
          <w:szCs w:val="21"/>
          <w:highlight w:val="none"/>
        </w:rPr>
        <w:t>保密协议或条款</w:t>
      </w:r>
    </w:p>
    <w:p w14:paraId="7DC5AE9A">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eastAsia" w:asciiTheme="minorEastAsia" w:hAnsiTheme="minorEastAsia" w:eastAsiaTheme="minorEastAsia" w:cstheme="minorEastAsia"/>
          <w:sz w:val="21"/>
          <w:szCs w:val="21"/>
          <w:highlight w:val="none"/>
        </w:rPr>
      </w:pPr>
      <w:r>
        <w:rPr>
          <w:rFonts w:hint="default" w:ascii="Times New Roman" w:hAnsi="Times New Roman" w:cs="Times New Roman" w:eastAsiaTheme="minorEastAsia"/>
          <w:sz w:val="21"/>
          <w:szCs w:val="21"/>
          <w:highlight w:val="none"/>
        </w:rPr>
        <w:t>7</w:t>
      </w:r>
      <w:r>
        <w:rPr>
          <w:rFonts w:hint="eastAsia" w:cs="Times New Roman" w:eastAsiaTheme="minorEastAsia"/>
          <w:sz w:val="21"/>
          <w:szCs w:val="21"/>
          <w:highlight w:val="none"/>
          <w:lang w:eastAsia="zh-CN"/>
        </w:rPr>
        <w:t>、</w:t>
      </w:r>
      <w:r>
        <w:rPr>
          <w:rFonts w:hint="default" w:ascii="Times New Roman" w:hAnsi="Times New Roman" w:cs="Times New Roman" w:eastAsiaTheme="minorEastAsia"/>
          <w:sz w:val="21"/>
          <w:szCs w:val="21"/>
          <w:highlight w:val="none"/>
        </w:rPr>
        <w:t>相关附件、图纸</w:t>
      </w:r>
    </w:p>
    <w:p w14:paraId="67290DCB">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eastAsia" w:asciiTheme="minorEastAsia" w:hAnsiTheme="minorEastAsia" w:eastAsiaTheme="minorEastAsia" w:cstheme="minorEastAsia"/>
          <w:b/>
          <w:sz w:val="21"/>
          <w:szCs w:val="21"/>
          <w:highlight w:val="none"/>
          <w:lang w:eastAsia="zh-CN"/>
        </w:rPr>
      </w:pPr>
      <w:r>
        <w:rPr>
          <w:rFonts w:hint="eastAsia" w:asciiTheme="minorEastAsia" w:hAnsiTheme="minorEastAsia" w:eastAsiaTheme="minorEastAsia" w:cstheme="minorEastAsia"/>
          <w:b/>
          <w:sz w:val="21"/>
          <w:szCs w:val="21"/>
          <w:highlight w:val="none"/>
        </w:rPr>
        <w:t>第二条  合同</w:t>
      </w:r>
      <w:r>
        <w:rPr>
          <w:rFonts w:hint="eastAsia" w:asciiTheme="minorEastAsia" w:hAnsiTheme="minorEastAsia" w:eastAsiaTheme="minorEastAsia" w:cstheme="minorEastAsia"/>
          <w:b/>
          <w:sz w:val="21"/>
          <w:szCs w:val="21"/>
          <w:highlight w:val="none"/>
          <w:lang w:val="en-US" w:eastAsia="zh-CN"/>
        </w:rPr>
        <w:t>内容</w:t>
      </w:r>
    </w:p>
    <w:p w14:paraId="6C9B7A06">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合同内容</w:t>
      </w:r>
      <w:r>
        <w:rPr>
          <w:rFonts w:hint="eastAsia" w:asciiTheme="minorEastAsia" w:hAnsiTheme="minorEastAsia" w:eastAsiaTheme="minorEastAsia" w:cstheme="minorEastAsia"/>
          <w:sz w:val="21"/>
          <w:szCs w:val="21"/>
          <w:highlight w:val="none"/>
        </w:rPr>
        <w:t>：详见合同附件中《服务一览表》 。</w:t>
      </w:r>
    </w:p>
    <w:p w14:paraId="0E0C36E0">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第三条  合同总金额</w:t>
      </w:r>
    </w:p>
    <w:p w14:paraId="10DCB365">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大写：</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元。</w:t>
      </w:r>
    </w:p>
    <w:p w14:paraId="779D1112">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本合同项下</w:t>
      </w:r>
      <w:r>
        <w:rPr>
          <w:rFonts w:hint="eastAsia" w:asciiTheme="minorEastAsia" w:hAnsiTheme="minorEastAsia" w:eastAsiaTheme="minorEastAsia" w:cstheme="minorEastAsia"/>
          <w:sz w:val="21"/>
          <w:szCs w:val="21"/>
          <w:highlight w:val="none"/>
          <w:lang w:val="en-US" w:eastAsia="zh-CN"/>
        </w:rPr>
        <w:t>服务总</w:t>
      </w:r>
      <w:r>
        <w:rPr>
          <w:rFonts w:hint="eastAsia" w:asciiTheme="minorEastAsia" w:hAnsiTheme="minorEastAsia" w:eastAsiaTheme="minorEastAsia" w:cstheme="minorEastAsia"/>
          <w:sz w:val="21"/>
          <w:szCs w:val="21"/>
          <w:highlight w:val="none"/>
        </w:rPr>
        <w:t>金额：￥</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元。</w:t>
      </w:r>
    </w:p>
    <w:p w14:paraId="686F6292">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分项价款在《</w:t>
      </w:r>
      <w:r>
        <w:rPr>
          <w:rFonts w:hint="eastAsia" w:asciiTheme="minorEastAsia" w:hAnsiTheme="minorEastAsia" w:eastAsiaTheme="minorEastAsia" w:cstheme="minorEastAsia"/>
          <w:sz w:val="21"/>
          <w:szCs w:val="21"/>
          <w:highlight w:val="none"/>
          <w:lang w:val="en-US" w:eastAsia="zh-CN"/>
        </w:rPr>
        <w:t>服务</w:t>
      </w:r>
      <w:r>
        <w:rPr>
          <w:rFonts w:hint="eastAsia" w:asciiTheme="minorEastAsia" w:hAnsiTheme="minorEastAsia" w:eastAsiaTheme="minorEastAsia" w:cstheme="minorEastAsia"/>
          <w:sz w:val="21"/>
          <w:szCs w:val="21"/>
          <w:highlight w:val="none"/>
        </w:rPr>
        <w:t>一览表》中有明确规定。</w:t>
      </w:r>
    </w:p>
    <w:p w14:paraId="3738406A">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本合同总价款包括</w:t>
      </w:r>
      <w:r>
        <w:rPr>
          <w:rFonts w:hint="eastAsia" w:asciiTheme="minorEastAsia" w:hAnsiTheme="minorEastAsia" w:eastAsiaTheme="minorEastAsia" w:cstheme="minorEastAsia"/>
          <w:sz w:val="21"/>
          <w:szCs w:val="21"/>
          <w:highlight w:val="none"/>
          <w:lang w:eastAsia="zh-CN"/>
        </w:rPr>
        <w:t>项目工期</w:t>
      </w:r>
      <w:r>
        <w:rPr>
          <w:rFonts w:hint="eastAsia" w:asciiTheme="minorEastAsia" w:hAnsiTheme="minorEastAsia" w:eastAsiaTheme="minorEastAsia" w:cstheme="minorEastAsia"/>
          <w:sz w:val="21"/>
          <w:szCs w:val="21"/>
          <w:highlight w:val="none"/>
        </w:rPr>
        <w:t>间必须的日常物料、易</w:t>
      </w:r>
      <w:r>
        <w:rPr>
          <w:rFonts w:hint="eastAsia" w:asciiTheme="minorEastAsia" w:hAnsiTheme="minorEastAsia" w:eastAsiaTheme="minorEastAsia" w:cstheme="minorEastAsia"/>
          <w:sz w:val="21"/>
          <w:szCs w:val="21"/>
        </w:rPr>
        <w:t>耗品、工具、调试费、培训 费等相关费用。</w:t>
      </w:r>
    </w:p>
    <w:p w14:paraId="7CA097B9">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本合同执行期内因工作量变化而引起的服务费用的变动，在双方事先协商一致的前提下签订补充合同，但因此而增加的服务费用不得超过原中标金额的</w:t>
      </w:r>
      <w:r>
        <w:rPr>
          <w:rFonts w:hint="default" w:ascii="Times New Roman" w:hAnsi="Times New Roman" w:cs="Times New Roman" w:eastAsiaTheme="minorEastAsia"/>
          <w:sz w:val="21"/>
          <w:szCs w:val="21"/>
        </w:rPr>
        <w:t>10%</w:t>
      </w:r>
      <w:r>
        <w:rPr>
          <w:rFonts w:hint="eastAsia" w:asciiTheme="minorEastAsia" w:hAnsiTheme="minorEastAsia" w:eastAsiaTheme="minorEastAsia" w:cstheme="minorEastAsia"/>
          <w:sz w:val="21"/>
          <w:szCs w:val="21"/>
        </w:rPr>
        <w:t>。</w:t>
      </w:r>
    </w:p>
    <w:p w14:paraId="7BDE8F2A">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第四条  权利和质量保证</w:t>
      </w:r>
    </w:p>
    <w:p w14:paraId="318FB454">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r>
        <w:rPr>
          <w:rFonts w:hint="eastAsia" w:cs="Times New Roman" w:eastAsiaTheme="minorEastAsia"/>
          <w:sz w:val="21"/>
          <w:szCs w:val="21"/>
          <w:lang w:eastAsia="zh-CN"/>
        </w:rPr>
        <w:t>、</w:t>
      </w:r>
      <w:r>
        <w:rPr>
          <w:rFonts w:hint="default" w:ascii="Times New Roman" w:hAnsi="Times New Roman" w:cs="Times New Roman" w:eastAsiaTheme="minorEastAsia"/>
          <w:sz w:val="21"/>
          <w:szCs w:val="21"/>
        </w:rPr>
        <w:t>甲方保证</w:t>
      </w:r>
      <w:r>
        <w:rPr>
          <w:rFonts w:hint="eastAsia" w:cs="Times New Roman" w:eastAsiaTheme="minorEastAsia"/>
          <w:sz w:val="21"/>
          <w:szCs w:val="21"/>
          <w:lang w:eastAsia="zh-CN"/>
        </w:rPr>
        <w:t>项目工期</w:t>
      </w:r>
      <w:r>
        <w:rPr>
          <w:rFonts w:hint="default" w:ascii="Times New Roman" w:hAnsi="Times New Roman" w:cs="Times New Roman" w:eastAsiaTheme="minorEastAsia"/>
          <w:sz w:val="21"/>
          <w:szCs w:val="21"/>
        </w:rPr>
        <w:t>间，对乙方工作给予支持，提供水、电、场地等必须的基 础工作条件。如乙方有需要，还应提供履行合同所必需的有关图纸、数据、资料等。没有甲方事先同意，乙方不得将甲方资料提供给与履行本合同无关的任何其他人。即使向履行本合同有关的人员提供，也应注意保密并限于履行合同的必需范围内。</w:t>
      </w:r>
    </w:p>
    <w:p w14:paraId="7E314CE8">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乙方保证所提供的服务或其任何一部分均不会侵犯任何第三方的专利权、商标权或著作权。一旦出现侵权，索赔或诉讼，乙方应承担全部责任。乙方保证服务不存在危及人身及财产安全的隐患，不存在违反国家法规、法令、法律以及行业规范所要求的有关安全条款，否则应承担全部法律责任。</w:t>
      </w:r>
    </w:p>
    <w:p w14:paraId="51A640CD">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第五条  付款方式</w:t>
      </w:r>
    </w:p>
    <w:p w14:paraId="3BB1FDD5">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r>
        <w:rPr>
          <w:rFonts w:hint="eastAsia" w:cs="Times New Roman" w:eastAsiaTheme="minorEastAsia"/>
          <w:sz w:val="21"/>
          <w:szCs w:val="21"/>
          <w:lang w:eastAsia="zh-CN"/>
        </w:rPr>
        <w:t>、</w:t>
      </w:r>
      <w:r>
        <w:rPr>
          <w:rFonts w:hint="default" w:ascii="Times New Roman" w:hAnsi="Times New Roman" w:cs="Times New Roman" w:eastAsiaTheme="minorEastAsia"/>
          <w:sz w:val="21"/>
          <w:szCs w:val="21"/>
        </w:rPr>
        <w:t>本合同项下所有款项均以人民币支付 。</w:t>
      </w:r>
    </w:p>
    <w:p w14:paraId="2C433342">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2、乙方向甲方提交下列文件材料，经甲方审核无误后支付采购资金：</w:t>
      </w:r>
    </w:p>
    <w:p w14:paraId="1A2A9B9B">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（1）经甲方确认的发票；</w:t>
      </w:r>
    </w:p>
    <w:p w14:paraId="58A19168">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（2）经甲乙双方确认签署的《验收报告》（或按项目进度阶段性《验收报告》）；</w:t>
      </w:r>
    </w:p>
    <w:p w14:paraId="2914BC52">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（3）其他材料。</w:t>
      </w:r>
    </w:p>
    <w:p w14:paraId="5A10BADF">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3、款项的支付进度以招标采购文件的有关规定为准。如招标采购文件未作特别规定，则付款进度应符合如下约定：</w:t>
      </w:r>
    </w:p>
    <w:p w14:paraId="1C8362B5">
      <w:pPr>
        <w:keepNext w:val="0"/>
        <w:keepLines w:val="0"/>
        <w:pageBreakBefore w:val="0"/>
        <w:widowControl w:val="0"/>
        <w:kinsoku/>
        <w:wordWrap/>
        <w:overflowPunct/>
        <w:topLinePunct w:val="0"/>
        <w:autoSpaceDE/>
        <w:autoSpaceDN/>
        <w:bidi w:val="0"/>
        <w:adjustRightInd/>
        <w:snapToGrid/>
        <w:spacing w:line="520" w:lineRule="exact"/>
        <w:ind w:left="0" w:leftChars="0" w:firstLine="398" w:firstLineChars="200"/>
        <w:textAlignment w:val="auto"/>
        <w:rPr>
          <w:rFonts w:hint="eastAsia" w:asciiTheme="minorEastAsia" w:hAnsiTheme="minorEastAsia" w:eastAsiaTheme="minorEastAsia" w:cstheme="minorEastAsia"/>
          <w:sz w:val="21"/>
          <w:szCs w:val="21"/>
          <w:highlight w:val="none"/>
        </w:rPr>
      </w:pPr>
      <w:r>
        <w:rPr>
          <w:rFonts w:hint="default" w:ascii="Times New Roman" w:hAnsi="Times New Roman" w:cs="Times New Roman" w:eastAsiaTheme="minorEastAsia"/>
          <w:sz w:val="21"/>
          <w:szCs w:val="21"/>
          <w:u w:val="none"/>
        </w:rPr>
        <w:t>第一次验收合格后支付至合同总价的</w:t>
      </w:r>
      <w:r>
        <w:rPr>
          <w:rFonts w:hint="default" w:ascii="Times New Roman" w:hAnsi="Times New Roman" w:cs="Times New Roman" w:eastAsiaTheme="minorEastAsia"/>
          <w:sz w:val="21"/>
          <w:szCs w:val="21"/>
          <w:u w:val="single"/>
        </w:rPr>
        <w:t xml:space="preserve">    </w:t>
      </w:r>
      <w:r>
        <w:rPr>
          <w:rFonts w:hint="default" w:ascii="Times New Roman" w:hAnsi="Times New Roman" w:cs="Times New Roman" w:eastAsiaTheme="minorEastAsia"/>
          <w:sz w:val="21"/>
          <w:szCs w:val="21"/>
        </w:rPr>
        <w:t>％，第二次验收合格后支付至合同的</w:t>
      </w:r>
      <w:r>
        <w:rPr>
          <w:rFonts w:hint="eastAsia" w:cs="Times New Roman" w:eastAsiaTheme="minorEastAsia"/>
          <w:sz w:val="21"/>
          <w:szCs w:val="21"/>
          <w:u w:val="single"/>
          <w:lang w:val="en-US" w:eastAsia="zh-CN"/>
        </w:rPr>
        <w:t xml:space="preserve">    </w:t>
      </w:r>
      <w:r>
        <w:rPr>
          <w:rFonts w:hint="default" w:ascii="Times New Roman" w:hAnsi="Times New Roman" w:cs="Times New Roman" w:eastAsiaTheme="minorEastAsia"/>
          <w:sz w:val="21"/>
          <w:szCs w:val="21"/>
        </w:rPr>
        <w:t>％，第</w:t>
      </w:r>
      <w:r>
        <w:rPr>
          <w:rFonts w:hint="eastAsia" w:cs="Times New Roman" w:eastAsiaTheme="minorEastAsia"/>
          <w:sz w:val="21"/>
          <w:szCs w:val="21"/>
          <w:u w:val="single"/>
          <w:lang w:val="en-US" w:eastAsia="zh-CN"/>
        </w:rPr>
        <w:t xml:space="preserve">  </w:t>
      </w:r>
      <w:r>
        <w:rPr>
          <w:rFonts w:hint="default" w:ascii="Times New Roman" w:hAnsi="Times New Roman" w:cs="Times New Roman" w:eastAsiaTheme="minorEastAsia"/>
          <w:sz w:val="21"/>
          <w:szCs w:val="21"/>
        </w:rPr>
        <w:t>次验收合格后支付至合同总价的</w:t>
      </w:r>
      <w:r>
        <w:rPr>
          <w:rFonts w:hint="eastAsia" w:cs="Times New Roman" w:eastAsiaTheme="minorEastAsia"/>
          <w:sz w:val="21"/>
          <w:szCs w:val="21"/>
          <w:u w:val="single"/>
          <w:lang w:val="en-US" w:eastAsia="zh-CN"/>
        </w:rPr>
        <w:t xml:space="preserve">      </w:t>
      </w:r>
      <w:r>
        <w:rPr>
          <w:rFonts w:hint="default" w:ascii="Times New Roman" w:hAnsi="Times New Roman" w:cs="Times New Roman" w:eastAsiaTheme="minorEastAsia"/>
          <w:sz w:val="21"/>
          <w:szCs w:val="21"/>
        </w:rPr>
        <w:t>％，余款</w:t>
      </w:r>
      <w:r>
        <w:rPr>
          <w:rFonts w:hint="eastAsia" w:cs="Times New Roman" w:eastAsiaTheme="minorEastAsia"/>
          <w:sz w:val="21"/>
          <w:szCs w:val="21"/>
          <w:u w:val="single"/>
          <w:lang w:val="en-US" w:eastAsia="zh-CN"/>
        </w:rPr>
        <w:t xml:space="preserve">    </w:t>
      </w:r>
      <w:r>
        <w:rPr>
          <w:rFonts w:hint="default" w:ascii="Times New Roman" w:hAnsi="Times New Roman" w:cs="Times New Roman" w:eastAsiaTheme="minorEastAsia"/>
          <w:sz w:val="21"/>
          <w:szCs w:val="21"/>
        </w:rPr>
        <w:t>％作为质量保证金于服务运行期满</w:t>
      </w:r>
      <w:r>
        <w:rPr>
          <w:rFonts w:hint="eastAsia" w:cs="Times New Roman" w:eastAsiaTheme="minorEastAsia"/>
          <w:sz w:val="21"/>
          <w:szCs w:val="21"/>
          <w:u w:val="single"/>
          <w:lang w:val="en-US" w:eastAsia="zh-CN"/>
        </w:rPr>
        <w:t xml:space="preserve">     </w:t>
      </w:r>
      <w:r>
        <w:rPr>
          <w:rFonts w:hint="default" w:ascii="Times New Roman" w:hAnsi="Times New Roman" w:cs="Times New Roman" w:eastAsiaTheme="minorEastAsia"/>
          <w:sz w:val="21"/>
          <w:szCs w:val="21"/>
        </w:rPr>
        <w:t>月后，并经甲乙双方复验合格后的</w:t>
      </w:r>
      <w:r>
        <w:rPr>
          <w:rFonts w:hint="eastAsia" w:cs="Times New Roman" w:eastAsiaTheme="minorEastAsia"/>
          <w:sz w:val="21"/>
          <w:szCs w:val="21"/>
          <w:u w:val="single"/>
          <w:lang w:val="en-US" w:eastAsia="zh-CN"/>
        </w:rPr>
        <w:t xml:space="preserve">      </w:t>
      </w:r>
      <w:r>
        <w:rPr>
          <w:rFonts w:hint="default" w:ascii="Times New Roman" w:hAnsi="Times New Roman" w:cs="Times New Roman" w:eastAsiaTheme="minorEastAsia"/>
          <w:sz w:val="21"/>
          <w:szCs w:val="21"/>
        </w:rPr>
        <w:t>个工作</w:t>
      </w:r>
      <w:r>
        <w:rPr>
          <w:rFonts w:hint="default" w:ascii="Times New Roman" w:hAnsi="Times New Roman" w:cs="Times New Roman" w:eastAsiaTheme="minorEastAsia"/>
          <w:sz w:val="21"/>
          <w:szCs w:val="21"/>
          <w:highlight w:val="none"/>
        </w:rPr>
        <w:t>日内付清。</w:t>
      </w:r>
    </w:p>
    <w:p w14:paraId="786ABF16">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eastAsia" w:asciiTheme="minorEastAsia" w:hAnsiTheme="minorEastAsia" w:eastAsiaTheme="minorEastAsia" w:cstheme="minorEastAsia"/>
          <w:b/>
          <w:sz w:val="21"/>
          <w:szCs w:val="21"/>
          <w:highlight w:val="none"/>
          <w:lang w:eastAsia="zh-CN"/>
        </w:rPr>
      </w:pPr>
      <w:r>
        <w:rPr>
          <w:rFonts w:hint="eastAsia" w:asciiTheme="minorEastAsia" w:hAnsiTheme="minorEastAsia" w:eastAsiaTheme="minorEastAsia" w:cstheme="minorEastAsia"/>
          <w:b/>
          <w:sz w:val="21"/>
          <w:szCs w:val="21"/>
          <w:highlight w:val="none"/>
        </w:rPr>
        <w:t>第六条  履约保证金</w:t>
      </w:r>
      <w:r>
        <w:rPr>
          <w:rFonts w:hint="eastAsia" w:asciiTheme="minorEastAsia" w:hAnsiTheme="minorEastAsia" w:eastAsiaTheme="minorEastAsia" w:cstheme="minorEastAsia"/>
          <w:b/>
          <w:sz w:val="21"/>
          <w:szCs w:val="21"/>
          <w:highlight w:val="none"/>
          <w:lang w:eastAsia="zh-CN"/>
        </w:rPr>
        <w:t>：</w:t>
      </w:r>
      <w:r>
        <w:rPr>
          <w:rFonts w:hint="eastAsia" w:asciiTheme="minorEastAsia" w:hAnsiTheme="minorEastAsia" w:eastAsiaTheme="minorEastAsia" w:cstheme="minorEastAsia"/>
          <w:b/>
          <w:sz w:val="21"/>
          <w:szCs w:val="21"/>
          <w:highlight w:val="none"/>
        </w:rPr>
        <w:t>本项目不涉及履约保证金</w:t>
      </w:r>
    </w:p>
    <w:p w14:paraId="4394940E">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第七条  验收</w:t>
      </w:r>
    </w:p>
    <w:p w14:paraId="384E4E20">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1</w:t>
      </w:r>
      <w:r>
        <w:rPr>
          <w:rFonts w:hint="eastAsia" w:cs="Times New Roman" w:eastAsiaTheme="minorEastAsia"/>
          <w:sz w:val="21"/>
          <w:szCs w:val="21"/>
          <w:highlight w:val="none"/>
          <w:lang w:eastAsia="zh-CN"/>
        </w:rPr>
        <w:t>、项目工期</w:t>
      </w:r>
      <w:r>
        <w:rPr>
          <w:rFonts w:hint="default" w:ascii="Times New Roman" w:hAnsi="Times New Roman" w:cs="Times New Roman" w:eastAsiaTheme="minorEastAsia"/>
          <w:sz w:val="21"/>
          <w:szCs w:val="21"/>
          <w:highlight w:val="none"/>
        </w:rPr>
        <w:t>限：</w:t>
      </w:r>
      <w:r>
        <w:rPr>
          <w:rFonts w:hint="eastAsia" w:cs="Times New Roman" w:eastAsiaTheme="minorEastAsia"/>
          <w:sz w:val="21"/>
          <w:szCs w:val="21"/>
          <w:highlight w:val="none"/>
          <w:u w:val="single"/>
          <w:lang w:val="en-US" w:eastAsia="zh-CN"/>
        </w:rPr>
        <w:t xml:space="preserve">       </w:t>
      </w:r>
      <w:r>
        <w:rPr>
          <w:rFonts w:hint="default" w:ascii="Times New Roman" w:hAnsi="Times New Roman" w:cs="Times New Roman" w:eastAsiaTheme="minorEastAsia"/>
          <w:sz w:val="21"/>
          <w:szCs w:val="21"/>
          <w:highlight w:val="none"/>
        </w:rPr>
        <w:t>至</w:t>
      </w:r>
      <w:r>
        <w:rPr>
          <w:rFonts w:hint="eastAsia" w:cs="Times New Roman" w:eastAsiaTheme="minorEastAsia"/>
          <w:sz w:val="21"/>
          <w:szCs w:val="21"/>
          <w:highlight w:val="none"/>
          <w:u w:val="single"/>
          <w:lang w:val="en-US" w:eastAsia="zh-CN"/>
        </w:rPr>
        <w:t xml:space="preserve">      </w:t>
      </w:r>
      <w:r>
        <w:rPr>
          <w:rFonts w:hint="default" w:ascii="Times New Roman" w:hAnsi="Times New Roman" w:cs="Times New Roman" w:eastAsiaTheme="minorEastAsia"/>
          <w:sz w:val="21"/>
          <w:szCs w:val="21"/>
          <w:highlight w:val="none"/>
        </w:rPr>
        <w:t>。</w:t>
      </w:r>
    </w:p>
    <w:p w14:paraId="27FF1336">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2、服务地点：</w:t>
      </w:r>
      <w:r>
        <w:rPr>
          <w:rFonts w:hint="eastAsia" w:cs="Times New Roman" w:eastAsiaTheme="minorEastAsia"/>
          <w:sz w:val="21"/>
          <w:szCs w:val="21"/>
          <w:u w:val="single"/>
          <w:lang w:val="en-US" w:eastAsia="zh-CN"/>
        </w:rPr>
        <w:t xml:space="preserve">               </w:t>
      </w:r>
      <w:r>
        <w:rPr>
          <w:rFonts w:hint="default" w:ascii="Times New Roman" w:hAnsi="Times New Roman" w:cs="Times New Roman" w:eastAsiaTheme="minorEastAsia"/>
          <w:sz w:val="21"/>
          <w:szCs w:val="21"/>
        </w:rPr>
        <w:t>。</w:t>
      </w:r>
    </w:p>
    <w:p w14:paraId="58A3D4B0">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3、验收时间：</w:t>
      </w:r>
      <w:r>
        <w:rPr>
          <w:rFonts w:hint="eastAsia" w:cs="Times New Roman" w:eastAsiaTheme="minorEastAsia"/>
          <w:sz w:val="21"/>
          <w:szCs w:val="21"/>
          <w:u w:val="single"/>
          <w:lang w:val="en-US" w:eastAsia="zh-CN"/>
        </w:rPr>
        <w:t xml:space="preserve">               </w:t>
      </w:r>
      <w:r>
        <w:rPr>
          <w:rFonts w:hint="default" w:ascii="Times New Roman" w:hAnsi="Times New Roman" w:cs="Times New Roman" w:eastAsiaTheme="minorEastAsia"/>
          <w:sz w:val="21"/>
          <w:szCs w:val="21"/>
        </w:rPr>
        <w:t>。</w:t>
      </w:r>
    </w:p>
    <w:p w14:paraId="58E692A6">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4、验收地点：</w:t>
      </w:r>
      <w:r>
        <w:rPr>
          <w:rFonts w:hint="eastAsia" w:cs="Times New Roman" w:eastAsiaTheme="minorEastAsia"/>
          <w:sz w:val="21"/>
          <w:szCs w:val="21"/>
          <w:u w:val="single"/>
          <w:lang w:val="en-US" w:eastAsia="zh-CN"/>
        </w:rPr>
        <w:t xml:space="preserve">               </w:t>
      </w:r>
      <w:r>
        <w:rPr>
          <w:rFonts w:hint="default" w:ascii="Times New Roman" w:hAnsi="Times New Roman" w:cs="Times New Roman" w:eastAsiaTheme="minorEastAsia"/>
          <w:sz w:val="21"/>
          <w:szCs w:val="21"/>
        </w:rPr>
        <w:t>。</w:t>
      </w:r>
    </w:p>
    <w:p w14:paraId="21810F5E">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5、乙方应对提供的服务成果作出全面自查和整理，并列出清单，作为甲方验收和使用的服务条件依据，清单应随提供的服务成果交给甲方。</w:t>
      </w:r>
    </w:p>
    <w:p w14:paraId="5AE6BE51">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验收时，甲乙双方必须同时在场，乙方所提供的服务不符合合同内容规定的，甲方有权拒绝验收。乙方应及时按本合同内容规定和甲方要求免费进行整改，直至验收合格，方视为乙方按本合同规定完成服务。验收合格的，由双方共同签署《验收报告》。在经过两次限期整改后，服务仍达不到合同文件规定内容的，甲方有权拒收，并可以解除合同；由此引起甲方损失及赔偿责任由乙方承担。</w:t>
      </w:r>
    </w:p>
    <w:p w14:paraId="08986E57">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7、甲方可以视项目规模或复杂情况聘请专业人员参与验收，大型或复杂项，以及涉及专业服务内容的应当邀请国家认可的第三方质量检测机构参与验收。</w:t>
      </w:r>
    </w:p>
    <w:p w14:paraId="1FE64C14">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8、如根据项目实施情况需要分阶段验收，则双方分阶段签署《验收报告》。</w:t>
      </w:r>
    </w:p>
    <w:p w14:paraId="1171B0CD">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9、如果合同双方对《验收报告》有分歧，双方须于出现分歧后</w:t>
      </w:r>
      <w:r>
        <w:rPr>
          <w:rFonts w:hint="eastAsia" w:cs="Times New Roman" w:eastAsiaTheme="minorEastAsia"/>
          <w:sz w:val="21"/>
          <w:szCs w:val="21"/>
          <w:u w:val="single"/>
          <w:lang w:val="en-US" w:eastAsia="zh-CN"/>
        </w:rPr>
        <w:t xml:space="preserve">      </w:t>
      </w:r>
      <w:r>
        <w:rPr>
          <w:rFonts w:hint="default" w:ascii="Times New Roman" w:hAnsi="Times New Roman" w:cs="Times New Roman" w:eastAsiaTheme="minorEastAsia"/>
          <w:sz w:val="21"/>
          <w:szCs w:val="21"/>
        </w:rPr>
        <w:t>天内给对方书面声明，以陈述己方的理由及要求，并附有关证据。分歧应通过协商解决。</w:t>
      </w:r>
    </w:p>
    <w:p w14:paraId="0D02E3A0">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第八条  项目管理服务</w:t>
      </w:r>
    </w:p>
    <w:p w14:paraId="18D894CA">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乙方要指定不少于一人全权全程负责本项目服务的落实，包括服务的咨询、执行和后续工作。</w:t>
      </w:r>
    </w:p>
    <w:p w14:paraId="0774A012">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项目负责人姓名：</w:t>
      </w:r>
      <w:r>
        <w:rPr>
          <w:rFonts w:hint="default" w:ascii="Times New Roman" w:hAnsi="Times New Roman" w:cs="Times New Roman" w:eastAsiaTheme="minorEastAsia"/>
          <w:sz w:val="21"/>
          <w:szCs w:val="21"/>
          <w:u w:val="single"/>
        </w:rPr>
        <w:t xml:space="preserve">               </w:t>
      </w:r>
      <w:r>
        <w:rPr>
          <w:rFonts w:hint="default" w:ascii="Times New Roman" w:hAnsi="Times New Roman" w:cs="Times New Roman" w:eastAsiaTheme="minorEastAsia"/>
          <w:sz w:val="21"/>
          <w:szCs w:val="21"/>
        </w:rPr>
        <w:t>； 联系电话：</w:t>
      </w:r>
      <w:r>
        <w:rPr>
          <w:rFonts w:hint="default" w:ascii="Times New Roman" w:hAnsi="Times New Roman" w:cs="Times New Roman" w:eastAsiaTheme="minorEastAsia"/>
          <w:sz w:val="21"/>
          <w:szCs w:val="21"/>
          <w:u w:val="single"/>
        </w:rPr>
        <w:t xml:space="preserve">                  </w:t>
      </w:r>
      <w:r>
        <w:rPr>
          <w:rFonts w:hint="default" w:ascii="Times New Roman" w:hAnsi="Times New Roman" w:cs="Times New Roman" w:eastAsiaTheme="minorEastAsia"/>
          <w:sz w:val="21"/>
          <w:szCs w:val="21"/>
        </w:rPr>
        <w:t>。</w:t>
      </w:r>
    </w:p>
    <w:p w14:paraId="0807806A">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第九条  售后服务</w:t>
      </w:r>
    </w:p>
    <w:p w14:paraId="04AAE318">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1、乙方提供服务的质量保证期为自服务通过最终验收之日起</w:t>
      </w:r>
      <w:r>
        <w:rPr>
          <w:rFonts w:hint="eastAsia" w:cs="Times New Roman" w:eastAsiaTheme="minorEastAsia"/>
          <w:sz w:val="21"/>
          <w:szCs w:val="21"/>
          <w:u w:val="single"/>
          <w:lang w:val="en-US" w:eastAsia="zh-CN"/>
        </w:rPr>
        <w:t xml:space="preserve">     </w:t>
      </w:r>
      <w:r>
        <w:rPr>
          <w:rFonts w:hint="default" w:ascii="Times New Roman" w:hAnsi="Times New Roman" w:cs="Times New Roman" w:eastAsiaTheme="minorEastAsia"/>
          <w:sz w:val="21"/>
          <w:szCs w:val="21"/>
        </w:rPr>
        <w:t>个月。若国家有明确规定的质量保证期高于此质量保证期的，执行国家规定。</w:t>
      </w:r>
    </w:p>
    <w:p w14:paraId="351CCCB2">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r>
        <w:rPr>
          <w:rFonts w:hint="eastAsia" w:cs="Times New Roman" w:eastAsiaTheme="minorEastAsia"/>
          <w:sz w:val="21"/>
          <w:szCs w:val="21"/>
          <w:lang w:eastAsia="zh-CN"/>
        </w:rPr>
        <w:t>项目工期</w:t>
      </w:r>
      <w:r>
        <w:rPr>
          <w:rFonts w:hint="default" w:ascii="Times New Roman" w:hAnsi="Times New Roman" w:cs="Times New Roman" w:eastAsiaTheme="minorEastAsia"/>
          <w:sz w:val="21"/>
          <w:szCs w:val="21"/>
        </w:rPr>
        <w:t>内，乙方应提供相关服务支持。对甲方所反映的任何服务问题在</w:t>
      </w:r>
      <w:r>
        <w:rPr>
          <w:rFonts w:hint="eastAsia" w:cs="Times New Roman" w:eastAsiaTheme="minorEastAsia"/>
          <w:sz w:val="21"/>
          <w:szCs w:val="21"/>
          <w:u w:val="single"/>
          <w:lang w:val="en-US" w:eastAsia="zh-CN"/>
        </w:rPr>
        <w:t xml:space="preserve">     </w:t>
      </w:r>
      <w:r>
        <w:rPr>
          <w:rFonts w:hint="default" w:ascii="Times New Roman" w:hAnsi="Times New Roman" w:cs="Times New Roman" w:eastAsiaTheme="minorEastAsia"/>
          <w:sz w:val="21"/>
          <w:szCs w:val="21"/>
        </w:rPr>
        <w:t>日（小时）之内做出及时响应，在</w:t>
      </w:r>
      <w:r>
        <w:rPr>
          <w:rFonts w:hint="eastAsia" w:cs="Times New Roman" w:eastAsiaTheme="minorEastAsia"/>
          <w:sz w:val="21"/>
          <w:szCs w:val="21"/>
          <w:u w:val="single"/>
          <w:lang w:val="en-US" w:eastAsia="zh-CN"/>
        </w:rPr>
        <w:t xml:space="preserve">     </w:t>
      </w:r>
      <w:r>
        <w:rPr>
          <w:rFonts w:hint="default" w:ascii="Times New Roman" w:hAnsi="Times New Roman" w:cs="Times New Roman" w:eastAsiaTheme="minorEastAsia"/>
          <w:sz w:val="21"/>
          <w:szCs w:val="21"/>
        </w:rPr>
        <w:t>日（小时）之内赶到现场实地解决问题。若问题在</w:t>
      </w:r>
      <w:r>
        <w:rPr>
          <w:rFonts w:hint="eastAsia" w:cs="Times New Roman" w:eastAsiaTheme="minorEastAsia"/>
          <w:sz w:val="21"/>
          <w:szCs w:val="21"/>
          <w:u w:val="single"/>
          <w:lang w:val="en-US" w:eastAsia="zh-CN"/>
        </w:rPr>
        <w:t xml:space="preserve">     </w:t>
      </w:r>
      <w:r>
        <w:rPr>
          <w:rFonts w:hint="default" w:ascii="Times New Roman" w:hAnsi="Times New Roman" w:cs="Times New Roman" w:eastAsiaTheme="minorEastAsia"/>
          <w:sz w:val="21"/>
          <w:szCs w:val="21"/>
        </w:rPr>
        <w:t>工作日（小时）后仍无法解决，乙方应在</w:t>
      </w:r>
      <w:r>
        <w:rPr>
          <w:rFonts w:hint="eastAsia" w:cs="Times New Roman" w:eastAsiaTheme="minorEastAsia"/>
          <w:sz w:val="21"/>
          <w:szCs w:val="21"/>
          <w:u w:val="single"/>
          <w:lang w:val="en-US" w:eastAsia="zh-CN"/>
        </w:rPr>
        <w:t xml:space="preserve">      </w:t>
      </w:r>
      <w:r>
        <w:rPr>
          <w:rFonts w:hint="default" w:ascii="Times New Roman" w:hAnsi="Times New Roman" w:cs="Times New Roman" w:eastAsiaTheme="minorEastAsia"/>
          <w:sz w:val="21"/>
          <w:szCs w:val="21"/>
        </w:rPr>
        <w:t>日（小时）内免费提供服务的补偿、替换方案，直至服务恢复正常。</w:t>
      </w:r>
    </w:p>
    <w:p w14:paraId="17F5AE31">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3、乙方必须遵守甲方的有关管理制度、操作规程。对于乙方违规操作造成甲方损失的，由乙方按照本合同第十二条的约定承担赔偿责任。</w:t>
      </w:r>
    </w:p>
    <w:p w14:paraId="0981AFA7">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第十条  分包</w:t>
      </w:r>
    </w:p>
    <w:p w14:paraId="363333F5">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trike/>
          <w:sz w:val="21"/>
          <w:szCs w:val="21"/>
        </w:rPr>
      </w:pPr>
      <w:r>
        <w:rPr>
          <w:rFonts w:hint="default" w:ascii="Times New Roman" w:hAnsi="Times New Roman" w:cs="Times New Roman" w:eastAsiaTheme="minorEastAsia"/>
          <w:sz w:val="21"/>
          <w:szCs w:val="21"/>
        </w:rPr>
        <w:t>除招标采购文件事先说明、且经甲方事先书面同意外，乙方不得分包、转包其应履行的合同义务。</w:t>
      </w:r>
    </w:p>
    <w:p w14:paraId="31BA32A7">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第十一条  合同的生效</w:t>
      </w:r>
    </w:p>
    <w:p w14:paraId="0747F572">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r>
        <w:rPr>
          <w:rFonts w:hint="eastAsia" w:cs="Times New Roman" w:eastAsiaTheme="minorEastAsia"/>
          <w:sz w:val="21"/>
          <w:szCs w:val="21"/>
          <w:lang w:eastAsia="zh-CN"/>
        </w:rPr>
        <w:t>、</w:t>
      </w:r>
      <w:r>
        <w:rPr>
          <w:rFonts w:hint="default" w:ascii="Times New Roman" w:hAnsi="Times New Roman" w:cs="Times New Roman" w:eastAsiaTheme="minorEastAsia"/>
          <w:sz w:val="21"/>
          <w:szCs w:val="21"/>
        </w:rPr>
        <w:t>本合同经甲乙双方授权代表签订并加盖公章或合同专用章后生效。</w:t>
      </w:r>
    </w:p>
    <w:p w14:paraId="2CDCC267">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r>
        <w:rPr>
          <w:rFonts w:hint="eastAsia" w:cs="Times New Roman" w:eastAsiaTheme="minorEastAsia"/>
          <w:sz w:val="21"/>
          <w:szCs w:val="21"/>
          <w:lang w:eastAsia="zh-CN"/>
        </w:rPr>
        <w:t>、</w:t>
      </w:r>
      <w:r>
        <w:rPr>
          <w:rFonts w:hint="default" w:ascii="Times New Roman" w:hAnsi="Times New Roman" w:cs="Times New Roman" w:eastAsiaTheme="minorEastAsia"/>
          <w:sz w:val="21"/>
          <w:szCs w:val="21"/>
        </w:rPr>
        <w:t>生效后，除《政府采购法》第49条、第50条第二款规定的情形外，甲乙双方不得擅自变更、中止或终止合同。</w:t>
      </w:r>
    </w:p>
    <w:p w14:paraId="6BD1C5AD">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第十二条  违约责任</w:t>
      </w:r>
    </w:p>
    <w:p w14:paraId="5525FE56">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1、乙方所交付服务成果不符合本合同规定的，甲方有权拒收，乙方在得到甲方通知之日起</w:t>
      </w:r>
      <w:r>
        <w:rPr>
          <w:rFonts w:hint="default" w:ascii="Times New Roman" w:hAnsi="Times New Roman" w:cs="Times New Roman" w:eastAsiaTheme="minorEastAsia"/>
          <w:sz w:val="21"/>
          <w:szCs w:val="21"/>
          <w:u w:val="single"/>
          <w:lang w:val="en-US" w:eastAsia="zh-CN"/>
        </w:rPr>
        <w:t xml:space="preserve">   </w:t>
      </w:r>
      <w:r>
        <w:rPr>
          <w:rFonts w:hint="default" w:ascii="Times New Roman" w:hAnsi="Times New Roman" w:cs="Times New Roman" w:eastAsiaTheme="minorEastAsia"/>
          <w:sz w:val="21"/>
          <w:szCs w:val="21"/>
        </w:rPr>
        <w:t>个工作日内采取补救措施，逾期仍未采取有效措施的，甲方有权要求乙方赔偿因此造成的损失或扣留履约保证金；同时乙方应向甲方支付合同总价</w:t>
      </w:r>
      <w:r>
        <w:rPr>
          <w:rFonts w:hint="default" w:ascii="Times New Roman" w:hAnsi="Times New Roman" w:cs="Times New Roman" w:eastAsiaTheme="minorEastAsia"/>
          <w:sz w:val="21"/>
          <w:szCs w:val="21"/>
          <w:u w:val="single"/>
          <w:lang w:val="en-US" w:eastAsia="zh-CN"/>
        </w:rPr>
        <w:t xml:space="preserve">     </w:t>
      </w:r>
      <w:r>
        <w:rPr>
          <w:rFonts w:hint="default" w:ascii="Times New Roman" w:hAnsi="Times New Roman" w:cs="Times New Roman" w:eastAsiaTheme="minorEastAsia"/>
          <w:sz w:val="21"/>
          <w:szCs w:val="21"/>
        </w:rPr>
        <w:t>％的违约金。</w:t>
      </w:r>
    </w:p>
    <w:p w14:paraId="26CD966F">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2、甲方无正当理由拒收服务，甲方应向乙方偿付拒付服务费用</w:t>
      </w:r>
      <w:r>
        <w:rPr>
          <w:rFonts w:hint="default" w:ascii="Times New Roman" w:hAnsi="Times New Roman" w:cs="Times New Roman" w:eastAsiaTheme="minorEastAsia"/>
          <w:sz w:val="21"/>
          <w:szCs w:val="21"/>
          <w:u w:val="single"/>
          <w:lang w:val="en-US" w:eastAsia="zh-CN"/>
        </w:rPr>
        <w:t xml:space="preserve">    </w:t>
      </w:r>
      <w:r>
        <w:rPr>
          <w:rFonts w:hint="default" w:ascii="Times New Roman" w:hAnsi="Times New Roman" w:cs="Times New Roman" w:eastAsiaTheme="minorEastAsia"/>
          <w:sz w:val="21"/>
          <w:szCs w:val="21"/>
        </w:rPr>
        <w:t>％的违约金。</w:t>
      </w:r>
    </w:p>
    <w:p w14:paraId="28E01385">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3、乙方无正当理由逾期交付服务的，每逾期1天，乙方向甲方偿付合同总额的</w:t>
      </w:r>
      <w:r>
        <w:rPr>
          <w:rFonts w:hint="default" w:ascii="Times New Roman" w:hAnsi="Times New Roman" w:cs="Times New Roman" w:eastAsiaTheme="minorEastAsia"/>
          <w:sz w:val="21"/>
          <w:szCs w:val="21"/>
          <w:u w:val="single"/>
          <w:lang w:val="en-US" w:eastAsia="zh-CN"/>
        </w:rPr>
        <w:t xml:space="preserve">    </w:t>
      </w:r>
      <w:r>
        <w:rPr>
          <w:rFonts w:hint="default" w:ascii="Times New Roman" w:hAnsi="Times New Roman" w:cs="Times New Roman" w:eastAsiaTheme="minorEastAsia"/>
          <w:sz w:val="21"/>
          <w:szCs w:val="21"/>
        </w:rPr>
        <w:t>‰的违约金。如乙方逾期达</w:t>
      </w:r>
      <w:r>
        <w:rPr>
          <w:rFonts w:hint="default" w:ascii="Times New Roman" w:hAnsi="Times New Roman" w:cs="Times New Roman" w:eastAsiaTheme="minorEastAsia"/>
          <w:sz w:val="21"/>
          <w:szCs w:val="21"/>
          <w:u w:val="single"/>
          <w:lang w:val="en-US" w:eastAsia="zh-CN"/>
        </w:rPr>
        <w:t xml:space="preserve">     </w:t>
      </w:r>
      <w:r>
        <w:rPr>
          <w:rFonts w:hint="default" w:ascii="Times New Roman" w:hAnsi="Times New Roman" w:cs="Times New Roman" w:eastAsiaTheme="minorEastAsia"/>
          <w:sz w:val="21"/>
          <w:szCs w:val="21"/>
        </w:rPr>
        <w:t>天，甲方有权解除合同，甲方解除合同的通知自到达乙方时生效。在此情况下，乙方给甲方造成的实际损失高于违约金的，对高出违约金的部分乙方应予以赔偿。</w:t>
      </w:r>
    </w:p>
    <w:p w14:paraId="567F0268">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4、甲方未按合同规定的期限向乙方支付合同款的，每逾期1天甲方向乙方偿付欠款总额的</w:t>
      </w:r>
      <w:r>
        <w:rPr>
          <w:rFonts w:hint="default" w:ascii="Times New Roman" w:hAnsi="Times New Roman" w:cs="Times New Roman" w:eastAsiaTheme="minorEastAsia"/>
          <w:sz w:val="21"/>
          <w:szCs w:val="21"/>
          <w:u w:val="single"/>
          <w:lang w:val="en-US" w:eastAsia="zh-CN"/>
        </w:rPr>
        <w:t xml:space="preserve">    </w:t>
      </w:r>
      <w:r>
        <w:rPr>
          <w:rFonts w:hint="default" w:ascii="Times New Roman" w:hAnsi="Times New Roman" w:cs="Times New Roman" w:eastAsiaTheme="minorEastAsia"/>
          <w:sz w:val="21"/>
          <w:szCs w:val="21"/>
        </w:rPr>
        <w:t>‰违约金，但累计违约金总额不超过欠款总额的</w:t>
      </w:r>
      <w:r>
        <w:rPr>
          <w:rFonts w:hint="default" w:ascii="Times New Roman" w:hAnsi="Times New Roman" w:cs="Times New Roman" w:eastAsiaTheme="minorEastAsia"/>
          <w:sz w:val="21"/>
          <w:szCs w:val="21"/>
          <w:u w:val="single"/>
          <w:lang w:val="en-US" w:eastAsia="zh-CN"/>
        </w:rPr>
        <w:t xml:space="preserve">     </w:t>
      </w:r>
      <w:r>
        <w:rPr>
          <w:rFonts w:hint="default" w:ascii="Times New Roman" w:hAnsi="Times New Roman" w:cs="Times New Roman" w:eastAsiaTheme="minorEastAsia"/>
          <w:sz w:val="21"/>
          <w:szCs w:val="21"/>
        </w:rPr>
        <w:t>％。</w:t>
      </w:r>
    </w:p>
    <w:p w14:paraId="1D0D2BC5">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5、其它未尽事宜，以《合同法》和《政府采购法》等有关法律法规规定为准，无相关规定的，双方协商解决。</w:t>
      </w:r>
    </w:p>
    <w:p w14:paraId="3D6D3D7E">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第十三条  不可抗力</w:t>
      </w:r>
    </w:p>
    <w:p w14:paraId="5F306038">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甲、乙方中任何一方，因不可抗力不能按时或完全履行合同的，应及时通知对方，并在</w:t>
      </w:r>
      <w:r>
        <w:rPr>
          <w:rFonts w:hint="eastAsia" w:cs="Times New Roman" w:eastAsiaTheme="minorEastAsia"/>
          <w:sz w:val="21"/>
          <w:szCs w:val="21"/>
          <w:u w:val="single"/>
          <w:lang w:val="en-US" w:eastAsia="zh-CN"/>
        </w:rPr>
        <w:t xml:space="preserve">    </w:t>
      </w:r>
      <w:r>
        <w:rPr>
          <w:rFonts w:hint="default" w:ascii="Times New Roman" w:hAnsi="Times New Roman" w:cs="Times New Roman" w:eastAsiaTheme="minorEastAsia"/>
          <w:sz w:val="21"/>
          <w:szCs w:val="21"/>
        </w:rPr>
        <w:t>个工作日内提供相应证明。未履行完合同部分是否继续履行、如何履行等问题，可由双方初步协商，并向主管部门和政府采购管理部门报告。确定为不可抗力原因造成的损失，免予承担责任。</w:t>
      </w:r>
    </w:p>
    <w:p w14:paraId="5035DC5B">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第十四条  争议的解决方式</w:t>
      </w:r>
    </w:p>
    <w:p w14:paraId="62B921FB">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1、因货物的质量问题发生争议的，应当邀请国家认可的质量检测机构对货物质量进行鉴定。货物符合标准的，鉴定费由甲方承担；货物不符合质量标准的，鉴定费由乙方承担。</w:t>
      </w:r>
    </w:p>
    <w:p w14:paraId="3355134E">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2、在解释或者执行本合同的过程中发生争议时，双方应通过协商方式解决。</w:t>
      </w:r>
    </w:p>
    <w:p w14:paraId="1789183B">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rPr>
        <w:t>3</w:t>
      </w:r>
      <w:r>
        <w:rPr>
          <w:rFonts w:hint="default" w:ascii="Times New Roman" w:hAnsi="Times New Roman" w:cs="Times New Roman" w:eastAsiaTheme="minorEastAsia"/>
          <w:sz w:val="21"/>
          <w:szCs w:val="21"/>
          <w:highlight w:val="none"/>
        </w:rPr>
        <w:t>、经协商不能解决的争议，双方可选择以下第</w:t>
      </w:r>
      <w:r>
        <w:rPr>
          <w:rFonts w:hint="eastAsia" w:cs="Times New Roman" w:eastAsiaTheme="minorEastAsia"/>
          <w:sz w:val="21"/>
          <w:szCs w:val="21"/>
          <w:highlight w:val="none"/>
          <w:u w:val="single"/>
          <w:lang w:val="en-US" w:eastAsia="zh-CN"/>
        </w:rPr>
        <w:t xml:space="preserve">      </w:t>
      </w:r>
      <w:r>
        <w:rPr>
          <w:rFonts w:hint="default" w:ascii="Times New Roman" w:hAnsi="Times New Roman" w:cs="Times New Roman" w:eastAsiaTheme="minorEastAsia"/>
          <w:sz w:val="21"/>
          <w:szCs w:val="21"/>
          <w:highlight w:val="none"/>
        </w:rPr>
        <w:t>种方式解决：</w:t>
      </w:r>
    </w:p>
    <w:p w14:paraId="1A48C465">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① 向</w:t>
      </w:r>
      <w:r>
        <w:rPr>
          <w:rFonts w:hint="eastAsia" w:cs="Times New Roman" w:eastAsiaTheme="minorEastAsia"/>
          <w:sz w:val="21"/>
          <w:szCs w:val="21"/>
          <w:highlight w:val="none"/>
          <w:lang w:val="en-US" w:eastAsia="zh-CN"/>
        </w:rPr>
        <w:t>洛阳市</w:t>
      </w:r>
      <w:r>
        <w:rPr>
          <w:rFonts w:hint="default" w:ascii="Times New Roman" w:hAnsi="Times New Roman" w:cs="Times New Roman" w:eastAsiaTheme="minorEastAsia"/>
          <w:sz w:val="21"/>
          <w:szCs w:val="21"/>
          <w:highlight w:val="none"/>
        </w:rPr>
        <w:t>有管辖权的法院提起诉讼；</w:t>
      </w:r>
    </w:p>
    <w:p w14:paraId="4FA6E82A">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② 向</w:t>
      </w:r>
      <w:r>
        <w:rPr>
          <w:rFonts w:hint="eastAsia" w:cs="Times New Roman" w:eastAsiaTheme="minorEastAsia"/>
          <w:sz w:val="21"/>
          <w:szCs w:val="21"/>
          <w:highlight w:val="none"/>
          <w:lang w:val="en-US" w:eastAsia="zh-CN"/>
        </w:rPr>
        <w:t>洛阳</w:t>
      </w:r>
      <w:r>
        <w:rPr>
          <w:rFonts w:hint="default" w:ascii="Times New Roman" w:hAnsi="Times New Roman" w:cs="Times New Roman" w:eastAsiaTheme="minorEastAsia"/>
          <w:sz w:val="21"/>
          <w:szCs w:val="21"/>
          <w:highlight w:val="none"/>
        </w:rPr>
        <w:t>仲裁委员会提出仲裁。</w:t>
      </w:r>
    </w:p>
    <w:p w14:paraId="7472DEF0">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4、在法院审理和仲裁期间，除有争议部分外，本合同其他部分可以履行的仍应按合同条款继续履行。</w:t>
      </w:r>
    </w:p>
    <w:p w14:paraId="5BAB04BD">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第十五条  其他</w:t>
      </w:r>
    </w:p>
    <w:p w14:paraId="46640F4B">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符合《政府采购法》第49条规定的，经双方协商，办理政府采购手续后，可签订补充合同，所签订的补充合同与本合同具有同等法律效力。</w:t>
      </w:r>
    </w:p>
    <w:p w14:paraId="2AA49BD5">
      <w:pPr>
        <w:keepNext w:val="0"/>
        <w:keepLines w:val="0"/>
        <w:pageBreakBefore w:val="0"/>
        <w:widowControl w:val="0"/>
        <w:kinsoku/>
        <w:wordWrap/>
        <w:overflowPunct/>
        <w:topLinePunct w:val="0"/>
        <w:autoSpaceDE/>
        <w:autoSpaceDN/>
        <w:bidi w:val="0"/>
        <w:adjustRightInd/>
        <w:snapToGrid/>
        <w:spacing w:line="520" w:lineRule="exact"/>
        <w:ind w:left="0" w:firstLine="398"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本合同一式</w:t>
      </w:r>
      <w:r>
        <w:rPr>
          <w:rFonts w:hint="default" w:ascii="Times New Roman" w:hAnsi="Times New Roman" w:cs="Times New Roman" w:eastAsiaTheme="minorEastAsia"/>
          <w:sz w:val="21"/>
          <w:szCs w:val="21"/>
          <w:u w:val="single"/>
        </w:rPr>
        <w:t xml:space="preserve">    </w:t>
      </w:r>
      <w:r>
        <w:rPr>
          <w:rFonts w:hint="default" w:ascii="Times New Roman" w:hAnsi="Times New Roman" w:cs="Times New Roman" w:eastAsiaTheme="minorEastAsia"/>
          <w:sz w:val="21"/>
          <w:szCs w:val="21"/>
        </w:rPr>
        <w:t>份，甲、乙双方各执</w:t>
      </w:r>
      <w:r>
        <w:rPr>
          <w:rFonts w:hint="default" w:ascii="Times New Roman" w:hAnsi="Times New Roman" w:cs="Times New Roman" w:eastAsiaTheme="minorEastAsia"/>
          <w:sz w:val="21"/>
          <w:szCs w:val="21"/>
          <w:u w:val="single"/>
        </w:rPr>
        <w:t xml:space="preserve">    </w:t>
      </w:r>
      <w:r>
        <w:rPr>
          <w:rFonts w:hint="default" w:ascii="Times New Roman" w:hAnsi="Times New Roman" w:cs="Times New Roman" w:eastAsiaTheme="minorEastAsia"/>
          <w:sz w:val="21"/>
          <w:szCs w:val="21"/>
        </w:rPr>
        <w:t>份。</w:t>
      </w:r>
    </w:p>
    <w:p w14:paraId="32F5DA86">
      <w:pPr>
        <w:spacing w:line="360" w:lineRule="auto"/>
        <w:ind w:firstLine="398" w:firstLineChars="200"/>
        <w:rPr>
          <w:rFonts w:hint="default" w:ascii="Times New Roman" w:hAnsi="Times New Roman" w:cs="Times New Roman" w:eastAsiaTheme="minorEastAsia"/>
          <w:sz w:val="21"/>
          <w:szCs w:val="21"/>
        </w:rPr>
      </w:pPr>
    </w:p>
    <w:p w14:paraId="72565718">
      <w:pPr>
        <w:spacing w:line="360" w:lineRule="auto"/>
        <w:ind w:firstLine="398" w:firstLineChars="20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甲   方：                        乙   方：</w:t>
      </w:r>
    </w:p>
    <w:p w14:paraId="6598B9EC">
      <w:pPr>
        <w:spacing w:line="360" w:lineRule="auto"/>
        <w:ind w:firstLine="398" w:firstLineChars="20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名称：（盖章）                   名称：（盖章）</w:t>
      </w:r>
    </w:p>
    <w:p w14:paraId="4B9211B2">
      <w:pPr>
        <w:spacing w:line="360" w:lineRule="auto"/>
        <w:ind w:firstLine="398" w:firstLineChars="20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地址：                           地址：</w:t>
      </w:r>
    </w:p>
    <w:p w14:paraId="3948DC17">
      <w:pPr>
        <w:spacing w:line="360" w:lineRule="auto"/>
        <w:ind w:firstLine="398" w:firstLineChars="20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法定代表人（签字）：             法定代表人（签字）：</w:t>
      </w:r>
    </w:p>
    <w:p w14:paraId="4809C772">
      <w:pPr>
        <w:spacing w:line="360" w:lineRule="auto"/>
        <w:ind w:firstLine="398" w:firstLineChars="20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授权代表（签字）：               授权代表（签字）：</w:t>
      </w:r>
    </w:p>
    <w:p w14:paraId="0D2BD159">
      <w:pPr>
        <w:spacing w:line="360" w:lineRule="auto"/>
        <w:ind w:firstLine="398" w:firstLineChars="20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开户银行：                       开户银行（基本账户）：</w:t>
      </w:r>
    </w:p>
    <w:p w14:paraId="032270F8">
      <w:pPr>
        <w:spacing w:line="360" w:lineRule="auto"/>
        <w:ind w:firstLine="398" w:firstLineChars="20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银行帐号：                       银行帐号（基本账户）：</w:t>
      </w:r>
    </w:p>
    <w:p w14:paraId="4DD75ACB">
      <w:pPr>
        <w:spacing w:line="360" w:lineRule="auto"/>
        <w:ind w:firstLine="398" w:firstLineChars="20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合同法律审核（盖章）：</w:t>
      </w:r>
    </w:p>
    <w:p w14:paraId="074BB00C">
      <w:pPr>
        <w:spacing w:line="420" w:lineRule="exact"/>
        <w:ind w:firstLine="398" w:firstLineChars="200"/>
        <w:rPr>
          <w:rFonts w:hint="eastAsia" w:asciiTheme="minorEastAsia" w:hAnsiTheme="minorEastAsia" w:eastAsiaTheme="minorEastAsia" w:cstheme="minorEastAsia"/>
          <w:sz w:val="21"/>
          <w:szCs w:val="21"/>
        </w:rPr>
      </w:pPr>
      <w:r>
        <w:rPr>
          <w:rFonts w:hint="default" w:ascii="Times New Roman" w:hAnsi="Times New Roman" w:cs="Times New Roman" w:eastAsiaTheme="minorEastAsia"/>
          <w:sz w:val="21"/>
          <w:szCs w:val="21"/>
        </w:rPr>
        <w:t>时  间：         年     月     日</w:t>
      </w:r>
    </w:p>
    <w:p w14:paraId="548ECF26">
      <w:pPr>
        <w:spacing w:line="420" w:lineRule="exact"/>
        <w:ind w:firstLine="422" w:firstLineChars="200"/>
        <w:rPr>
          <w:rFonts w:hint="eastAsia" w:ascii="宋体" w:hAnsi="宋体" w:eastAsia="宋体" w:cs="宋体"/>
          <w:spacing w:val="6"/>
          <w:sz w:val="21"/>
          <w:szCs w:val="21"/>
        </w:rPr>
      </w:pPr>
    </w:p>
    <w:p w14:paraId="30E6F12D">
      <w:pPr>
        <w:rPr>
          <w:rFonts w:hint="eastAsia" w:ascii="宋体" w:hAnsi="宋体" w:eastAsia="宋体" w:cs="宋体"/>
          <w:spacing w:val="6"/>
          <w:sz w:val="21"/>
          <w:szCs w:val="21"/>
        </w:rPr>
      </w:pPr>
      <w:r>
        <w:rPr>
          <w:rFonts w:hint="eastAsia" w:ascii="宋体" w:hAnsi="宋体" w:eastAsia="宋体" w:cs="宋体"/>
          <w:spacing w:val="6"/>
          <w:sz w:val="21"/>
          <w:szCs w:val="21"/>
        </w:rPr>
        <w:br w:type="page"/>
      </w:r>
    </w:p>
    <w:p w14:paraId="7CF9028E">
      <w:pPr>
        <w:spacing w:line="480" w:lineRule="exact"/>
        <w:rPr>
          <w:rFonts w:hint="eastAsia" w:ascii="宋体" w:hAnsi="宋体" w:eastAsia="宋体" w:cs="宋体"/>
          <w:spacing w:val="6"/>
          <w:sz w:val="21"/>
          <w:szCs w:val="21"/>
        </w:rPr>
      </w:pPr>
      <w:r>
        <w:rPr>
          <w:rFonts w:hint="eastAsia" w:ascii="宋体" w:hAnsi="宋体" w:eastAsia="宋体" w:cs="宋体"/>
          <w:spacing w:val="6"/>
          <w:sz w:val="21"/>
          <w:szCs w:val="21"/>
        </w:rPr>
        <w:t>附件</w:t>
      </w:r>
    </w:p>
    <w:p w14:paraId="221956A3">
      <w:pPr>
        <w:spacing w:line="480" w:lineRule="exact"/>
        <w:jc w:val="center"/>
        <w:rPr>
          <w:rFonts w:hint="eastAsia" w:ascii="宋体" w:hAnsi="宋体" w:eastAsia="宋体" w:cs="宋体"/>
          <w:spacing w:val="6"/>
          <w:sz w:val="21"/>
          <w:szCs w:val="21"/>
        </w:rPr>
      </w:pPr>
      <w:r>
        <w:rPr>
          <w:rFonts w:hint="eastAsia" w:ascii="宋体" w:hAnsi="宋体" w:cs="宋体"/>
          <w:spacing w:val="6"/>
          <w:sz w:val="21"/>
          <w:szCs w:val="21"/>
          <w:lang w:val="en-US" w:eastAsia="zh-CN"/>
        </w:rPr>
        <w:t>服务</w:t>
      </w:r>
      <w:r>
        <w:rPr>
          <w:rFonts w:hint="eastAsia" w:ascii="宋体" w:hAnsi="宋体" w:eastAsia="宋体" w:cs="宋体"/>
          <w:spacing w:val="6"/>
          <w:sz w:val="21"/>
          <w:szCs w:val="21"/>
        </w:rPr>
        <w:t>明细项目一览表</w:t>
      </w:r>
    </w:p>
    <w:tbl>
      <w:tblPr>
        <w:tblStyle w:val="26"/>
        <w:tblW w:w="9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62"/>
        <w:gridCol w:w="2150"/>
        <w:gridCol w:w="1133"/>
        <w:gridCol w:w="1296"/>
        <w:gridCol w:w="1262"/>
        <w:gridCol w:w="1200"/>
        <w:gridCol w:w="1037"/>
      </w:tblGrid>
      <w:tr w14:paraId="1D4D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671" w:type="dxa"/>
            <w:vAlign w:val="center"/>
          </w:tcPr>
          <w:p w14:paraId="412CD7E7">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序号</w:t>
            </w:r>
          </w:p>
        </w:tc>
        <w:tc>
          <w:tcPr>
            <w:tcW w:w="1162" w:type="dxa"/>
            <w:vAlign w:val="center"/>
          </w:tcPr>
          <w:p w14:paraId="703F4381">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spacing w:val="6"/>
                <w:sz w:val="21"/>
                <w:szCs w:val="21"/>
              </w:rPr>
            </w:pPr>
            <w:r>
              <w:rPr>
                <w:rFonts w:hint="eastAsia" w:hAnsi="宋体" w:cs="宋体"/>
                <w:color w:val="000000"/>
                <w:spacing w:val="6"/>
                <w:sz w:val="21"/>
                <w:szCs w:val="21"/>
                <w:lang w:val="en-US" w:eastAsia="zh-CN"/>
              </w:rPr>
              <w:t>服务</w:t>
            </w:r>
            <w:r>
              <w:rPr>
                <w:rFonts w:hint="eastAsia" w:ascii="宋体" w:hAnsi="宋体" w:eastAsia="宋体" w:cs="宋体"/>
                <w:color w:val="000000"/>
                <w:spacing w:val="6"/>
                <w:sz w:val="21"/>
                <w:szCs w:val="21"/>
              </w:rPr>
              <w:t>名称</w:t>
            </w:r>
          </w:p>
        </w:tc>
        <w:tc>
          <w:tcPr>
            <w:tcW w:w="2150" w:type="dxa"/>
            <w:vAlign w:val="center"/>
          </w:tcPr>
          <w:p w14:paraId="4C30A30C">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spacing w:val="6"/>
                <w:sz w:val="21"/>
                <w:szCs w:val="21"/>
                <w:lang w:eastAsia="zh-CN"/>
              </w:rPr>
            </w:pPr>
            <w:r>
              <w:rPr>
                <w:rFonts w:hint="eastAsia" w:hAnsi="宋体" w:cs="宋体"/>
                <w:color w:val="000000"/>
                <w:spacing w:val="6"/>
                <w:sz w:val="21"/>
                <w:szCs w:val="21"/>
                <w:lang w:val="en-US" w:eastAsia="zh-CN"/>
              </w:rPr>
              <w:t>服务内容</w:t>
            </w:r>
          </w:p>
        </w:tc>
        <w:tc>
          <w:tcPr>
            <w:tcW w:w="1133" w:type="dxa"/>
            <w:vAlign w:val="center"/>
          </w:tcPr>
          <w:p w14:paraId="70364A95">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计量单位</w:t>
            </w:r>
          </w:p>
        </w:tc>
        <w:tc>
          <w:tcPr>
            <w:tcW w:w="1296" w:type="dxa"/>
            <w:vAlign w:val="center"/>
          </w:tcPr>
          <w:p w14:paraId="761EBC37">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spacing w:val="6"/>
                <w:sz w:val="21"/>
                <w:szCs w:val="21"/>
                <w:lang w:eastAsia="zh-CN"/>
              </w:rPr>
            </w:pPr>
            <w:r>
              <w:rPr>
                <w:rFonts w:hint="eastAsia" w:hAnsi="宋体" w:cs="宋体"/>
                <w:color w:val="000000"/>
                <w:spacing w:val="6"/>
                <w:sz w:val="21"/>
                <w:szCs w:val="21"/>
                <w:lang w:val="en-US" w:eastAsia="zh-CN"/>
              </w:rPr>
              <w:t>工作量</w:t>
            </w:r>
          </w:p>
        </w:tc>
        <w:tc>
          <w:tcPr>
            <w:tcW w:w="1262" w:type="dxa"/>
            <w:vAlign w:val="center"/>
          </w:tcPr>
          <w:p w14:paraId="519E5DF2">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单价（元）</w:t>
            </w:r>
          </w:p>
        </w:tc>
        <w:tc>
          <w:tcPr>
            <w:tcW w:w="1200" w:type="dxa"/>
            <w:vAlign w:val="center"/>
          </w:tcPr>
          <w:p w14:paraId="47BC525F">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总价（元）</w:t>
            </w:r>
          </w:p>
        </w:tc>
        <w:tc>
          <w:tcPr>
            <w:tcW w:w="1037" w:type="dxa"/>
            <w:vAlign w:val="center"/>
          </w:tcPr>
          <w:p w14:paraId="79BB79E6">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spacing w:val="6"/>
                <w:sz w:val="21"/>
                <w:szCs w:val="21"/>
                <w:lang w:eastAsia="zh-CN"/>
              </w:rPr>
            </w:pPr>
            <w:r>
              <w:rPr>
                <w:rFonts w:hint="eastAsia" w:hAnsi="宋体" w:cs="宋体"/>
                <w:color w:val="000000"/>
                <w:spacing w:val="6"/>
                <w:sz w:val="21"/>
                <w:szCs w:val="21"/>
                <w:lang w:val="en-US" w:eastAsia="zh-CN"/>
              </w:rPr>
              <w:t>备注</w:t>
            </w:r>
          </w:p>
        </w:tc>
      </w:tr>
      <w:tr w14:paraId="59AE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5CC7C9A0">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162" w:type="dxa"/>
          </w:tcPr>
          <w:p w14:paraId="0AC24670">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2150" w:type="dxa"/>
            <w:vAlign w:val="center"/>
          </w:tcPr>
          <w:p w14:paraId="64A551B6">
            <w:pPr>
              <w:pStyle w:val="13"/>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（视明细项目加行）</w:t>
            </w:r>
          </w:p>
        </w:tc>
        <w:tc>
          <w:tcPr>
            <w:tcW w:w="1133" w:type="dxa"/>
          </w:tcPr>
          <w:p w14:paraId="15F9ACFA">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296" w:type="dxa"/>
          </w:tcPr>
          <w:p w14:paraId="11C48120">
            <w:pPr>
              <w:pStyle w:val="13"/>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pacing w:val="6"/>
                <w:sz w:val="21"/>
                <w:szCs w:val="21"/>
              </w:rPr>
            </w:pPr>
          </w:p>
        </w:tc>
        <w:tc>
          <w:tcPr>
            <w:tcW w:w="1262" w:type="dxa"/>
          </w:tcPr>
          <w:p w14:paraId="556479CB">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200" w:type="dxa"/>
          </w:tcPr>
          <w:p w14:paraId="442A8A3C">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037" w:type="dxa"/>
          </w:tcPr>
          <w:p w14:paraId="01B96BB3">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14:paraId="0EA5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17A1FC2E">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162" w:type="dxa"/>
          </w:tcPr>
          <w:p w14:paraId="0071BDDD">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2150" w:type="dxa"/>
          </w:tcPr>
          <w:p w14:paraId="30C476FD">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133" w:type="dxa"/>
          </w:tcPr>
          <w:p w14:paraId="4411F04E">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296" w:type="dxa"/>
          </w:tcPr>
          <w:p w14:paraId="72925E68">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262" w:type="dxa"/>
          </w:tcPr>
          <w:p w14:paraId="63575A47">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200" w:type="dxa"/>
          </w:tcPr>
          <w:p w14:paraId="2753FDB8">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037" w:type="dxa"/>
          </w:tcPr>
          <w:p w14:paraId="3FF97286">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14:paraId="0E2A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10457BDF">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162" w:type="dxa"/>
          </w:tcPr>
          <w:p w14:paraId="542575F2">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2150" w:type="dxa"/>
          </w:tcPr>
          <w:p w14:paraId="6E0C59F1">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133" w:type="dxa"/>
          </w:tcPr>
          <w:p w14:paraId="73E0214A">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296" w:type="dxa"/>
          </w:tcPr>
          <w:p w14:paraId="07708D22">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262" w:type="dxa"/>
          </w:tcPr>
          <w:p w14:paraId="664B5276">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200" w:type="dxa"/>
          </w:tcPr>
          <w:p w14:paraId="2384269E">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037" w:type="dxa"/>
          </w:tcPr>
          <w:p w14:paraId="30534A7E">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14:paraId="5817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28723055">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162" w:type="dxa"/>
          </w:tcPr>
          <w:p w14:paraId="1AC53510">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2150" w:type="dxa"/>
          </w:tcPr>
          <w:p w14:paraId="127B4CEC">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133" w:type="dxa"/>
          </w:tcPr>
          <w:p w14:paraId="2BF7E08B">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296" w:type="dxa"/>
          </w:tcPr>
          <w:p w14:paraId="3A109DF1">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262" w:type="dxa"/>
          </w:tcPr>
          <w:p w14:paraId="1F33FE5C">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200" w:type="dxa"/>
          </w:tcPr>
          <w:p w14:paraId="10069F0F">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037" w:type="dxa"/>
          </w:tcPr>
          <w:p w14:paraId="1EBD8697">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14:paraId="6FC0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2ADECA70">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162" w:type="dxa"/>
          </w:tcPr>
          <w:p w14:paraId="3E1C739D">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2150" w:type="dxa"/>
          </w:tcPr>
          <w:p w14:paraId="2D189182">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133" w:type="dxa"/>
          </w:tcPr>
          <w:p w14:paraId="555E216E">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296" w:type="dxa"/>
          </w:tcPr>
          <w:p w14:paraId="6E9F7BF8">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262" w:type="dxa"/>
          </w:tcPr>
          <w:p w14:paraId="2E9C33D4">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200" w:type="dxa"/>
          </w:tcPr>
          <w:p w14:paraId="3713F239">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037" w:type="dxa"/>
          </w:tcPr>
          <w:p w14:paraId="358BD615">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14:paraId="366C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4C4EAA6A">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162" w:type="dxa"/>
          </w:tcPr>
          <w:p w14:paraId="75E0D239">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2150" w:type="dxa"/>
          </w:tcPr>
          <w:p w14:paraId="110A9C29">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133" w:type="dxa"/>
          </w:tcPr>
          <w:p w14:paraId="47271C29">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296" w:type="dxa"/>
          </w:tcPr>
          <w:p w14:paraId="4DCCB099">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262" w:type="dxa"/>
          </w:tcPr>
          <w:p w14:paraId="664DEF21">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200" w:type="dxa"/>
          </w:tcPr>
          <w:p w14:paraId="0096EA8B">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037" w:type="dxa"/>
          </w:tcPr>
          <w:p w14:paraId="78CC4D23">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14:paraId="7723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3C0556A8">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162" w:type="dxa"/>
          </w:tcPr>
          <w:p w14:paraId="683238AA">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2150" w:type="dxa"/>
          </w:tcPr>
          <w:p w14:paraId="55A5FE36">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133" w:type="dxa"/>
          </w:tcPr>
          <w:p w14:paraId="60E50F40">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296" w:type="dxa"/>
          </w:tcPr>
          <w:p w14:paraId="72FCCFE4">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262" w:type="dxa"/>
          </w:tcPr>
          <w:p w14:paraId="0AEB8B2E">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200" w:type="dxa"/>
          </w:tcPr>
          <w:p w14:paraId="435218BC">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037" w:type="dxa"/>
          </w:tcPr>
          <w:p w14:paraId="5313CD54">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14:paraId="7FB3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1F69785D">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162" w:type="dxa"/>
          </w:tcPr>
          <w:p w14:paraId="13FB1DC7">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2150" w:type="dxa"/>
          </w:tcPr>
          <w:p w14:paraId="2C99E1B3">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133" w:type="dxa"/>
          </w:tcPr>
          <w:p w14:paraId="1368C087">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296" w:type="dxa"/>
          </w:tcPr>
          <w:p w14:paraId="6ABB9122">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262" w:type="dxa"/>
          </w:tcPr>
          <w:p w14:paraId="5C755DA6">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200" w:type="dxa"/>
          </w:tcPr>
          <w:p w14:paraId="55910710">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037" w:type="dxa"/>
          </w:tcPr>
          <w:p w14:paraId="40471F17">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14:paraId="70B8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00843A16">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162" w:type="dxa"/>
          </w:tcPr>
          <w:p w14:paraId="5CEDFC19">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2150" w:type="dxa"/>
          </w:tcPr>
          <w:p w14:paraId="254C1AC9">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133" w:type="dxa"/>
          </w:tcPr>
          <w:p w14:paraId="70798E9F">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296" w:type="dxa"/>
          </w:tcPr>
          <w:p w14:paraId="6C2794E9">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262" w:type="dxa"/>
          </w:tcPr>
          <w:p w14:paraId="7BAF4521">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200" w:type="dxa"/>
          </w:tcPr>
          <w:p w14:paraId="24CB5D80">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037" w:type="dxa"/>
          </w:tcPr>
          <w:p w14:paraId="2E4F9A00">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14:paraId="40FC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2AFE38FB">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162" w:type="dxa"/>
          </w:tcPr>
          <w:p w14:paraId="4431354B">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2150" w:type="dxa"/>
          </w:tcPr>
          <w:p w14:paraId="5E3DA597">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133" w:type="dxa"/>
          </w:tcPr>
          <w:p w14:paraId="08EA6EAF">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296" w:type="dxa"/>
          </w:tcPr>
          <w:p w14:paraId="51B9052C">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262" w:type="dxa"/>
          </w:tcPr>
          <w:p w14:paraId="5628B744">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200" w:type="dxa"/>
          </w:tcPr>
          <w:p w14:paraId="69AFF9F3">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037" w:type="dxa"/>
          </w:tcPr>
          <w:p w14:paraId="7886B5DC">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14:paraId="1C03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64222F0B">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162" w:type="dxa"/>
          </w:tcPr>
          <w:p w14:paraId="1C55F483">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5841" w:type="dxa"/>
            <w:gridSpan w:val="4"/>
            <w:vAlign w:val="center"/>
          </w:tcPr>
          <w:p w14:paraId="7C2F2800">
            <w:pPr>
              <w:pStyle w:val="13"/>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spacing w:val="6"/>
                <w:sz w:val="21"/>
                <w:szCs w:val="21"/>
                <w:lang w:val="en-US" w:eastAsia="zh-CN"/>
              </w:rPr>
            </w:pPr>
            <w:r>
              <w:rPr>
                <w:rFonts w:hint="eastAsia" w:hAnsi="宋体" w:cs="宋体"/>
                <w:color w:val="000000"/>
                <w:spacing w:val="6"/>
                <w:sz w:val="21"/>
                <w:szCs w:val="21"/>
                <w:lang w:val="en-US" w:eastAsia="zh-CN"/>
              </w:rPr>
              <w:t>物料</w:t>
            </w:r>
          </w:p>
        </w:tc>
        <w:tc>
          <w:tcPr>
            <w:tcW w:w="1200" w:type="dxa"/>
          </w:tcPr>
          <w:p w14:paraId="6EE72512">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037" w:type="dxa"/>
          </w:tcPr>
          <w:p w14:paraId="04EA4E1F">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14:paraId="4B04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43BE8B96">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162" w:type="dxa"/>
          </w:tcPr>
          <w:p w14:paraId="65CEA977">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5841" w:type="dxa"/>
            <w:gridSpan w:val="4"/>
            <w:vAlign w:val="center"/>
          </w:tcPr>
          <w:p w14:paraId="6830D3B9">
            <w:pPr>
              <w:pStyle w:val="13"/>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spacing w:val="6"/>
                <w:sz w:val="21"/>
                <w:szCs w:val="21"/>
                <w:lang w:val="en-US" w:eastAsia="zh-CN"/>
              </w:rPr>
            </w:pPr>
            <w:r>
              <w:rPr>
                <w:rFonts w:hint="eastAsia" w:hAnsi="宋体" w:cs="宋体"/>
                <w:color w:val="000000"/>
                <w:spacing w:val="6"/>
                <w:sz w:val="21"/>
                <w:szCs w:val="21"/>
                <w:lang w:val="en-US" w:eastAsia="zh-CN"/>
              </w:rPr>
              <w:t>易耗品</w:t>
            </w:r>
          </w:p>
        </w:tc>
        <w:tc>
          <w:tcPr>
            <w:tcW w:w="1200" w:type="dxa"/>
          </w:tcPr>
          <w:p w14:paraId="4A97ECE9">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037" w:type="dxa"/>
          </w:tcPr>
          <w:p w14:paraId="0B027988">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14:paraId="3129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233E3A2F">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162" w:type="dxa"/>
          </w:tcPr>
          <w:p w14:paraId="5EEC8B0F">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5841" w:type="dxa"/>
            <w:gridSpan w:val="4"/>
            <w:vAlign w:val="center"/>
          </w:tcPr>
          <w:p w14:paraId="6083B9CE">
            <w:pPr>
              <w:pStyle w:val="13"/>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spacing w:val="6"/>
                <w:sz w:val="21"/>
                <w:szCs w:val="21"/>
                <w:lang w:val="en-US" w:eastAsia="zh-CN"/>
              </w:rPr>
            </w:pPr>
            <w:r>
              <w:rPr>
                <w:rFonts w:hint="eastAsia" w:hAnsi="宋体" w:cs="宋体"/>
                <w:color w:val="000000"/>
                <w:spacing w:val="6"/>
                <w:sz w:val="21"/>
                <w:szCs w:val="21"/>
                <w:lang w:val="en-US" w:eastAsia="zh-CN"/>
              </w:rPr>
              <w:t>专用工具</w:t>
            </w:r>
          </w:p>
        </w:tc>
        <w:tc>
          <w:tcPr>
            <w:tcW w:w="1200" w:type="dxa"/>
          </w:tcPr>
          <w:p w14:paraId="1F63A221">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037" w:type="dxa"/>
          </w:tcPr>
          <w:p w14:paraId="1E79053A">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14:paraId="20B2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6DEBBDDD">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162" w:type="dxa"/>
          </w:tcPr>
          <w:p w14:paraId="561D05B5">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5841" w:type="dxa"/>
            <w:gridSpan w:val="4"/>
            <w:vAlign w:val="center"/>
          </w:tcPr>
          <w:p w14:paraId="0B3EE018">
            <w:pPr>
              <w:pStyle w:val="13"/>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spacing w:val="6"/>
                <w:sz w:val="21"/>
                <w:szCs w:val="21"/>
                <w:lang w:val="en-US" w:eastAsia="zh-CN"/>
              </w:rPr>
            </w:pPr>
            <w:r>
              <w:rPr>
                <w:rFonts w:hint="eastAsia" w:hAnsi="宋体" w:cs="宋体"/>
                <w:color w:val="000000"/>
                <w:spacing w:val="6"/>
                <w:sz w:val="21"/>
                <w:szCs w:val="21"/>
                <w:lang w:val="en-US" w:eastAsia="zh-CN"/>
              </w:rPr>
              <w:t>调试费</w:t>
            </w:r>
          </w:p>
        </w:tc>
        <w:tc>
          <w:tcPr>
            <w:tcW w:w="1200" w:type="dxa"/>
          </w:tcPr>
          <w:p w14:paraId="3170E4B5">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037" w:type="dxa"/>
          </w:tcPr>
          <w:p w14:paraId="7627DAB6">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14:paraId="37B7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0AF91F0F">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162" w:type="dxa"/>
          </w:tcPr>
          <w:p w14:paraId="7F6FA97A">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5841" w:type="dxa"/>
            <w:gridSpan w:val="4"/>
            <w:vAlign w:val="center"/>
          </w:tcPr>
          <w:p w14:paraId="75CDD0F8">
            <w:pPr>
              <w:pStyle w:val="13"/>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spacing w:val="6"/>
                <w:sz w:val="21"/>
                <w:szCs w:val="21"/>
                <w:lang w:val="en-US" w:eastAsia="zh-CN"/>
              </w:rPr>
            </w:pPr>
            <w:r>
              <w:rPr>
                <w:rFonts w:hint="eastAsia" w:hAnsi="宋体" w:cs="宋体"/>
                <w:color w:val="000000"/>
                <w:spacing w:val="6"/>
                <w:sz w:val="21"/>
                <w:szCs w:val="21"/>
                <w:lang w:val="en-US" w:eastAsia="zh-CN"/>
              </w:rPr>
              <w:t>培训费</w:t>
            </w:r>
          </w:p>
        </w:tc>
        <w:tc>
          <w:tcPr>
            <w:tcW w:w="1200" w:type="dxa"/>
          </w:tcPr>
          <w:p w14:paraId="239664EA">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037" w:type="dxa"/>
          </w:tcPr>
          <w:p w14:paraId="605878C3">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14:paraId="0EAD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1" w:type="dxa"/>
          </w:tcPr>
          <w:p w14:paraId="73DACC89">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162" w:type="dxa"/>
          </w:tcPr>
          <w:p w14:paraId="4EAA968D">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5841" w:type="dxa"/>
            <w:gridSpan w:val="4"/>
            <w:vAlign w:val="center"/>
          </w:tcPr>
          <w:p w14:paraId="14A9901E">
            <w:pPr>
              <w:pStyle w:val="13"/>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spacing w:val="6"/>
                <w:sz w:val="21"/>
                <w:szCs w:val="21"/>
                <w:lang w:val="en-US" w:eastAsia="zh-CN"/>
              </w:rPr>
            </w:pPr>
            <w:r>
              <w:rPr>
                <w:rFonts w:hint="eastAsia" w:hAnsi="宋体" w:cs="宋体"/>
                <w:color w:val="000000"/>
                <w:spacing w:val="6"/>
                <w:sz w:val="21"/>
                <w:szCs w:val="21"/>
                <w:lang w:val="en-US" w:eastAsia="zh-CN"/>
              </w:rPr>
              <w:t>其他</w:t>
            </w:r>
          </w:p>
        </w:tc>
        <w:tc>
          <w:tcPr>
            <w:tcW w:w="1200" w:type="dxa"/>
          </w:tcPr>
          <w:p w14:paraId="606C64BC">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037" w:type="dxa"/>
          </w:tcPr>
          <w:p w14:paraId="172F5EC4">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14:paraId="2941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911" w:type="dxa"/>
            <w:gridSpan w:val="8"/>
            <w:vAlign w:val="center"/>
          </w:tcPr>
          <w:p w14:paraId="3292FAF3">
            <w:pPr>
              <w:pStyle w:val="13"/>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大写：                                                合同价：                 元</w:t>
            </w:r>
          </w:p>
        </w:tc>
      </w:tr>
    </w:tbl>
    <w:p w14:paraId="4320B6B9">
      <w:pPr>
        <w:ind w:firstLine="1608" w:firstLineChars="800"/>
        <w:rPr>
          <w:rFonts w:asciiTheme="minorEastAsia" w:hAnsiTheme="minorEastAsia" w:eastAsiaTheme="minorEastAsia" w:cstheme="minorEastAsia"/>
          <w:spacing w:val="6"/>
          <w:szCs w:val="21"/>
        </w:rPr>
      </w:pPr>
    </w:p>
    <w:p w14:paraId="5FDEC9D2">
      <w:pPr>
        <w:rPr>
          <w:rFonts w:hint="eastAsia" w:ascii="仿宋_GB2312" w:hAnsi="宋体" w:eastAsia="仿宋_GB2312"/>
          <w:spacing w:val="6"/>
          <w:sz w:val="32"/>
          <w:szCs w:val="32"/>
        </w:rPr>
      </w:pPr>
      <w:r>
        <w:rPr>
          <w:rFonts w:hint="eastAsia" w:ascii="仿宋_GB2312" w:hAnsi="宋体" w:eastAsia="仿宋_GB2312"/>
          <w:spacing w:val="6"/>
          <w:sz w:val="32"/>
          <w:szCs w:val="32"/>
        </w:rPr>
        <w:t xml:space="preserve">                                              </w:t>
      </w:r>
    </w:p>
    <w:bookmarkEnd w:id="473"/>
    <w:p w14:paraId="3EB4C769">
      <w:pPr>
        <w:rPr>
          <w:rFonts w:hint="eastAsia" w:ascii="仿宋_GB2312" w:hAnsi="宋体" w:eastAsia="仿宋_GB2312"/>
          <w:sz w:val="32"/>
          <w:szCs w:val="32"/>
        </w:rPr>
      </w:pPr>
      <w:r>
        <w:rPr>
          <w:rFonts w:hint="eastAsia" w:ascii="仿宋_GB2312" w:hAnsi="宋体" w:eastAsia="仿宋_GB2312"/>
          <w:sz w:val="32"/>
          <w:szCs w:val="32"/>
        </w:rPr>
        <w:br w:type="page"/>
      </w:r>
    </w:p>
    <w:p w14:paraId="73AC3EE5">
      <w:pPr>
        <w:pStyle w:val="111"/>
        <w:ind w:firstLine="664"/>
        <w:rPr>
          <w:rFonts w:hint="eastAsia" w:ascii="宋体" w:hAnsi="宋体" w:eastAsia="宋体" w:cs="宋体"/>
          <w:b/>
          <w:bCs/>
          <w:color w:val="auto"/>
          <w:spacing w:val="6"/>
          <w:kern w:val="28"/>
          <w:highlight w:val="none"/>
          <w:lang w:val="zh-CN" w:bidi="en-US"/>
        </w:rPr>
      </w:pPr>
      <w:bookmarkStart w:id="474" w:name="_Toc11176"/>
      <w:bookmarkStart w:id="475" w:name="_Toc9284"/>
      <w:bookmarkStart w:id="476" w:name="_Toc7864"/>
      <w:bookmarkStart w:id="477" w:name="_Toc25726"/>
      <w:bookmarkStart w:id="478" w:name="_Toc1660841"/>
      <w:bookmarkStart w:id="479" w:name="_Toc504741948"/>
      <w:r>
        <w:rPr>
          <w:rFonts w:hint="eastAsia" w:ascii="宋体" w:hAnsi="宋体" w:eastAsia="宋体" w:cs="宋体"/>
          <w:b/>
          <w:bCs/>
          <w:color w:val="auto"/>
          <w:spacing w:val="6"/>
          <w:kern w:val="28"/>
          <w:highlight w:val="none"/>
          <w:lang w:val="zh-CN" w:bidi="en-US"/>
        </w:rPr>
        <w:t>第</w:t>
      </w:r>
      <w:r>
        <w:rPr>
          <w:rFonts w:hint="eastAsia" w:ascii="宋体" w:hAnsi="宋体" w:eastAsia="宋体" w:cs="宋体"/>
          <w:b/>
          <w:bCs/>
          <w:color w:val="auto"/>
          <w:spacing w:val="6"/>
          <w:kern w:val="28"/>
          <w:highlight w:val="none"/>
          <w:lang w:bidi="en-US"/>
        </w:rPr>
        <w:t>五</w:t>
      </w:r>
      <w:r>
        <w:rPr>
          <w:rFonts w:hint="eastAsia" w:ascii="宋体" w:hAnsi="宋体" w:eastAsia="宋体" w:cs="宋体"/>
          <w:b/>
          <w:bCs/>
          <w:color w:val="auto"/>
          <w:spacing w:val="6"/>
          <w:kern w:val="28"/>
          <w:highlight w:val="none"/>
          <w:lang w:val="zh-CN" w:bidi="en-US"/>
        </w:rPr>
        <w:t>章</w:t>
      </w:r>
      <w:r>
        <w:rPr>
          <w:rFonts w:hint="eastAsia" w:ascii="宋体" w:hAnsi="宋体" w:eastAsia="宋体" w:cs="宋体"/>
          <w:b/>
          <w:bCs/>
          <w:color w:val="auto"/>
          <w:spacing w:val="6"/>
          <w:kern w:val="28"/>
          <w:highlight w:val="none"/>
          <w:lang w:bidi="en-US"/>
        </w:rPr>
        <w:t xml:space="preserve"> 评标</w:t>
      </w:r>
      <w:r>
        <w:rPr>
          <w:rFonts w:hint="eastAsia" w:ascii="宋体" w:hAnsi="宋体" w:eastAsia="宋体" w:cs="宋体"/>
          <w:b/>
          <w:bCs/>
          <w:color w:val="auto"/>
          <w:spacing w:val="6"/>
          <w:kern w:val="28"/>
          <w:highlight w:val="none"/>
          <w:lang w:val="zh-CN" w:bidi="en-US"/>
        </w:rPr>
        <w:t>办法</w:t>
      </w:r>
      <w:bookmarkEnd w:id="474"/>
      <w:bookmarkEnd w:id="475"/>
      <w:bookmarkEnd w:id="476"/>
      <w:bookmarkEnd w:id="477"/>
      <w:bookmarkEnd w:id="478"/>
      <w:bookmarkEnd w:id="479"/>
    </w:p>
    <w:p w14:paraId="26606325">
      <w:pPr>
        <w:pStyle w:val="3"/>
        <w:outlineLvl w:val="1"/>
        <w:rPr>
          <w:rFonts w:hint="eastAsia" w:ascii="宋体" w:hAnsi="宋体" w:eastAsia="宋体" w:cs="宋体"/>
          <w:b/>
          <w:bCs/>
          <w:color w:val="auto"/>
          <w:spacing w:val="6"/>
          <w:highlight w:val="none"/>
        </w:rPr>
      </w:pPr>
      <w:bookmarkStart w:id="480" w:name="_Toc28965"/>
      <w:bookmarkStart w:id="481" w:name="_Toc296602487"/>
      <w:bookmarkStart w:id="482" w:name="_Toc26419"/>
      <w:bookmarkStart w:id="483" w:name="_Toc1045"/>
      <w:bookmarkStart w:id="484" w:name="_Toc22092"/>
      <w:bookmarkStart w:id="485" w:name="_Toc872"/>
      <w:r>
        <w:rPr>
          <w:rFonts w:hint="eastAsia" w:ascii="宋体" w:hAnsi="宋体" w:eastAsia="宋体" w:cs="宋体"/>
          <w:b/>
          <w:bCs/>
          <w:color w:val="auto"/>
          <w:spacing w:val="6"/>
          <w:sz w:val="28"/>
          <w:szCs w:val="28"/>
          <w:highlight w:val="none"/>
        </w:rPr>
        <w:t>评标办法前附表</w:t>
      </w:r>
      <w:bookmarkEnd w:id="480"/>
      <w:bookmarkEnd w:id="481"/>
      <w:bookmarkEnd w:id="482"/>
      <w:bookmarkEnd w:id="483"/>
      <w:bookmarkEnd w:id="484"/>
      <w:bookmarkEnd w:id="485"/>
    </w:p>
    <w:tbl>
      <w:tblPr>
        <w:tblStyle w:val="26"/>
        <w:tblW w:w="96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
        <w:gridCol w:w="930"/>
        <w:gridCol w:w="2613"/>
        <w:gridCol w:w="5262"/>
      </w:tblGrid>
      <w:tr w14:paraId="33612D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1764" w:type="dxa"/>
            <w:gridSpan w:val="2"/>
            <w:tcBorders>
              <w:top w:val="single" w:color="auto" w:sz="4" w:space="0"/>
              <w:bottom w:val="single" w:color="auto" w:sz="4" w:space="0"/>
              <w:right w:val="single" w:color="auto" w:sz="4" w:space="0"/>
            </w:tcBorders>
            <w:vAlign w:val="center"/>
          </w:tcPr>
          <w:p w14:paraId="0332D8CE">
            <w:pPr>
              <w:spacing w:line="320" w:lineRule="exact"/>
              <w:jc w:val="center"/>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条款号</w:t>
            </w:r>
          </w:p>
        </w:tc>
        <w:tc>
          <w:tcPr>
            <w:tcW w:w="2613" w:type="dxa"/>
            <w:tcBorders>
              <w:top w:val="single" w:color="auto" w:sz="4" w:space="0"/>
              <w:left w:val="single" w:color="auto" w:sz="4" w:space="0"/>
              <w:bottom w:val="single" w:color="auto" w:sz="4" w:space="0"/>
              <w:right w:val="single" w:color="auto" w:sz="4" w:space="0"/>
            </w:tcBorders>
            <w:vAlign w:val="center"/>
          </w:tcPr>
          <w:p w14:paraId="72444575">
            <w:pPr>
              <w:spacing w:line="320" w:lineRule="exact"/>
              <w:jc w:val="center"/>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评审因素</w:t>
            </w:r>
          </w:p>
        </w:tc>
        <w:tc>
          <w:tcPr>
            <w:tcW w:w="5262" w:type="dxa"/>
            <w:tcBorders>
              <w:top w:val="single" w:color="auto" w:sz="4" w:space="0"/>
              <w:left w:val="single" w:color="auto" w:sz="4" w:space="0"/>
              <w:bottom w:val="single" w:color="auto" w:sz="4" w:space="0"/>
              <w:right w:val="single" w:color="auto" w:sz="4" w:space="0"/>
            </w:tcBorders>
            <w:vAlign w:val="center"/>
          </w:tcPr>
          <w:p w14:paraId="02F9ACD9">
            <w:pPr>
              <w:spacing w:line="320" w:lineRule="exact"/>
              <w:jc w:val="center"/>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评审标准</w:t>
            </w:r>
          </w:p>
        </w:tc>
      </w:tr>
      <w:tr w14:paraId="64CEBE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834" w:type="dxa"/>
            <w:vMerge w:val="restart"/>
            <w:tcBorders>
              <w:top w:val="single" w:color="auto" w:sz="4" w:space="0"/>
              <w:right w:val="single" w:color="auto" w:sz="4" w:space="0"/>
            </w:tcBorders>
            <w:vAlign w:val="center"/>
          </w:tcPr>
          <w:p w14:paraId="406A1B7D">
            <w:pPr>
              <w:spacing w:line="320" w:lineRule="exact"/>
              <w:jc w:val="center"/>
              <w:rPr>
                <w:rFonts w:hint="eastAsia" w:ascii="宋体" w:hAnsi="宋体" w:eastAsia="宋体" w:cs="宋体"/>
                <w:b/>
                <w:color w:val="auto"/>
                <w:spacing w:val="6"/>
                <w:sz w:val="21"/>
                <w:szCs w:val="21"/>
                <w:highlight w:val="none"/>
              </w:rPr>
            </w:pPr>
            <w:r>
              <w:rPr>
                <w:rFonts w:hint="eastAsia" w:ascii="宋体" w:hAnsi="宋体" w:eastAsia="宋体" w:cs="宋体"/>
                <w:color w:val="auto"/>
                <w:spacing w:val="6"/>
                <w:sz w:val="21"/>
                <w:szCs w:val="21"/>
                <w:highlight w:val="none"/>
              </w:rPr>
              <w:t>2.1.1</w:t>
            </w:r>
          </w:p>
        </w:tc>
        <w:tc>
          <w:tcPr>
            <w:tcW w:w="930" w:type="dxa"/>
            <w:vMerge w:val="restart"/>
            <w:tcBorders>
              <w:top w:val="single" w:color="auto" w:sz="4" w:space="0"/>
              <w:right w:val="single" w:color="auto" w:sz="4" w:space="0"/>
            </w:tcBorders>
            <w:vAlign w:val="center"/>
          </w:tcPr>
          <w:p w14:paraId="368E0967">
            <w:pPr>
              <w:spacing w:line="320" w:lineRule="exact"/>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形式</w:t>
            </w:r>
          </w:p>
          <w:p w14:paraId="6E099DCC">
            <w:pPr>
              <w:spacing w:line="320" w:lineRule="exact"/>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评审</w:t>
            </w:r>
          </w:p>
        </w:tc>
        <w:tc>
          <w:tcPr>
            <w:tcW w:w="2613" w:type="dxa"/>
            <w:tcBorders>
              <w:top w:val="single" w:color="auto" w:sz="4" w:space="0"/>
              <w:left w:val="single" w:color="auto" w:sz="4" w:space="0"/>
              <w:bottom w:val="single" w:color="auto" w:sz="4" w:space="0"/>
              <w:right w:val="single" w:color="auto" w:sz="4" w:space="0"/>
            </w:tcBorders>
            <w:vAlign w:val="center"/>
          </w:tcPr>
          <w:p w14:paraId="73EE4F0F">
            <w:pPr>
              <w:spacing w:line="320" w:lineRule="exact"/>
              <w:jc w:val="center"/>
              <w:rPr>
                <w:rFonts w:hint="eastAsia" w:ascii="宋体" w:hAnsi="宋体" w:eastAsia="宋体" w:cs="宋体"/>
                <w:b/>
                <w:color w:val="auto"/>
                <w:spacing w:val="6"/>
                <w:sz w:val="21"/>
                <w:szCs w:val="21"/>
                <w:highlight w:val="none"/>
              </w:rPr>
            </w:pPr>
            <w:r>
              <w:rPr>
                <w:rFonts w:hint="eastAsia" w:ascii="宋体" w:hAnsi="宋体" w:eastAsia="宋体" w:cs="宋体"/>
                <w:color w:val="auto"/>
                <w:spacing w:val="6"/>
                <w:sz w:val="21"/>
                <w:szCs w:val="21"/>
                <w:highlight w:val="none"/>
              </w:rPr>
              <w:t>投标人名称</w:t>
            </w:r>
          </w:p>
        </w:tc>
        <w:tc>
          <w:tcPr>
            <w:tcW w:w="5262" w:type="dxa"/>
            <w:tcBorders>
              <w:top w:val="single" w:color="auto" w:sz="4" w:space="0"/>
              <w:left w:val="single" w:color="auto" w:sz="4" w:space="0"/>
              <w:bottom w:val="single" w:color="auto" w:sz="4" w:space="0"/>
              <w:right w:val="single" w:color="auto" w:sz="4" w:space="0"/>
            </w:tcBorders>
            <w:vAlign w:val="center"/>
          </w:tcPr>
          <w:p w14:paraId="008DB460">
            <w:pPr>
              <w:jc w:val="left"/>
              <w:rPr>
                <w:rFonts w:hint="eastAsia" w:ascii="宋体" w:hAnsi="宋体" w:eastAsia="宋体" w:cs="宋体"/>
                <w:b/>
                <w:color w:val="auto"/>
                <w:spacing w:val="6"/>
                <w:sz w:val="21"/>
                <w:szCs w:val="21"/>
                <w:highlight w:val="none"/>
              </w:rPr>
            </w:pPr>
            <w:r>
              <w:rPr>
                <w:rFonts w:hint="eastAsia" w:ascii="宋体" w:hAnsi="宋体" w:eastAsia="宋体" w:cs="宋体"/>
                <w:color w:val="auto"/>
                <w:spacing w:val="6"/>
                <w:sz w:val="21"/>
                <w:szCs w:val="21"/>
                <w:highlight w:val="none"/>
              </w:rPr>
              <w:t>与营业执照或</w:t>
            </w:r>
            <w:r>
              <w:rPr>
                <w:rFonts w:hint="eastAsia" w:ascii="宋体" w:hAnsi="宋体" w:eastAsia="宋体" w:cs="宋体"/>
                <w:color w:val="auto"/>
                <w:spacing w:val="6"/>
                <w:sz w:val="21"/>
                <w:szCs w:val="21"/>
                <w:highlight w:val="none"/>
                <w:lang w:val="en-US" w:eastAsia="zh-CN"/>
              </w:rPr>
              <w:t>其他证明材料</w:t>
            </w:r>
            <w:r>
              <w:rPr>
                <w:rFonts w:hint="eastAsia" w:ascii="宋体" w:hAnsi="宋体" w:eastAsia="宋体" w:cs="宋体"/>
                <w:color w:val="auto"/>
                <w:spacing w:val="6"/>
                <w:sz w:val="21"/>
                <w:szCs w:val="21"/>
                <w:highlight w:val="none"/>
              </w:rPr>
              <w:t>一致</w:t>
            </w:r>
          </w:p>
        </w:tc>
      </w:tr>
      <w:tr w14:paraId="600B9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834" w:type="dxa"/>
            <w:vMerge w:val="continue"/>
            <w:tcBorders>
              <w:right w:val="single" w:color="auto" w:sz="4" w:space="0"/>
            </w:tcBorders>
            <w:vAlign w:val="center"/>
          </w:tcPr>
          <w:p w14:paraId="700197F5">
            <w:pPr>
              <w:spacing w:line="320" w:lineRule="exact"/>
              <w:jc w:val="center"/>
              <w:rPr>
                <w:rFonts w:hint="eastAsia" w:ascii="宋体" w:hAnsi="宋体" w:eastAsia="宋体" w:cs="宋体"/>
                <w:b/>
                <w:color w:val="auto"/>
                <w:spacing w:val="6"/>
                <w:sz w:val="21"/>
                <w:szCs w:val="21"/>
                <w:highlight w:val="none"/>
              </w:rPr>
            </w:pPr>
          </w:p>
        </w:tc>
        <w:tc>
          <w:tcPr>
            <w:tcW w:w="930" w:type="dxa"/>
            <w:vMerge w:val="continue"/>
            <w:tcBorders>
              <w:right w:val="single" w:color="auto" w:sz="4" w:space="0"/>
            </w:tcBorders>
            <w:vAlign w:val="center"/>
          </w:tcPr>
          <w:p w14:paraId="4BC2E167">
            <w:pPr>
              <w:spacing w:line="320" w:lineRule="exact"/>
              <w:jc w:val="center"/>
              <w:rPr>
                <w:rFonts w:hint="eastAsia" w:ascii="宋体" w:hAnsi="宋体" w:eastAsia="宋体" w:cs="宋体"/>
                <w:color w:val="auto"/>
                <w:spacing w:val="6"/>
                <w:sz w:val="21"/>
                <w:szCs w:val="21"/>
                <w:highlight w:val="none"/>
              </w:rPr>
            </w:pPr>
          </w:p>
        </w:tc>
        <w:tc>
          <w:tcPr>
            <w:tcW w:w="2613" w:type="dxa"/>
            <w:tcBorders>
              <w:top w:val="single" w:color="auto" w:sz="4" w:space="0"/>
              <w:left w:val="single" w:color="auto" w:sz="4" w:space="0"/>
              <w:bottom w:val="single" w:color="auto" w:sz="4" w:space="0"/>
              <w:right w:val="single" w:color="auto" w:sz="4" w:space="0"/>
            </w:tcBorders>
          </w:tcPr>
          <w:p w14:paraId="4A716725">
            <w:pPr>
              <w:jc w:val="center"/>
              <w:rPr>
                <w:rFonts w:hint="eastAsia" w:ascii="宋体" w:hAnsi="宋体" w:eastAsia="宋体" w:cs="宋体"/>
                <w:b/>
                <w:color w:val="auto"/>
                <w:spacing w:val="6"/>
                <w:sz w:val="21"/>
                <w:szCs w:val="21"/>
                <w:highlight w:val="none"/>
              </w:rPr>
            </w:pPr>
            <w:r>
              <w:rPr>
                <w:rFonts w:hint="eastAsia" w:ascii="宋体" w:hAnsi="宋体" w:eastAsia="宋体" w:cs="宋体"/>
                <w:color w:val="auto"/>
                <w:spacing w:val="6"/>
                <w:sz w:val="21"/>
                <w:szCs w:val="21"/>
                <w:highlight w:val="none"/>
              </w:rPr>
              <w:t>投标文件签字盖章</w:t>
            </w:r>
          </w:p>
        </w:tc>
        <w:tc>
          <w:tcPr>
            <w:tcW w:w="5262" w:type="dxa"/>
            <w:tcBorders>
              <w:top w:val="single" w:color="auto" w:sz="4" w:space="0"/>
              <w:left w:val="single" w:color="auto" w:sz="4" w:space="0"/>
              <w:bottom w:val="single" w:color="auto" w:sz="4" w:space="0"/>
              <w:right w:val="single" w:color="auto" w:sz="4" w:space="0"/>
            </w:tcBorders>
          </w:tcPr>
          <w:p w14:paraId="2C84A0C2">
            <w:pPr>
              <w:jc w:val="left"/>
              <w:rPr>
                <w:rFonts w:hint="eastAsia" w:ascii="宋体" w:hAnsi="宋体" w:eastAsia="宋体" w:cs="宋体"/>
                <w:b/>
                <w:color w:val="auto"/>
                <w:spacing w:val="6"/>
                <w:sz w:val="21"/>
                <w:szCs w:val="21"/>
                <w:highlight w:val="none"/>
              </w:rPr>
            </w:pPr>
            <w:r>
              <w:rPr>
                <w:rFonts w:hint="eastAsia" w:ascii="宋体" w:hAnsi="宋体" w:eastAsia="宋体" w:cs="宋体"/>
                <w:color w:val="auto"/>
                <w:spacing w:val="6"/>
                <w:sz w:val="21"/>
                <w:szCs w:val="21"/>
                <w:highlight w:val="none"/>
              </w:rPr>
              <w:t>符合第二章“投标人须知”第3.7.3项规定</w:t>
            </w:r>
          </w:p>
        </w:tc>
      </w:tr>
      <w:tr w14:paraId="7FAD3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834" w:type="dxa"/>
            <w:vMerge w:val="continue"/>
            <w:tcBorders>
              <w:bottom w:val="single" w:color="auto" w:sz="4" w:space="0"/>
              <w:right w:val="single" w:color="auto" w:sz="4" w:space="0"/>
            </w:tcBorders>
            <w:vAlign w:val="center"/>
          </w:tcPr>
          <w:p w14:paraId="298837FD">
            <w:pPr>
              <w:spacing w:line="320" w:lineRule="exact"/>
              <w:jc w:val="center"/>
              <w:rPr>
                <w:rFonts w:hint="eastAsia" w:ascii="宋体" w:hAnsi="宋体" w:eastAsia="宋体" w:cs="宋体"/>
                <w:b/>
                <w:color w:val="auto"/>
                <w:spacing w:val="6"/>
                <w:sz w:val="21"/>
                <w:szCs w:val="21"/>
                <w:highlight w:val="none"/>
              </w:rPr>
            </w:pPr>
          </w:p>
        </w:tc>
        <w:tc>
          <w:tcPr>
            <w:tcW w:w="930" w:type="dxa"/>
            <w:vMerge w:val="continue"/>
            <w:tcBorders>
              <w:bottom w:val="single" w:color="auto" w:sz="4" w:space="0"/>
              <w:right w:val="single" w:color="auto" w:sz="4" w:space="0"/>
            </w:tcBorders>
            <w:vAlign w:val="center"/>
          </w:tcPr>
          <w:p w14:paraId="26E13750">
            <w:pPr>
              <w:spacing w:line="320" w:lineRule="exact"/>
              <w:jc w:val="center"/>
              <w:rPr>
                <w:rFonts w:hint="eastAsia" w:ascii="宋体" w:hAnsi="宋体" w:eastAsia="宋体" w:cs="宋体"/>
                <w:color w:val="auto"/>
                <w:spacing w:val="6"/>
                <w:sz w:val="21"/>
                <w:szCs w:val="21"/>
                <w:highlight w:val="none"/>
              </w:rPr>
            </w:pPr>
          </w:p>
        </w:tc>
        <w:tc>
          <w:tcPr>
            <w:tcW w:w="2613" w:type="dxa"/>
            <w:tcBorders>
              <w:top w:val="single" w:color="auto" w:sz="4" w:space="0"/>
              <w:left w:val="single" w:color="auto" w:sz="4" w:space="0"/>
              <w:bottom w:val="single" w:color="auto" w:sz="4" w:space="0"/>
              <w:right w:val="single" w:color="auto" w:sz="4" w:space="0"/>
            </w:tcBorders>
            <w:vAlign w:val="center"/>
          </w:tcPr>
          <w:p w14:paraId="00C8E9BF">
            <w:pPr>
              <w:spacing w:line="320" w:lineRule="exact"/>
              <w:jc w:val="center"/>
              <w:rPr>
                <w:rFonts w:hint="eastAsia" w:ascii="宋体" w:hAnsi="宋体" w:eastAsia="宋体" w:cs="宋体"/>
                <w:b/>
                <w:color w:val="auto"/>
                <w:spacing w:val="6"/>
                <w:sz w:val="21"/>
                <w:szCs w:val="21"/>
                <w:highlight w:val="none"/>
              </w:rPr>
            </w:pPr>
            <w:r>
              <w:rPr>
                <w:rFonts w:hint="eastAsia" w:ascii="宋体" w:hAnsi="宋体" w:eastAsia="宋体" w:cs="宋体"/>
                <w:color w:val="auto"/>
                <w:spacing w:val="6"/>
                <w:sz w:val="21"/>
                <w:szCs w:val="21"/>
                <w:highlight w:val="none"/>
              </w:rPr>
              <w:t>投标报价</w:t>
            </w:r>
          </w:p>
        </w:tc>
        <w:tc>
          <w:tcPr>
            <w:tcW w:w="5262" w:type="dxa"/>
            <w:tcBorders>
              <w:top w:val="single" w:color="auto" w:sz="4" w:space="0"/>
              <w:left w:val="single" w:color="auto" w:sz="4" w:space="0"/>
              <w:bottom w:val="single" w:color="auto" w:sz="4" w:space="0"/>
              <w:right w:val="single" w:color="auto" w:sz="4" w:space="0"/>
            </w:tcBorders>
            <w:vAlign w:val="center"/>
          </w:tcPr>
          <w:p w14:paraId="7C470DFA">
            <w:pPr>
              <w:jc w:val="left"/>
              <w:rPr>
                <w:rFonts w:hint="eastAsia" w:ascii="宋体" w:hAnsi="宋体" w:eastAsia="宋体" w:cs="宋体"/>
                <w:b/>
                <w:color w:val="auto"/>
                <w:spacing w:val="6"/>
                <w:sz w:val="21"/>
                <w:szCs w:val="21"/>
                <w:highlight w:val="none"/>
              </w:rPr>
            </w:pPr>
            <w:r>
              <w:rPr>
                <w:rFonts w:hint="eastAsia" w:ascii="宋体" w:hAnsi="宋体" w:eastAsia="宋体" w:cs="宋体"/>
                <w:color w:val="auto"/>
                <w:spacing w:val="6"/>
                <w:sz w:val="21"/>
                <w:szCs w:val="21"/>
                <w:highlight w:val="none"/>
              </w:rPr>
              <w:t>符合第二章“投标人须知”第3.2.4项规定</w:t>
            </w:r>
          </w:p>
        </w:tc>
      </w:tr>
      <w:tr w14:paraId="71CB8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834" w:type="dxa"/>
            <w:vMerge w:val="restart"/>
            <w:tcBorders>
              <w:right w:val="single" w:color="auto" w:sz="4" w:space="0"/>
            </w:tcBorders>
            <w:vAlign w:val="center"/>
          </w:tcPr>
          <w:p w14:paraId="1A56D996">
            <w:pPr>
              <w:spacing w:line="320" w:lineRule="exact"/>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2.1.2</w:t>
            </w:r>
          </w:p>
        </w:tc>
        <w:tc>
          <w:tcPr>
            <w:tcW w:w="930" w:type="dxa"/>
            <w:vMerge w:val="restart"/>
            <w:tcBorders>
              <w:right w:val="single" w:color="auto" w:sz="4" w:space="0"/>
            </w:tcBorders>
            <w:vAlign w:val="center"/>
          </w:tcPr>
          <w:p w14:paraId="398869E2">
            <w:pPr>
              <w:spacing w:line="320" w:lineRule="exact"/>
              <w:jc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rPr>
              <w:t>资格审</w:t>
            </w:r>
            <w:r>
              <w:rPr>
                <w:rFonts w:hint="eastAsia" w:ascii="宋体" w:hAnsi="宋体" w:eastAsia="宋体" w:cs="宋体"/>
                <w:color w:val="auto"/>
                <w:spacing w:val="6"/>
                <w:sz w:val="21"/>
                <w:szCs w:val="21"/>
                <w:highlight w:val="none"/>
                <w:lang w:val="en-US" w:eastAsia="zh-CN"/>
              </w:rPr>
              <w:t>查</w:t>
            </w:r>
          </w:p>
        </w:tc>
        <w:tc>
          <w:tcPr>
            <w:tcW w:w="2613" w:type="dxa"/>
            <w:tcBorders>
              <w:top w:val="single" w:color="auto" w:sz="4" w:space="0"/>
              <w:left w:val="single" w:color="auto" w:sz="4" w:space="0"/>
              <w:bottom w:val="single" w:color="auto" w:sz="4" w:space="0"/>
              <w:right w:val="single" w:color="auto" w:sz="4" w:space="0"/>
            </w:tcBorders>
            <w:vAlign w:val="center"/>
          </w:tcPr>
          <w:p w14:paraId="7E26366D">
            <w:pPr>
              <w:spacing w:line="320" w:lineRule="exact"/>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独立承担民事责任的能力</w:t>
            </w:r>
          </w:p>
        </w:tc>
        <w:tc>
          <w:tcPr>
            <w:tcW w:w="5262" w:type="dxa"/>
            <w:tcBorders>
              <w:top w:val="single" w:color="auto" w:sz="4" w:space="0"/>
              <w:left w:val="single" w:color="auto" w:sz="4" w:space="0"/>
              <w:bottom w:val="single" w:color="auto" w:sz="4" w:space="0"/>
              <w:right w:val="single" w:color="auto" w:sz="4" w:space="0"/>
            </w:tcBorders>
            <w:vAlign w:val="center"/>
          </w:tcPr>
          <w:p w14:paraId="4DA881CE">
            <w:pPr>
              <w:spacing w:line="320" w:lineRule="exact"/>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提供营业执照或</w:t>
            </w:r>
            <w:r>
              <w:rPr>
                <w:rFonts w:hint="eastAsia" w:ascii="宋体" w:hAnsi="宋体" w:eastAsia="宋体" w:cs="宋体"/>
                <w:color w:val="auto"/>
                <w:spacing w:val="6"/>
                <w:sz w:val="21"/>
                <w:szCs w:val="21"/>
                <w:highlight w:val="none"/>
                <w:lang w:val="en-US" w:eastAsia="zh-CN"/>
              </w:rPr>
              <w:t>其他证明材料</w:t>
            </w:r>
            <w:r>
              <w:rPr>
                <w:rFonts w:hint="eastAsia" w:ascii="宋体" w:hAnsi="宋体" w:eastAsia="宋体" w:cs="宋体"/>
                <w:color w:val="auto"/>
                <w:spacing w:val="6"/>
                <w:sz w:val="21"/>
                <w:szCs w:val="21"/>
                <w:highlight w:val="none"/>
              </w:rPr>
              <w:t>扫描件</w:t>
            </w:r>
          </w:p>
        </w:tc>
      </w:tr>
      <w:tr w14:paraId="2E5DC1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1" w:hRule="atLeast"/>
          <w:jc w:val="center"/>
        </w:trPr>
        <w:tc>
          <w:tcPr>
            <w:tcW w:w="834" w:type="dxa"/>
            <w:vMerge w:val="continue"/>
            <w:tcBorders>
              <w:right w:val="single" w:color="auto" w:sz="4" w:space="0"/>
            </w:tcBorders>
            <w:vAlign w:val="center"/>
          </w:tcPr>
          <w:p w14:paraId="7D7341FE">
            <w:pPr>
              <w:spacing w:line="320" w:lineRule="exact"/>
              <w:jc w:val="center"/>
              <w:rPr>
                <w:rFonts w:hint="eastAsia" w:ascii="宋体" w:hAnsi="宋体" w:eastAsia="宋体" w:cs="宋体"/>
                <w:color w:val="auto"/>
                <w:spacing w:val="6"/>
                <w:sz w:val="21"/>
                <w:szCs w:val="21"/>
                <w:highlight w:val="none"/>
              </w:rPr>
            </w:pPr>
          </w:p>
        </w:tc>
        <w:tc>
          <w:tcPr>
            <w:tcW w:w="930" w:type="dxa"/>
            <w:vMerge w:val="continue"/>
            <w:tcBorders>
              <w:right w:val="single" w:color="auto" w:sz="4" w:space="0"/>
            </w:tcBorders>
            <w:vAlign w:val="center"/>
          </w:tcPr>
          <w:p w14:paraId="4C914D21">
            <w:pPr>
              <w:spacing w:line="320" w:lineRule="exact"/>
              <w:jc w:val="center"/>
              <w:rPr>
                <w:rFonts w:hint="eastAsia" w:ascii="宋体" w:hAnsi="宋体" w:eastAsia="宋体" w:cs="宋体"/>
                <w:color w:val="auto"/>
                <w:spacing w:val="6"/>
                <w:sz w:val="21"/>
                <w:szCs w:val="21"/>
                <w:highlight w:val="none"/>
              </w:rPr>
            </w:pPr>
          </w:p>
        </w:tc>
        <w:tc>
          <w:tcPr>
            <w:tcW w:w="2613" w:type="dxa"/>
            <w:tcBorders>
              <w:top w:val="single" w:color="auto" w:sz="4" w:space="0"/>
              <w:left w:val="single" w:color="auto" w:sz="4" w:space="0"/>
              <w:bottom w:val="single" w:color="auto" w:sz="4" w:space="0"/>
              <w:right w:val="single" w:color="auto" w:sz="4" w:space="0"/>
            </w:tcBorders>
            <w:vAlign w:val="center"/>
          </w:tcPr>
          <w:p w14:paraId="62E807E3">
            <w:pPr>
              <w:spacing w:line="320" w:lineRule="exact"/>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信用承诺函</w:t>
            </w:r>
          </w:p>
        </w:tc>
        <w:tc>
          <w:tcPr>
            <w:tcW w:w="5262" w:type="dxa"/>
            <w:tcBorders>
              <w:top w:val="single" w:color="auto" w:sz="4" w:space="0"/>
              <w:left w:val="single" w:color="auto" w:sz="4" w:space="0"/>
              <w:bottom w:val="single" w:color="auto" w:sz="4" w:space="0"/>
              <w:right w:val="single" w:color="auto" w:sz="4" w:space="0"/>
            </w:tcBorders>
            <w:vAlign w:val="center"/>
          </w:tcPr>
          <w:p w14:paraId="6F4989F5">
            <w:pPr>
              <w:spacing w:line="320" w:lineRule="exact"/>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符合投标人须知前附表的规定</w:t>
            </w:r>
          </w:p>
        </w:tc>
      </w:tr>
      <w:tr w14:paraId="44A495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34" w:type="dxa"/>
            <w:vMerge w:val="continue"/>
            <w:tcBorders>
              <w:right w:val="single" w:color="auto" w:sz="4" w:space="0"/>
            </w:tcBorders>
            <w:vAlign w:val="center"/>
          </w:tcPr>
          <w:p w14:paraId="6709A7AF">
            <w:pPr>
              <w:spacing w:line="320" w:lineRule="exact"/>
              <w:jc w:val="center"/>
              <w:rPr>
                <w:rFonts w:hint="eastAsia" w:ascii="宋体" w:hAnsi="宋体" w:eastAsia="宋体" w:cs="宋体"/>
                <w:color w:val="auto"/>
                <w:spacing w:val="6"/>
                <w:sz w:val="21"/>
                <w:szCs w:val="21"/>
                <w:highlight w:val="none"/>
              </w:rPr>
            </w:pPr>
          </w:p>
        </w:tc>
        <w:tc>
          <w:tcPr>
            <w:tcW w:w="930" w:type="dxa"/>
            <w:vMerge w:val="continue"/>
            <w:tcBorders>
              <w:right w:val="single" w:color="auto" w:sz="4" w:space="0"/>
            </w:tcBorders>
            <w:vAlign w:val="center"/>
          </w:tcPr>
          <w:p w14:paraId="66F3B200">
            <w:pPr>
              <w:spacing w:line="320" w:lineRule="exact"/>
              <w:jc w:val="center"/>
              <w:rPr>
                <w:rFonts w:hint="eastAsia" w:ascii="宋体" w:hAnsi="宋体" w:eastAsia="宋体" w:cs="宋体"/>
                <w:color w:val="auto"/>
                <w:spacing w:val="6"/>
                <w:sz w:val="21"/>
                <w:szCs w:val="21"/>
                <w:highlight w:val="none"/>
              </w:rPr>
            </w:pPr>
          </w:p>
        </w:tc>
        <w:tc>
          <w:tcPr>
            <w:tcW w:w="2613" w:type="dxa"/>
            <w:tcBorders>
              <w:top w:val="single" w:color="auto" w:sz="4" w:space="0"/>
              <w:left w:val="single" w:color="auto" w:sz="4" w:space="0"/>
              <w:bottom w:val="single" w:color="auto" w:sz="4" w:space="0"/>
              <w:right w:val="single" w:color="auto" w:sz="4" w:space="0"/>
            </w:tcBorders>
            <w:vAlign w:val="center"/>
          </w:tcPr>
          <w:p w14:paraId="23A8C1D9">
            <w:pPr>
              <w:spacing w:line="320" w:lineRule="exact"/>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信用查询</w:t>
            </w:r>
          </w:p>
        </w:tc>
        <w:tc>
          <w:tcPr>
            <w:tcW w:w="5262" w:type="dxa"/>
            <w:tcBorders>
              <w:top w:val="single" w:color="auto" w:sz="4" w:space="0"/>
              <w:left w:val="single" w:color="auto" w:sz="4" w:space="0"/>
              <w:bottom w:val="single" w:color="auto" w:sz="4" w:space="0"/>
              <w:right w:val="single" w:color="auto" w:sz="4" w:space="0"/>
            </w:tcBorders>
            <w:vAlign w:val="center"/>
          </w:tcPr>
          <w:p w14:paraId="2E7883DC">
            <w:pPr>
              <w:spacing w:line="320" w:lineRule="exact"/>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采购人或采购代理机构在开标当日查询投标供应商信用记录，以现场查询结果为准。</w:t>
            </w:r>
          </w:p>
        </w:tc>
      </w:tr>
      <w:tr w14:paraId="67364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34" w:type="dxa"/>
            <w:vMerge w:val="restart"/>
            <w:tcBorders>
              <w:top w:val="single" w:color="auto" w:sz="4" w:space="0"/>
              <w:right w:val="single" w:color="auto" w:sz="4" w:space="0"/>
            </w:tcBorders>
            <w:vAlign w:val="center"/>
          </w:tcPr>
          <w:p w14:paraId="0F1B63BD">
            <w:pPr>
              <w:spacing w:line="320" w:lineRule="exact"/>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2.1.3</w:t>
            </w:r>
          </w:p>
        </w:tc>
        <w:tc>
          <w:tcPr>
            <w:tcW w:w="930" w:type="dxa"/>
            <w:vMerge w:val="restart"/>
            <w:tcBorders>
              <w:top w:val="single" w:color="auto" w:sz="4" w:space="0"/>
              <w:right w:val="single" w:color="auto" w:sz="4" w:space="0"/>
            </w:tcBorders>
            <w:vAlign w:val="center"/>
          </w:tcPr>
          <w:p w14:paraId="3A06B595">
            <w:pPr>
              <w:spacing w:line="320" w:lineRule="exact"/>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符合性</w:t>
            </w:r>
          </w:p>
          <w:p w14:paraId="602669C2">
            <w:pPr>
              <w:spacing w:line="320" w:lineRule="exact"/>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审查</w:t>
            </w:r>
          </w:p>
        </w:tc>
        <w:tc>
          <w:tcPr>
            <w:tcW w:w="2613" w:type="dxa"/>
            <w:tcBorders>
              <w:top w:val="single" w:color="auto" w:sz="4" w:space="0"/>
              <w:left w:val="single" w:color="auto" w:sz="4" w:space="0"/>
              <w:bottom w:val="single" w:color="auto" w:sz="4" w:space="0"/>
              <w:right w:val="single" w:color="auto" w:sz="4" w:space="0"/>
            </w:tcBorders>
            <w:vAlign w:val="center"/>
          </w:tcPr>
          <w:p w14:paraId="3C5E3348">
            <w:pPr>
              <w:spacing w:line="320" w:lineRule="exact"/>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标书雷同性分析</w:t>
            </w:r>
          </w:p>
        </w:tc>
        <w:tc>
          <w:tcPr>
            <w:tcW w:w="5262" w:type="dxa"/>
            <w:tcBorders>
              <w:top w:val="single" w:color="auto" w:sz="4" w:space="0"/>
              <w:left w:val="single" w:color="auto" w:sz="4" w:space="0"/>
              <w:bottom w:val="single" w:color="auto" w:sz="4" w:space="0"/>
              <w:right w:val="single" w:color="auto" w:sz="4" w:space="0"/>
            </w:tcBorders>
            <w:vAlign w:val="top"/>
          </w:tcPr>
          <w:p w14:paraId="100C5996">
            <w:pPr>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投标（响应）文件制作机器码不能一致</w:t>
            </w:r>
          </w:p>
        </w:tc>
      </w:tr>
      <w:tr w14:paraId="057D2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34" w:type="dxa"/>
            <w:vMerge w:val="continue"/>
            <w:tcBorders>
              <w:right w:val="single" w:color="auto" w:sz="4" w:space="0"/>
            </w:tcBorders>
            <w:vAlign w:val="center"/>
          </w:tcPr>
          <w:p w14:paraId="7AF31402">
            <w:pPr>
              <w:spacing w:line="320" w:lineRule="exact"/>
              <w:jc w:val="center"/>
              <w:rPr>
                <w:rFonts w:hint="eastAsia" w:ascii="宋体" w:hAnsi="宋体" w:eastAsia="宋体" w:cs="宋体"/>
                <w:color w:val="auto"/>
                <w:spacing w:val="6"/>
                <w:sz w:val="21"/>
                <w:szCs w:val="21"/>
                <w:highlight w:val="none"/>
              </w:rPr>
            </w:pPr>
          </w:p>
        </w:tc>
        <w:tc>
          <w:tcPr>
            <w:tcW w:w="930" w:type="dxa"/>
            <w:vMerge w:val="continue"/>
            <w:tcBorders>
              <w:right w:val="single" w:color="auto" w:sz="4" w:space="0"/>
            </w:tcBorders>
            <w:vAlign w:val="center"/>
          </w:tcPr>
          <w:p w14:paraId="6DA252FA">
            <w:pPr>
              <w:spacing w:line="320" w:lineRule="exact"/>
              <w:jc w:val="center"/>
              <w:rPr>
                <w:rFonts w:hint="eastAsia" w:ascii="宋体" w:hAnsi="宋体" w:eastAsia="宋体" w:cs="宋体"/>
                <w:color w:val="auto"/>
                <w:spacing w:val="6"/>
                <w:sz w:val="21"/>
                <w:szCs w:val="21"/>
                <w:highlight w:val="none"/>
              </w:rPr>
            </w:pP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3A004640">
            <w:pPr>
              <w:spacing w:line="320" w:lineRule="exact"/>
              <w:jc w:val="center"/>
              <w:rPr>
                <w:rFonts w:hint="eastAsia" w:ascii="宋体" w:hAnsi="宋体" w:eastAsia="宋体" w:cs="宋体"/>
                <w:color w:val="auto"/>
                <w:spacing w:val="6"/>
                <w:sz w:val="21"/>
                <w:szCs w:val="21"/>
                <w:highlight w:val="none"/>
                <w:lang w:val="en-US" w:eastAsia="zh-CN" w:bidi="ar-SA"/>
              </w:rPr>
            </w:pPr>
            <w:r>
              <w:rPr>
                <w:rFonts w:hint="eastAsia" w:ascii="宋体" w:hAnsi="宋体" w:eastAsia="宋体" w:cs="宋体"/>
                <w:color w:val="auto"/>
                <w:spacing w:val="6"/>
                <w:sz w:val="21"/>
                <w:szCs w:val="21"/>
                <w:highlight w:val="none"/>
              </w:rPr>
              <w:t>付款方式</w:t>
            </w:r>
          </w:p>
        </w:tc>
        <w:tc>
          <w:tcPr>
            <w:tcW w:w="5262" w:type="dxa"/>
            <w:tcBorders>
              <w:top w:val="single" w:color="auto" w:sz="4" w:space="0"/>
              <w:left w:val="single" w:color="auto" w:sz="4" w:space="0"/>
              <w:bottom w:val="single" w:color="auto" w:sz="4" w:space="0"/>
              <w:right w:val="single" w:color="auto" w:sz="4" w:space="0"/>
            </w:tcBorders>
            <w:shd w:val="clear" w:color="auto" w:fill="auto"/>
            <w:vAlign w:val="top"/>
          </w:tcPr>
          <w:p w14:paraId="1178AA75">
            <w:pPr>
              <w:jc w:val="left"/>
              <w:rPr>
                <w:rFonts w:hint="eastAsia" w:ascii="宋体" w:hAnsi="宋体" w:eastAsia="宋体" w:cs="宋体"/>
                <w:color w:val="auto"/>
                <w:spacing w:val="6"/>
                <w:sz w:val="21"/>
                <w:szCs w:val="21"/>
                <w:highlight w:val="none"/>
                <w:lang w:val="en-US" w:eastAsia="zh-CN" w:bidi="ar-SA"/>
              </w:rPr>
            </w:pPr>
            <w:r>
              <w:rPr>
                <w:rFonts w:hint="eastAsia" w:ascii="宋体" w:hAnsi="宋体" w:eastAsia="宋体" w:cs="宋体"/>
                <w:color w:val="auto"/>
                <w:spacing w:val="6"/>
                <w:sz w:val="21"/>
                <w:szCs w:val="21"/>
                <w:highlight w:val="none"/>
              </w:rPr>
              <w:t>符合第二章“投标人须知”第1.2.2项规定</w:t>
            </w:r>
          </w:p>
        </w:tc>
      </w:tr>
      <w:tr w14:paraId="6AB254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8" w:hRule="atLeast"/>
          <w:jc w:val="center"/>
        </w:trPr>
        <w:tc>
          <w:tcPr>
            <w:tcW w:w="834" w:type="dxa"/>
            <w:vMerge w:val="continue"/>
            <w:tcBorders>
              <w:top w:val="single" w:color="auto" w:sz="4" w:space="0"/>
              <w:right w:val="single" w:color="auto" w:sz="4" w:space="0"/>
            </w:tcBorders>
            <w:vAlign w:val="center"/>
          </w:tcPr>
          <w:p w14:paraId="3BEDCFBD">
            <w:pPr>
              <w:spacing w:line="320" w:lineRule="exact"/>
              <w:jc w:val="center"/>
              <w:rPr>
                <w:rFonts w:hint="eastAsia" w:ascii="宋体" w:hAnsi="宋体" w:eastAsia="宋体" w:cs="宋体"/>
                <w:color w:val="auto"/>
                <w:spacing w:val="6"/>
                <w:sz w:val="21"/>
                <w:szCs w:val="21"/>
                <w:highlight w:val="none"/>
              </w:rPr>
            </w:pPr>
          </w:p>
        </w:tc>
        <w:tc>
          <w:tcPr>
            <w:tcW w:w="930" w:type="dxa"/>
            <w:vMerge w:val="continue"/>
            <w:tcBorders>
              <w:top w:val="single" w:color="auto" w:sz="4" w:space="0"/>
              <w:right w:val="single" w:color="auto" w:sz="4" w:space="0"/>
            </w:tcBorders>
            <w:vAlign w:val="center"/>
          </w:tcPr>
          <w:p w14:paraId="46C32F45">
            <w:pPr>
              <w:spacing w:line="320" w:lineRule="exact"/>
              <w:jc w:val="center"/>
              <w:rPr>
                <w:rFonts w:hint="eastAsia" w:ascii="宋体" w:hAnsi="宋体" w:eastAsia="宋体" w:cs="宋体"/>
                <w:color w:val="auto"/>
                <w:spacing w:val="6"/>
                <w:sz w:val="21"/>
                <w:szCs w:val="21"/>
                <w:highlight w:val="none"/>
              </w:rPr>
            </w:pPr>
          </w:p>
        </w:tc>
        <w:tc>
          <w:tcPr>
            <w:tcW w:w="2613" w:type="dxa"/>
            <w:tcBorders>
              <w:top w:val="single" w:color="auto" w:sz="4" w:space="0"/>
              <w:left w:val="single" w:color="auto" w:sz="4" w:space="0"/>
              <w:bottom w:val="single" w:color="auto" w:sz="4" w:space="0"/>
              <w:right w:val="single" w:color="auto" w:sz="4" w:space="0"/>
            </w:tcBorders>
            <w:vAlign w:val="center"/>
          </w:tcPr>
          <w:p w14:paraId="68BDDEC5">
            <w:pPr>
              <w:spacing w:line="320" w:lineRule="exact"/>
              <w:jc w:val="center"/>
              <w:rPr>
                <w:rFonts w:hint="eastAsia" w:ascii="宋体" w:hAnsi="宋体" w:eastAsia="宋体" w:cs="宋体"/>
                <w:color w:val="auto"/>
                <w:spacing w:val="6"/>
                <w:sz w:val="21"/>
                <w:szCs w:val="21"/>
                <w:highlight w:val="none"/>
              </w:rPr>
            </w:pPr>
            <w:r>
              <w:rPr>
                <w:rFonts w:hint="eastAsia" w:ascii="宋体" w:hAnsi="宋体" w:cs="宋体"/>
                <w:color w:val="auto"/>
                <w:spacing w:val="6"/>
                <w:sz w:val="21"/>
                <w:szCs w:val="21"/>
                <w:highlight w:val="none"/>
                <w:lang w:val="en-US" w:eastAsia="zh-CN"/>
              </w:rPr>
              <w:t>项目工期</w:t>
            </w:r>
          </w:p>
        </w:tc>
        <w:tc>
          <w:tcPr>
            <w:tcW w:w="5262" w:type="dxa"/>
            <w:tcBorders>
              <w:top w:val="single" w:color="auto" w:sz="4" w:space="0"/>
              <w:left w:val="single" w:color="auto" w:sz="4" w:space="0"/>
              <w:bottom w:val="single" w:color="auto" w:sz="4" w:space="0"/>
              <w:right w:val="single" w:color="auto" w:sz="4" w:space="0"/>
            </w:tcBorders>
            <w:vAlign w:val="top"/>
          </w:tcPr>
          <w:p w14:paraId="79955F26">
            <w:pPr>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符合第二章“投标人须知”第1.3.1项规定</w:t>
            </w:r>
          </w:p>
        </w:tc>
      </w:tr>
      <w:tr w14:paraId="2AC126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8" w:hRule="atLeast"/>
          <w:jc w:val="center"/>
        </w:trPr>
        <w:tc>
          <w:tcPr>
            <w:tcW w:w="834" w:type="dxa"/>
            <w:vMerge w:val="continue"/>
            <w:tcBorders>
              <w:top w:val="single" w:color="auto" w:sz="4" w:space="0"/>
              <w:right w:val="single" w:color="auto" w:sz="4" w:space="0"/>
            </w:tcBorders>
            <w:vAlign w:val="center"/>
          </w:tcPr>
          <w:p w14:paraId="02B58E82">
            <w:pPr>
              <w:spacing w:line="320" w:lineRule="exact"/>
              <w:jc w:val="center"/>
              <w:rPr>
                <w:rFonts w:hint="eastAsia" w:ascii="宋体" w:hAnsi="宋体" w:eastAsia="宋体" w:cs="宋体"/>
                <w:color w:val="auto"/>
                <w:spacing w:val="6"/>
                <w:sz w:val="21"/>
                <w:szCs w:val="21"/>
                <w:highlight w:val="none"/>
              </w:rPr>
            </w:pPr>
          </w:p>
        </w:tc>
        <w:tc>
          <w:tcPr>
            <w:tcW w:w="930" w:type="dxa"/>
            <w:vMerge w:val="continue"/>
            <w:tcBorders>
              <w:top w:val="single" w:color="auto" w:sz="4" w:space="0"/>
              <w:right w:val="single" w:color="auto" w:sz="4" w:space="0"/>
            </w:tcBorders>
            <w:vAlign w:val="center"/>
          </w:tcPr>
          <w:p w14:paraId="62CCCB63">
            <w:pPr>
              <w:spacing w:line="320" w:lineRule="exact"/>
              <w:jc w:val="center"/>
              <w:rPr>
                <w:rFonts w:hint="eastAsia" w:ascii="宋体" w:hAnsi="宋体" w:eastAsia="宋体" w:cs="宋体"/>
                <w:color w:val="auto"/>
                <w:spacing w:val="6"/>
                <w:sz w:val="21"/>
                <w:szCs w:val="21"/>
                <w:highlight w:val="none"/>
              </w:rPr>
            </w:pP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14:paraId="31254651">
            <w:pPr>
              <w:spacing w:line="320" w:lineRule="exact"/>
              <w:jc w:val="center"/>
              <w:rPr>
                <w:rFonts w:hint="eastAsia" w:ascii="宋体" w:hAnsi="宋体" w:eastAsia="宋体" w:cs="宋体"/>
                <w:color w:val="auto"/>
                <w:spacing w:val="6"/>
                <w:sz w:val="21"/>
                <w:szCs w:val="21"/>
                <w:highlight w:val="none"/>
                <w:lang w:val="en-US" w:eastAsia="zh-CN" w:bidi="ar-SA"/>
              </w:rPr>
            </w:pPr>
            <w:r>
              <w:rPr>
                <w:rFonts w:hint="eastAsia" w:ascii="宋体" w:hAnsi="宋体" w:cs="宋体"/>
                <w:color w:val="auto"/>
                <w:spacing w:val="6"/>
                <w:sz w:val="21"/>
                <w:szCs w:val="21"/>
                <w:highlight w:val="none"/>
                <w:lang w:val="en-US" w:eastAsia="zh-CN"/>
              </w:rPr>
              <w:t>项目</w:t>
            </w:r>
            <w:r>
              <w:rPr>
                <w:rFonts w:hint="eastAsia" w:ascii="宋体" w:hAnsi="宋体" w:eastAsia="宋体" w:cs="宋体"/>
                <w:color w:val="auto"/>
                <w:spacing w:val="6"/>
                <w:sz w:val="21"/>
                <w:szCs w:val="21"/>
                <w:highlight w:val="none"/>
              </w:rPr>
              <w:t>地点</w:t>
            </w:r>
          </w:p>
        </w:tc>
        <w:tc>
          <w:tcPr>
            <w:tcW w:w="5262" w:type="dxa"/>
            <w:tcBorders>
              <w:top w:val="single" w:color="auto" w:sz="4" w:space="0"/>
              <w:left w:val="single" w:color="auto" w:sz="4" w:space="0"/>
              <w:bottom w:val="single" w:color="auto" w:sz="4" w:space="0"/>
              <w:right w:val="single" w:color="auto" w:sz="4" w:space="0"/>
            </w:tcBorders>
            <w:shd w:val="clear" w:color="auto" w:fill="auto"/>
            <w:vAlign w:val="top"/>
          </w:tcPr>
          <w:p w14:paraId="20BA18FC">
            <w:pPr>
              <w:jc w:val="left"/>
              <w:rPr>
                <w:rFonts w:hint="eastAsia" w:ascii="宋体" w:hAnsi="宋体" w:eastAsia="宋体" w:cs="宋体"/>
                <w:color w:val="auto"/>
                <w:spacing w:val="6"/>
                <w:sz w:val="21"/>
                <w:szCs w:val="21"/>
                <w:highlight w:val="none"/>
                <w:lang w:val="en-US" w:eastAsia="zh-CN" w:bidi="ar-SA"/>
              </w:rPr>
            </w:pPr>
            <w:r>
              <w:rPr>
                <w:rFonts w:hint="eastAsia" w:ascii="宋体" w:hAnsi="宋体" w:eastAsia="宋体" w:cs="宋体"/>
                <w:color w:val="auto"/>
                <w:spacing w:val="6"/>
                <w:sz w:val="21"/>
                <w:szCs w:val="21"/>
                <w:highlight w:val="none"/>
              </w:rPr>
              <w:t>符合第二章“投标人须知”第1.3.2项规定</w:t>
            </w:r>
          </w:p>
        </w:tc>
      </w:tr>
      <w:tr w14:paraId="41242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8" w:hRule="atLeast"/>
          <w:jc w:val="center"/>
        </w:trPr>
        <w:tc>
          <w:tcPr>
            <w:tcW w:w="834" w:type="dxa"/>
            <w:vMerge w:val="continue"/>
            <w:tcBorders>
              <w:top w:val="single" w:color="auto" w:sz="4" w:space="0"/>
              <w:right w:val="single" w:color="auto" w:sz="4" w:space="0"/>
            </w:tcBorders>
            <w:vAlign w:val="center"/>
          </w:tcPr>
          <w:p w14:paraId="388A90B0">
            <w:pPr>
              <w:spacing w:line="320" w:lineRule="exact"/>
              <w:jc w:val="center"/>
              <w:rPr>
                <w:rFonts w:hint="eastAsia" w:ascii="宋体" w:hAnsi="宋体" w:eastAsia="宋体" w:cs="宋体"/>
                <w:color w:val="auto"/>
                <w:spacing w:val="6"/>
                <w:sz w:val="21"/>
                <w:szCs w:val="21"/>
                <w:highlight w:val="none"/>
              </w:rPr>
            </w:pPr>
          </w:p>
        </w:tc>
        <w:tc>
          <w:tcPr>
            <w:tcW w:w="930" w:type="dxa"/>
            <w:vMerge w:val="continue"/>
            <w:tcBorders>
              <w:top w:val="single" w:color="auto" w:sz="4" w:space="0"/>
              <w:right w:val="single" w:color="auto" w:sz="4" w:space="0"/>
            </w:tcBorders>
            <w:vAlign w:val="center"/>
          </w:tcPr>
          <w:p w14:paraId="1EF5B4C8">
            <w:pPr>
              <w:spacing w:line="320" w:lineRule="exact"/>
              <w:jc w:val="center"/>
              <w:rPr>
                <w:rFonts w:hint="eastAsia" w:ascii="宋体" w:hAnsi="宋体" w:eastAsia="宋体" w:cs="宋体"/>
                <w:color w:val="auto"/>
                <w:spacing w:val="6"/>
                <w:sz w:val="21"/>
                <w:szCs w:val="21"/>
                <w:highlight w:val="none"/>
              </w:rPr>
            </w:pPr>
          </w:p>
        </w:tc>
        <w:tc>
          <w:tcPr>
            <w:tcW w:w="2613" w:type="dxa"/>
            <w:tcBorders>
              <w:top w:val="single" w:color="auto" w:sz="4" w:space="0"/>
              <w:left w:val="single" w:color="auto" w:sz="4" w:space="0"/>
              <w:bottom w:val="single" w:color="auto" w:sz="4" w:space="0"/>
              <w:right w:val="single" w:color="auto" w:sz="4" w:space="0"/>
            </w:tcBorders>
            <w:vAlign w:val="center"/>
          </w:tcPr>
          <w:p w14:paraId="6EA6E24F">
            <w:pPr>
              <w:spacing w:line="320" w:lineRule="exact"/>
              <w:jc w:val="center"/>
              <w:rPr>
                <w:rFonts w:hint="default" w:ascii="宋体" w:hAnsi="宋体" w:eastAsia="宋体" w:cs="宋体"/>
                <w:color w:val="auto"/>
                <w:spacing w:val="6"/>
                <w:sz w:val="21"/>
                <w:szCs w:val="21"/>
                <w:highlight w:val="none"/>
                <w:lang w:val="en-US" w:eastAsia="zh-CN"/>
              </w:rPr>
            </w:pPr>
            <w:r>
              <w:rPr>
                <w:rFonts w:hint="eastAsia" w:ascii="宋体" w:hAnsi="宋体" w:cs="宋体"/>
                <w:color w:val="auto"/>
                <w:spacing w:val="6"/>
                <w:sz w:val="21"/>
                <w:szCs w:val="21"/>
                <w:highlight w:val="none"/>
                <w:lang w:val="en-US" w:eastAsia="zh-CN"/>
              </w:rPr>
              <w:t>质保期</w:t>
            </w:r>
          </w:p>
        </w:tc>
        <w:tc>
          <w:tcPr>
            <w:tcW w:w="5262" w:type="dxa"/>
            <w:tcBorders>
              <w:top w:val="single" w:color="auto" w:sz="4" w:space="0"/>
              <w:left w:val="single" w:color="auto" w:sz="4" w:space="0"/>
              <w:bottom w:val="single" w:color="auto" w:sz="4" w:space="0"/>
              <w:right w:val="single" w:color="auto" w:sz="4" w:space="0"/>
            </w:tcBorders>
            <w:vAlign w:val="top"/>
          </w:tcPr>
          <w:p w14:paraId="292AC323">
            <w:pPr>
              <w:jc w:val="left"/>
              <w:rPr>
                <w:rFonts w:hint="default"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rPr>
              <w:t>符合第二章“投标人须知”第1.3.</w:t>
            </w:r>
            <w:r>
              <w:rPr>
                <w:rFonts w:hint="eastAsia" w:ascii="宋体" w:hAnsi="宋体" w:eastAsia="宋体" w:cs="宋体"/>
                <w:color w:val="auto"/>
                <w:spacing w:val="6"/>
                <w:sz w:val="21"/>
                <w:szCs w:val="21"/>
                <w:highlight w:val="none"/>
                <w:lang w:val="en-US" w:eastAsia="zh-CN"/>
              </w:rPr>
              <w:t>4</w:t>
            </w:r>
            <w:r>
              <w:rPr>
                <w:rFonts w:hint="eastAsia" w:ascii="宋体" w:hAnsi="宋体" w:eastAsia="宋体" w:cs="宋体"/>
                <w:color w:val="auto"/>
                <w:spacing w:val="6"/>
                <w:sz w:val="21"/>
                <w:szCs w:val="21"/>
                <w:highlight w:val="none"/>
              </w:rPr>
              <w:t>项规定</w:t>
            </w:r>
          </w:p>
        </w:tc>
      </w:tr>
      <w:tr w14:paraId="6B68C8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8" w:hRule="atLeast"/>
          <w:jc w:val="center"/>
        </w:trPr>
        <w:tc>
          <w:tcPr>
            <w:tcW w:w="834" w:type="dxa"/>
            <w:vMerge w:val="continue"/>
            <w:tcBorders>
              <w:top w:val="single" w:color="auto" w:sz="4" w:space="0"/>
              <w:right w:val="single" w:color="auto" w:sz="4" w:space="0"/>
            </w:tcBorders>
            <w:vAlign w:val="center"/>
          </w:tcPr>
          <w:p w14:paraId="391F1BAD">
            <w:pPr>
              <w:spacing w:line="320" w:lineRule="exact"/>
              <w:jc w:val="center"/>
              <w:rPr>
                <w:rFonts w:hint="eastAsia" w:ascii="宋体" w:hAnsi="宋体" w:eastAsia="宋体" w:cs="宋体"/>
                <w:color w:val="auto"/>
                <w:spacing w:val="6"/>
                <w:sz w:val="21"/>
                <w:szCs w:val="21"/>
                <w:highlight w:val="none"/>
              </w:rPr>
            </w:pPr>
          </w:p>
        </w:tc>
        <w:tc>
          <w:tcPr>
            <w:tcW w:w="930" w:type="dxa"/>
            <w:vMerge w:val="continue"/>
            <w:tcBorders>
              <w:top w:val="single" w:color="auto" w:sz="4" w:space="0"/>
              <w:right w:val="single" w:color="auto" w:sz="4" w:space="0"/>
            </w:tcBorders>
            <w:vAlign w:val="center"/>
          </w:tcPr>
          <w:p w14:paraId="566442AD">
            <w:pPr>
              <w:spacing w:line="320" w:lineRule="exact"/>
              <w:jc w:val="center"/>
              <w:rPr>
                <w:rFonts w:hint="eastAsia" w:ascii="宋体" w:hAnsi="宋体" w:eastAsia="宋体" w:cs="宋体"/>
                <w:color w:val="auto"/>
                <w:spacing w:val="6"/>
                <w:sz w:val="21"/>
                <w:szCs w:val="21"/>
                <w:highlight w:val="none"/>
              </w:rPr>
            </w:pPr>
          </w:p>
        </w:tc>
        <w:tc>
          <w:tcPr>
            <w:tcW w:w="2613" w:type="dxa"/>
            <w:tcBorders>
              <w:top w:val="single" w:color="auto" w:sz="4" w:space="0"/>
              <w:left w:val="single" w:color="auto" w:sz="4" w:space="0"/>
              <w:bottom w:val="single" w:color="auto" w:sz="4" w:space="0"/>
              <w:right w:val="single" w:color="auto" w:sz="4" w:space="0"/>
            </w:tcBorders>
            <w:vAlign w:val="center"/>
          </w:tcPr>
          <w:p w14:paraId="0E67EFDB">
            <w:pPr>
              <w:spacing w:line="320" w:lineRule="exact"/>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投标有效期</w:t>
            </w:r>
          </w:p>
        </w:tc>
        <w:tc>
          <w:tcPr>
            <w:tcW w:w="5262" w:type="dxa"/>
            <w:tcBorders>
              <w:top w:val="single" w:color="auto" w:sz="4" w:space="0"/>
              <w:left w:val="single" w:color="auto" w:sz="4" w:space="0"/>
              <w:bottom w:val="single" w:color="auto" w:sz="4" w:space="0"/>
              <w:right w:val="single" w:color="auto" w:sz="4" w:space="0"/>
            </w:tcBorders>
            <w:vAlign w:val="center"/>
          </w:tcPr>
          <w:p w14:paraId="337207BB">
            <w:pPr>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符合第二章“投标人须知”第3.3.1项规定</w:t>
            </w:r>
          </w:p>
        </w:tc>
      </w:tr>
      <w:tr w14:paraId="20A4E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8" w:hRule="atLeast"/>
          <w:jc w:val="center"/>
        </w:trPr>
        <w:tc>
          <w:tcPr>
            <w:tcW w:w="834" w:type="dxa"/>
            <w:vMerge w:val="continue"/>
            <w:tcBorders>
              <w:top w:val="single" w:color="auto" w:sz="4" w:space="0"/>
              <w:right w:val="single" w:color="auto" w:sz="4" w:space="0"/>
            </w:tcBorders>
            <w:vAlign w:val="center"/>
          </w:tcPr>
          <w:p w14:paraId="60660142">
            <w:pPr>
              <w:spacing w:line="320" w:lineRule="exact"/>
              <w:jc w:val="center"/>
              <w:rPr>
                <w:rFonts w:hint="eastAsia" w:ascii="宋体" w:hAnsi="宋体" w:eastAsia="宋体" w:cs="宋体"/>
                <w:color w:val="auto"/>
                <w:spacing w:val="6"/>
                <w:sz w:val="21"/>
                <w:szCs w:val="21"/>
                <w:highlight w:val="none"/>
              </w:rPr>
            </w:pPr>
          </w:p>
        </w:tc>
        <w:tc>
          <w:tcPr>
            <w:tcW w:w="930" w:type="dxa"/>
            <w:vMerge w:val="continue"/>
            <w:tcBorders>
              <w:top w:val="single" w:color="auto" w:sz="4" w:space="0"/>
              <w:right w:val="single" w:color="auto" w:sz="4" w:space="0"/>
            </w:tcBorders>
            <w:vAlign w:val="center"/>
          </w:tcPr>
          <w:p w14:paraId="69A65A7F">
            <w:pPr>
              <w:spacing w:line="320" w:lineRule="exact"/>
              <w:jc w:val="center"/>
              <w:rPr>
                <w:rFonts w:hint="eastAsia" w:ascii="宋体" w:hAnsi="宋体" w:eastAsia="宋体" w:cs="宋体"/>
                <w:color w:val="auto"/>
                <w:spacing w:val="6"/>
                <w:sz w:val="21"/>
                <w:szCs w:val="21"/>
                <w:highlight w:val="none"/>
              </w:rPr>
            </w:pPr>
          </w:p>
        </w:tc>
        <w:tc>
          <w:tcPr>
            <w:tcW w:w="2613" w:type="dxa"/>
            <w:tcBorders>
              <w:top w:val="single" w:color="auto" w:sz="4" w:space="0"/>
              <w:left w:val="single" w:color="auto" w:sz="4" w:space="0"/>
              <w:bottom w:val="single" w:color="auto" w:sz="4" w:space="0"/>
              <w:right w:val="single" w:color="auto" w:sz="4" w:space="0"/>
            </w:tcBorders>
            <w:vAlign w:val="center"/>
          </w:tcPr>
          <w:p w14:paraId="1407398C">
            <w:pPr>
              <w:spacing w:line="320" w:lineRule="exact"/>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投标承诺函</w:t>
            </w:r>
          </w:p>
        </w:tc>
        <w:tc>
          <w:tcPr>
            <w:tcW w:w="5262" w:type="dxa"/>
            <w:tcBorders>
              <w:top w:val="single" w:color="auto" w:sz="4" w:space="0"/>
              <w:left w:val="single" w:color="auto" w:sz="4" w:space="0"/>
              <w:bottom w:val="single" w:color="auto" w:sz="4" w:space="0"/>
              <w:right w:val="single" w:color="auto" w:sz="4" w:space="0"/>
            </w:tcBorders>
            <w:vAlign w:val="center"/>
          </w:tcPr>
          <w:p w14:paraId="5AD1AC42">
            <w:pPr>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符合第二章“投标人须知”第3.4.1项规定</w:t>
            </w:r>
          </w:p>
        </w:tc>
      </w:tr>
      <w:tr w14:paraId="33763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8" w:hRule="atLeast"/>
          <w:jc w:val="center"/>
        </w:trPr>
        <w:tc>
          <w:tcPr>
            <w:tcW w:w="834" w:type="dxa"/>
            <w:vMerge w:val="continue"/>
            <w:tcBorders>
              <w:right w:val="single" w:color="auto" w:sz="4" w:space="0"/>
            </w:tcBorders>
            <w:vAlign w:val="center"/>
          </w:tcPr>
          <w:p w14:paraId="4DB6209F">
            <w:pPr>
              <w:spacing w:line="320" w:lineRule="exact"/>
              <w:jc w:val="center"/>
              <w:rPr>
                <w:rFonts w:hint="eastAsia" w:ascii="宋体" w:hAnsi="宋体" w:eastAsia="宋体" w:cs="宋体"/>
                <w:color w:val="auto"/>
                <w:spacing w:val="6"/>
                <w:sz w:val="21"/>
                <w:szCs w:val="21"/>
                <w:highlight w:val="none"/>
              </w:rPr>
            </w:pPr>
          </w:p>
        </w:tc>
        <w:tc>
          <w:tcPr>
            <w:tcW w:w="930" w:type="dxa"/>
            <w:vMerge w:val="continue"/>
            <w:tcBorders>
              <w:right w:val="single" w:color="auto" w:sz="4" w:space="0"/>
            </w:tcBorders>
            <w:vAlign w:val="center"/>
          </w:tcPr>
          <w:p w14:paraId="3CC2D7AF">
            <w:pPr>
              <w:spacing w:line="320" w:lineRule="exact"/>
              <w:jc w:val="center"/>
              <w:rPr>
                <w:rFonts w:hint="eastAsia" w:ascii="宋体" w:hAnsi="宋体" w:eastAsia="宋体" w:cs="宋体"/>
                <w:color w:val="auto"/>
                <w:spacing w:val="6"/>
                <w:sz w:val="21"/>
                <w:szCs w:val="21"/>
                <w:highlight w:val="none"/>
              </w:rPr>
            </w:pPr>
          </w:p>
        </w:tc>
        <w:tc>
          <w:tcPr>
            <w:tcW w:w="2613" w:type="dxa"/>
            <w:tcBorders>
              <w:top w:val="single" w:color="auto" w:sz="4" w:space="0"/>
              <w:left w:val="single" w:color="auto" w:sz="4" w:space="0"/>
              <w:bottom w:val="single" w:color="auto" w:sz="4" w:space="0"/>
              <w:right w:val="single" w:color="auto" w:sz="4" w:space="0"/>
            </w:tcBorders>
            <w:vAlign w:val="center"/>
          </w:tcPr>
          <w:p w14:paraId="3CB10838">
            <w:pPr>
              <w:spacing w:line="320" w:lineRule="exact"/>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分包</w:t>
            </w:r>
          </w:p>
        </w:tc>
        <w:tc>
          <w:tcPr>
            <w:tcW w:w="5262" w:type="dxa"/>
            <w:tcBorders>
              <w:top w:val="single" w:color="auto" w:sz="4" w:space="0"/>
              <w:left w:val="single" w:color="auto" w:sz="4" w:space="0"/>
              <w:bottom w:val="single" w:color="auto" w:sz="4" w:space="0"/>
              <w:right w:val="single" w:color="auto" w:sz="4" w:space="0"/>
            </w:tcBorders>
            <w:vAlign w:val="top"/>
          </w:tcPr>
          <w:p w14:paraId="3FC23DDA">
            <w:pPr>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符合第二章“投标人须知”第1.10.1项规定</w:t>
            </w:r>
          </w:p>
        </w:tc>
      </w:tr>
      <w:tr w14:paraId="13BF6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764" w:type="dxa"/>
            <w:gridSpan w:val="2"/>
            <w:tcBorders>
              <w:top w:val="single" w:color="auto" w:sz="4" w:space="0"/>
              <w:bottom w:val="single" w:color="auto" w:sz="4" w:space="0"/>
              <w:right w:val="single" w:color="auto" w:sz="4" w:space="0"/>
            </w:tcBorders>
            <w:vAlign w:val="center"/>
          </w:tcPr>
          <w:p w14:paraId="128645F6">
            <w:pPr>
              <w:spacing w:line="320" w:lineRule="exact"/>
              <w:jc w:val="center"/>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条款号</w:t>
            </w:r>
          </w:p>
        </w:tc>
        <w:tc>
          <w:tcPr>
            <w:tcW w:w="2613" w:type="dxa"/>
            <w:tcBorders>
              <w:top w:val="single" w:color="auto" w:sz="4" w:space="0"/>
              <w:left w:val="single" w:color="auto" w:sz="4" w:space="0"/>
              <w:bottom w:val="single" w:color="auto" w:sz="4" w:space="0"/>
              <w:right w:val="single" w:color="auto" w:sz="4" w:space="0"/>
            </w:tcBorders>
            <w:vAlign w:val="center"/>
          </w:tcPr>
          <w:p w14:paraId="4F487919">
            <w:pPr>
              <w:spacing w:line="320" w:lineRule="exact"/>
              <w:jc w:val="center"/>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条款内容</w:t>
            </w:r>
          </w:p>
        </w:tc>
        <w:tc>
          <w:tcPr>
            <w:tcW w:w="5262" w:type="dxa"/>
            <w:tcBorders>
              <w:top w:val="single" w:color="auto" w:sz="4" w:space="0"/>
              <w:left w:val="single" w:color="auto" w:sz="4" w:space="0"/>
              <w:bottom w:val="single" w:color="auto" w:sz="4" w:space="0"/>
              <w:right w:val="single" w:color="auto" w:sz="4" w:space="0"/>
            </w:tcBorders>
            <w:vAlign w:val="center"/>
          </w:tcPr>
          <w:p w14:paraId="6B098F63">
            <w:pPr>
              <w:spacing w:line="320" w:lineRule="exact"/>
              <w:jc w:val="center"/>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编列内容</w:t>
            </w:r>
          </w:p>
        </w:tc>
      </w:tr>
      <w:tr w14:paraId="0756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1764" w:type="dxa"/>
            <w:gridSpan w:val="2"/>
            <w:tcBorders>
              <w:top w:val="single" w:color="auto" w:sz="4" w:space="0"/>
              <w:bottom w:val="single" w:color="auto" w:sz="4" w:space="0"/>
              <w:right w:val="single" w:color="auto" w:sz="4" w:space="0"/>
            </w:tcBorders>
            <w:vAlign w:val="center"/>
          </w:tcPr>
          <w:p w14:paraId="5375AD78">
            <w:pPr>
              <w:spacing w:line="320" w:lineRule="exact"/>
              <w:jc w:val="center"/>
              <w:rPr>
                <w:rFonts w:hint="eastAsia" w:ascii="宋体" w:hAnsi="宋体" w:eastAsia="宋体" w:cs="宋体"/>
                <w:b/>
                <w:color w:val="auto"/>
                <w:spacing w:val="6"/>
                <w:sz w:val="21"/>
                <w:szCs w:val="21"/>
                <w:highlight w:val="none"/>
              </w:rPr>
            </w:pPr>
            <w:r>
              <w:rPr>
                <w:rFonts w:hint="eastAsia" w:ascii="宋体" w:hAnsi="宋体" w:eastAsia="宋体" w:cs="宋体"/>
                <w:color w:val="auto"/>
                <w:spacing w:val="6"/>
                <w:sz w:val="21"/>
                <w:szCs w:val="21"/>
                <w:highlight w:val="none"/>
              </w:rPr>
              <w:t>2.2.1</w:t>
            </w:r>
          </w:p>
        </w:tc>
        <w:tc>
          <w:tcPr>
            <w:tcW w:w="2613" w:type="dxa"/>
            <w:tcBorders>
              <w:top w:val="single" w:color="auto" w:sz="4" w:space="0"/>
              <w:left w:val="single" w:color="auto" w:sz="4" w:space="0"/>
              <w:bottom w:val="single" w:color="auto" w:sz="4" w:space="0"/>
              <w:right w:val="single" w:color="auto" w:sz="4" w:space="0"/>
            </w:tcBorders>
            <w:vAlign w:val="center"/>
          </w:tcPr>
          <w:p w14:paraId="1AD4AF01">
            <w:pPr>
              <w:spacing w:line="320" w:lineRule="exact"/>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分值构成</w:t>
            </w:r>
          </w:p>
          <w:p w14:paraId="41AEA230">
            <w:pPr>
              <w:spacing w:line="320" w:lineRule="exact"/>
              <w:jc w:val="center"/>
              <w:rPr>
                <w:rFonts w:hint="eastAsia" w:ascii="宋体" w:hAnsi="宋体" w:eastAsia="宋体" w:cs="宋体"/>
                <w:b/>
                <w:bCs/>
                <w:color w:val="auto"/>
                <w:spacing w:val="6"/>
                <w:sz w:val="21"/>
                <w:szCs w:val="21"/>
                <w:highlight w:val="none"/>
              </w:rPr>
            </w:pPr>
            <w:r>
              <w:rPr>
                <w:rFonts w:hint="eastAsia" w:ascii="宋体" w:hAnsi="宋体" w:eastAsia="宋体" w:cs="宋体"/>
                <w:color w:val="auto"/>
                <w:spacing w:val="6"/>
                <w:sz w:val="21"/>
                <w:szCs w:val="21"/>
                <w:highlight w:val="none"/>
              </w:rPr>
              <w:t>(总分100分)</w:t>
            </w:r>
          </w:p>
        </w:tc>
        <w:tc>
          <w:tcPr>
            <w:tcW w:w="5262" w:type="dxa"/>
            <w:tcBorders>
              <w:top w:val="single" w:color="auto" w:sz="4" w:space="0"/>
              <w:left w:val="single" w:color="auto" w:sz="4" w:space="0"/>
              <w:bottom w:val="single" w:color="auto" w:sz="4" w:space="0"/>
              <w:right w:val="single" w:color="auto" w:sz="4" w:space="0"/>
            </w:tcBorders>
            <w:vAlign w:val="center"/>
          </w:tcPr>
          <w:p w14:paraId="0878DF5F">
            <w:pPr>
              <w:spacing w:line="320" w:lineRule="exact"/>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rPr>
              <w:t>投标报价：</w:t>
            </w:r>
            <w:r>
              <w:rPr>
                <w:rFonts w:hint="eastAsia" w:ascii="宋体" w:hAnsi="宋体" w:cs="宋体"/>
                <w:b w:val="0"/>
                <w:bCs/>
                <w:color w:val="auto"/>
                <w:spacing w:val="6"/>
                <w:sz w:val="21"/>
                <w:szCs w:val="21"/>
                <w:highlight w:val="none"/>
                <w:lang w:val="en-US" w:eastAsia="zh-CN"/>
              </w:rPr>
              <w:t>10</w:t>
            </w:r>
            <w:r>
              <w:rPr>
                <w:rFonts w:hint="eastAsia" w:ascii="宋体" w:hAnsi="宋体" w:eastAsia="宋体" w:cs="宋体"/>
                <w:b w:val="0"/>
                <w:bCs/>
                <w:color w:val="auto"/>
                <w:spacing w:val="6"/>
                <w:sz w:val="21"/>
                <w:szCs w:val="21"/>
                <w:highlight w:val="none"/>
              </w:rPr>
              <w:t>分</w:t>
            </w:r>
          </w:p>
          <w:p w14:paraId="4D99D191">
            <w:pPr>
              <w:spacing w:line="320" w:lineRule="exact"/>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lang w:val="en-US" w:eastAsia="zh-CN"/>
              </w:rPr>
              <w:t xml:space="preserve">综 合 </w:t>
            </w:r>
            <w:r>
              <w:rPr>
                <w:rFonts w:hint="eastAsia" w:ascii="宋体" w:hAnsi="宋体" w:eastAsia="宋体" w:cs="宋体"/>
                <w:b w:val="0"/>
                <w:bCs/>
                <w:color w:val="auto"/>
                <w:spacing w:val="6"/>
                <w:sz w:val="21"/>
                <w:szCs w:val="21"/>
                <w:highlight w:val="none"/>
              </w:rPr>
              <w:t>标：</w:t>
            </w:r>
            <w:r>
              <w:rPr>
                <w:rFonts w:hint="eastAsia" w:ascii="宋体" w:hAnsi="宋体" w:cs="宋体"/>
                <w:b w:val="0"/>
                <w:bCs/>
                <w:color w:val="auto"/>
                <w:spacing w:val="6"/>
                <w:sz w:val="21"/>
                <w:szCs w:val="21"/>
                <w:highlight w:val="none"/>
                <w:lang w:val="en-US" w:eastAsia="zh-CN"/>
              </w:rPr>
              <w:t>30</w:t>
            </w:r>
            <w:r>
              <w:rPr>
                <w:rFonts w:hint="eastAsia" w:ascii="宋体" w:hAnsi="宋体" w:eastAsia="宋体" w:cs="宋体"/>
                <w:b w:val="0"/>
                <w:bCs/>
                <w:color w:val="auto"/>
                <w:spacing w:val="6"/>
                <w:sz w:val="21"/>
                <w:szCs w:val="21"/>
                <w:highlight w:val="none"/>
              </w:rPr>
              <w:t>分</w:t>
            </w:r>
          </w:p>
          <w:p w14:paraId="348EFBFA">
            <w:pPr>
              <w:spacing w:line="320" w:lineRule="exact"/>
              <w:rPr>
                <w:rFonts w:hint="eastAsia" w:ascii="宋体" w:hAnsi="宋体" w:eastAsia="宋体" w:cs="宋体"/>
                <w:b/>
                <w:color w:val="auto"/>
                <w:spacing w:val="6"/>
                <w:sz w:val="21"/>
                <w:szCs w:val="21"/>
                <w:highlight w:val="none"/>
              </w:rPr>
            </w:pPr>
            <w:r>
              <w:rPr>
                <w:rFonts w:hint="eastAsia" w:ascii="宋体" w:hAnsi="宋体" w:eastAsia="宋体" w:cs="宋体"/>
                <w:b w:val="0"/>
                <w:bCs/>
                <w:color w:val="auto"/>
                <w:spacing w:val="6"/>
                <w:sz w:val="21"/>
                <w:szCs w:val="21"/>
                <w:highlight w:val="none"/>
              </w:rPr>
              <w:t>技 术 标：</w:t>
            </w:r>
            <w:r>
              <w:rPr>
                <w:rFonts w:hint="eastAsia" w:ascii="宋体" w:hAnsi="宋体" w:cs="宋体"/>
                <w:b w:val="0"/>
                <w:bCs/>
                <w:color w:val="auto"/>
                <w:spacing w:val="6"/>
                <w:sz w:val="21"/>
                <w:szCs w:val="21"/>
                <w:highlight w:val="none"/>
                <w:lang w:val="en-US" w:eastAsia="zh-CN"/>
              </w:rPr>
              <w:t>60</w:t>
            </w:r>
            <w:r>
              <w:rPr>
                <w:rFonts w:hint="eastAsia" w:ascii="宋体" w:hAnsi="宋体" w:eastAsia="宋体" w:cs="宋体"/>
                <w:b w:val="0"/>
                <w:bCs/>
                <w:color w:val="auto"/>
                <w:spacing w:val="6"/>
                <w:sz w:val="21"/>
                <w:szCs w:val="21"/>
                <w:highlight w:val="none"/>
              </w:rPr>
              <w:t>分</w:t>
            </w:r>
          </w:p>
        </w:tc>
      </w:tr>
      <w:tr w14:paraId="0FB6D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764" w:type="dxa"/>
            <w:gridSpan w:val="2"/>
            <w:tcBorders>
              <w:top w:val="single" w:color="auto" w:sz="4" w:space="0"/>
              <w:bottom w:val="single" w:color="auto" w:sz="4" w:space="0"/>
              <w:right w:val="single" w:color="auto" w:sz="4" w:space="0"/>
            </w:tcBorders>
            <w:vAlign w:val="center"/>
          </w:tcPr>
          <w:p w14:paraId="24634186">
            <w:pPr>
              <w:spacing w:line="320" w:lineRule="exact"/>
              <w:jc w:val="center"/>
              <w:rPr>
                <w:rFonts w:hint="eastAsia" w:ascii="宋体" w:hAnsi="宋体" w:eastAsia="宋体" w:cs="宋体"/>
                <w:color w:val="auto"/>
                <w:spacing w:val="6"/>
                <w:sz w:val="21"/>
                <w:szCs w:val="21"/>
                <w:highlight w:val="none"/>
              </w:rPr>
            </w:pPr>
            <w:r>
              <w:rPr>
                <w:rFonts w:hint="eastAsia" w:ascii="宋体" w:hAnsi="宋体" w:eastAsia="宋体" w:cs="宋体"/>
                <w:b/>
                <w:color w:val="auto"/>
                <w:spacing w:val="6"/>
                <w:sz w:val="21"/>
                <w:szCs w:val="21"/>
                <w:highlight w:val="none"/>
              </w:rPr>
              <w:t>条款号</w:t>
            </w:r>
          </w:p>
        </w:tc>
        <w:tc>
          <w:tcPr>
            <w:tcW w:w="2613" w:type="dxa"/>
            <w:tcBorders>
              <w:top w:val="single" w:color="auto" w:sz="4" w:space="0"/>
              <w:left w:val="single" w:color="auto" w:sz="4" w:space="0"/>
              <w:bottom w:val="single" w:color="auto" w:sz="4" w:space="0"/>
              <w:right w:val="single" w:color="auto" w:sz="4" w:space="0"/>
            </w:tcBorders>
            <w:vAlign w:val="center"/>
          </w:tcPr>
          <w:p w14:paraId="4B014076">
            <w:pPr>
              <w:spacing w:line="320" w:lineRule="exact"/>
              <w:jc w:val="center"/>
              <w:rPr>
                <w:rFonts w:hint="eastAsia" w:ascii="宋体" w:hAnsi="宋体" w:eastAsia="宋体" w:cs="宋体"/>
                <w:color w:val="auto"/>
                <w:spacing w:val="6"/>
                <w:sz w:val="21"/>
                <w:szCs w:val="21"/>
                <w:highlight w:val="none"/>
              </w:rPr>
            </w:pPr>
            <w:r>
              <w:rPr>
                <w:rFonts w:hint="eastAsia" w:ascii="宋体" w:hAnsi="宋体" w:eastAsia="宋体" w:cs="宋体"/>
                <w:b/>
                <w:color w:val="auto"/>
                <w:spacing w:val="6"/>
                <w:sz w:val="21"/>
                <w:szCs w:val="21"/>
                <w:highlight w:val="none"/>
              </w:rPr>
              <w:t>评分因素</w:t>
            </w:r>
          </w:p>
        </w:tc>
        <w:tc>
          <w:tcPr>
            <w:tcW w:w="5262" w:type="dxa"/>
            <w:tcBorders>
              <w:top w:val="single" w:color="auto" w:sz="4" w:space="0"/>
              <w:left w:val="single" w:color="auto" w:sz="4" w:space="0"/>
              <w:bottom w:val="single" w:color="auto" w:sz="4" w:space="0"/>
              <w:right w:val="single" w:color="auto" w:sz="4" w:space="0"/>
            </w:tcBorders>
            <w:vAlign w:val="center"/>
          </w:tcPr>
          <w:p w14:paraId="09D73810">
            <w:pPr>
              <w:spacing w:line="320" w:lineRule="exact"/>
              <w:jc w:val="center"/>
              <w:rPr>
                <w:rFonts w:hint="eastAsia" w:ascii="宋体" w:hAnsi="宋体" w:eastAsia="宋体" w:cs="宋体"/>
                <w:color w:val="auto"/>
                <w:spacing w:val="6"/>
                <w:sz w:val="21"/>
                <w:szCs w:val="21"/>
                <w:highlight w:val="none"/>
              </w:rPr>
            </w:pPr>
            <w:r>
              <w:rPr>
                <w:rFonts w:hint="eastAsia" w:ascii="宋体" w:hAnsi="宋体" w:eastAsia="宋体" w:cs="宋体"/>
                <w:b/>
                <w:color w:val="auto"/>
                <w:spacing w:val="6"/>
                <w:sz w:val="21"/>
                <w:szCs w:val="21"/>
                <w:highlight w:val="none"/>
              </w:rPr>
              <w:t>评分标准</w:t>
            </w:r>
          </w:p>
        </w:tc>
      </w:tr>
      <w:tr w14:paraId="722C1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834" w:type="dxa"/>
            <w:tcBorders>
              <w:top w:val="single" w:color="auto" w:sz="4" w:space="0"/>
              <w:bottom w:val="single" w:color="auto" w:sz="4" w:space="0"/>
              <w:right w:val="single" w:color="auto" w:sz="4" w:space="0"/>
            </w:tcBorders>
            <w:vAlign w:val="center"/>
          </w:tcPr>
          <w:p w14:paraId="4049854A">
            <w:pPr>
              <w:spacing w:line="320" w:lineRule="exact"/>
              <w:jc w:val="center"/>
              <w:rPr>
                <w:rFonts w:hint="eastAsia" w:ascii="宋体" w:hAnsi="宋体" w:eastAsia="宋体" w:cs="宋体"/>
                <w:b/>
                <w:color w:val="auto"/>
                <w:spacing w:val="6"/>
                <w:sz w:val="21"/>
                <w:szCs w:val="21"/>
                <w:highlight w:val="none"/>
              </w:rPr>
            </w:pPr>
            <w:r>
              <w:rPr>
                <w:rFonts w:hint="eastAsia" w:ascii="宋体" w:hAnsi="宋体" w:eastAsia="宋体" w:cs="宋体"/>
                <w:color w:val="auto"/>
                <w:spacing w:val="6"/>
                <w:sz w:val="21"/>
                <w:szCs w:val="21"/>
                <w:highlight w:val="none"/>
              </w:rPr>
              <w:t>2.2.2（1）</w:t>
            </w:r>
          </w:p>
        </w:tc>
        <w:tc>
          <w:tcPr>
            <w:tcW w:w="930" w:type="dxa"/>
            <w:tcBorders>
              <w:top w:val="single" w:color="auto" w:sz="4" w:space="0"/>
              <w:left w:val="single" w:color="auto" w:sz="4" w:space="0"/>
              <w:bottom w:val="single" w:color="auto" w:sz="4" w:space="0"/>
              <w:right w:val="single" w:color="auto" w:sz="4" w:space="0"/>
            </w:tcBorders>
            <w:vAlign w:val="center"/>
          </w:tcPr>
          <w:p w14:paraId="50230313">
            <w:pPr>
              <w:spacing w:line="320" w:lineRule="exact"/>
              <w:jc w:val="center"/>
              <w:rPr>
                <w:rFonts w:hint="eastAsia" w:ascii="宋体" w:hAnsi="宋体" w:eastAsia="宋体" w:cs="宋体"/>
                <w:b/>
                <w:color w:val="auto"/>
                <w:spacing w:val="6"/>
                <w:sz w:val="21"/>
                <w:szCs w:val="21"/>
                <w:highlight w:val="none"/>
              </w:rPr>
            </w:pPr>
            <w:r>
              <w:rPr>
                <w:rFonts w:hint="eastAsia" w:ascii="宋体" w:hAnsi="宋体" w:eastAsia="宋体" w:cs="宋体"/>
                <w:color w:val="auto"/>
                <w:spacing w:val="6"/>
                <w:sz w:val="21"/>
                <w:szCs w:val="21"/>
                <w:highlight w:val="none"/>
              </w:rPr>
              <w:t>投标报价评分标准</w:t>
            </w:r>
          </w:p>
        </w:tc>
        <w:tc>
          <w:tcPr>
            <w:tcW w:w="2613" w:type="dxa"/>
            <w:tcBorders>
              <w:top w:val="single" w:color="auto" w:sz="4" w:space="0"/>
              <w:left w:val="single" w:color="auto" w:sz="4" w:space="0"/>
              <w:bottom w:val="single" w:color="auto" w:sz="4" w:space="0"/>
              <w:right w:val="single" w:color="auto" w:sz="4" w:space="0"/>
            </w:tcBorders>
            <w:vAlign w:val="center"/>
          </w:tcPr>
          <w:p w14:paraId="3F6F5AF1">
            <w:pPr>
              <w:spacing w:line="320" w:lineRule="exact"/>
              <w:jc w:val="center"/>
              <w:rPr>
                <w:rFonts w:hint="eastAsia" w:ascii="宋体" w:hAnsi="宋体" w:eastAsia="宋体" w:cs="宋体"/>
                <w:b/>
                <w:bCs/>
                <w:color w:val="auto"/>
                <w:spacing w:val="6"/>
                <w:sz w:val="21"/>
                <w:szCs w:val="21"/>
                <w:highlight w:val="none"/>
              </w:rPr>
            </w:pPr>
            <w:r>
              <w:rPr>
                <w:rFonts w:hint="eastAsia" w:ascii="宋体" w:hAnsi="宋体" w:eastAsia="宋体" w:cs="宋体"/>
                <w:color w:val="auto"/>
                <w:spacing w:val="6"/>
                <w:sz w:val="21"/>
                <w:szCs w:val="21"/>
                <w:highlight w:val="none"/>
              </w:rPr>
              <w:t>投标报价（</w:t>
            </w:r>
            <w:r>
              <w:rPr>
                <w:rFonts w:hint="eastAsia" w:ascii="宋体" w:hAnsi="宋体" w:cs="宋体"/>
                <w:color w:val="auto"/>
                <w:spacing w:val="6"/>
                <w:sz w:val="21"/>
                <w:szCs w:val="21"/>
                <w:highlight w:val="none"/>
                <w:lang w:val="en-US" w:eastAsia="zh-CN"/>
              </w:rPr>
              <w:t>10</w:t>
            </w:r>
            <w:r>
              <w:rPr>
                <w:rFonts w:hint="eastAsia" w:ascii="宋体" w:hAnsi="宋体" w:eastAsia="宋体" w:cs="宋体"/>
                <w:color w:val="auto"/>
                <w:spacing w:val="6"/>
                <w:sz w:val="21"/>
                <w:szCs w:val="21"/>
                <w:highlight w:val="none"/>
              </w:rPr>
              <w:t>分）</w:t>
            </w:r>
          </w:p>
        </w:tc>
        <w:tc>
          <w:tcPr>
            <w:tcW w:w="5262" w:type="dxa"/>
            <w:tcBorders>
              <w:top w:val="single" w:color="auto" w:sz="4" w:space="0"/>
              <w:left w:val="single" w:color="auto" w:sz="4" w:space="0"/>
              <w:bottom w:val="single" w:color="auto" w:sz="4" w:space="0"/>
              <w:right w:val="single" w:color="auto" w:sz="4" w:space="0"/>
            </w:tcBorders>
            <w:vAlign w:val="center"/>
          </w:tcPr>
          <w:p w14:paraId="4321F46E">
            <w:pPr>
              <w:spacing w:line="360" w:lineRule="exact"/>
              <w:jc w:val="left"/>
              <w:rPr>
                <w:rFonts w:eastAsiaTheme="minorEastAsia"/>
                <w:spacing w:val="6"/>
                <w:sz w:val="21"/>
                <w:szCs w:val="21"/>
                <w:highlight w:val="none"/>
              </w:rPr>
            </w:pPr>
            <w:r>
              <w:rPr>
                <w:rFonts w:hint="eastAsia" w:eastAsiaTheme="minorEastAsia"/>
                <w:spacing w:val="6"/>
                <w:sz w:val="21"/>
                <w:szCs w:val="21"/>
                <w:highlight w:val="none"/>
                <w:lang w:val="en-US" w:eastAsia="zh-CN"/>
              </w:rPr>
              <w:t>服务</w:t>
            </w:r>
            <w:r>
              <w:rPr>
                <w:rFonts w:hint="eastAsia" w:eastAsiaTheme="minorEastAsia"/>
                <w:spacing w:val="6"/>
                <w:sz w:val="21"/>
                <w:szCs w:val="21"/>
                <w:highlight w:val="none"/>
              </w:rPr>
              <w:t>全部由小微企业</w:t>
            </w:r>
            <w:r>
              <w:rPr>
                <w:rFonts w:hint="eastAsia" w:eastAsiaTheme="minorEastAsia"/>
                <w:spacing w:val="6"/>
                <w:sz w:val="21"/>
                <w:szCs w:val="21"/>
                <w:highlight w:val="none"/>
                <w:lang w:val="en-US" w:eastAsia="zh-CN"/>
              </w:rPr>
              <w:t>承接</w:t>
            </w:r>
            <w:r>
              <w:rPr>
                <w:rFonts w:hint="eastAsia" w:eastAsiaTheme="minorEastAsia"/>
                <w:spacing w:val="6"/>
                <w:sz w:val="21"/>
                <w:szCs w:val="21"/>
                <w:highlight w:val="none"/>
              </w:rPr>
              <w:t>的，对符合《政府采购促进中小企业发展管理办法》规定的供应商报价给予</w:t>
            </w:r>
            <w:r>
              <w:rPr>
                <w:rFonts w:hint="eastAsia" w:eastAsiaTheme="minorEastAsia"/>
                <w:spacing w:val="6"/>
                <w:sz w:val="21"/>
                <w:szCs w:val="21"/>
                <w:highlight w:val="none"/>
                <w:lang w:val="en-US" w:eastAsia="zh-CN"/>
              </w:rPr>
              <w:t>1</w:t>
            </w:r>
            <w:r>
              <w:rPr>
                <w:rFonts w:hint="eastAsia" w:eastAsiaTheme="minorEastAsia"/>
                <w:spacing w:val="6"/>
                <w:sz w:val="21"/>
                <w:szCs w:val="21"/>
                <w:highlight w:val="none"/>
              </w:rPr>
              <w:t>0%的价格扣除，用扣除后的价格参与评审。大中型企业向一家或者多家小微企业分包的采购项目，对于分包意向约定小微企业的合同份额占到合同总金额30%以上的，对大中型企业的报价给予</w:t>
            </w:r>
            <w:r>
              <w:rPr>
                <w:rFonts w:hint="eastAsia" w:eastAsiaTheme="minorEastAsia"/>
                <w:spacing w:val="6"/>
                <w:sz w:val="21"/>
                <w:szCs w:val="21"/>
                <w:highlight w:val="none"/>
                <w:lang w:val="en-US" w:eastAsia="zh-CN"/>
              </w:rPr>
              <w:t>4</w:t>
            </w:r>
            <w:r>
              <w:rPr>
                <w:rFonts w:hint="eastAsia" w:eastAsiaTheme="minorEastAsia"/>
                <w:spacing w:val="6"/>
                <w:sz w:val="21"/>
                <w:szCs w:val="21"/>
                <w:highlight w:val="none"/>
              </w:rPr>
              <w:t>%的价格扣除，用扣除后的价格参加评审。</w:t>
            </w:r>
          </w:p>
          <w:p w14:paraId="44C2498A">
            <w:pPr>
              <w:spacing w:line="360" w:lineRule="exact"/>
              <w:jc w:val="left"/>
              <w:rPr>
                <w:rFonts w:eastAsiaTheme="minorEastAsia"/>
                <w:spacing w:val="6"/>
                <w:sz w:val="21"/>
                <w:szCs w:val="21"/>
                <w:highlight w:val="none"/>
              </w:rPr>
            </w:pPr>
            <w:r>
              <w:rPr>
                <w:rFonts w:hint="eastAsia" w:eastAsiaTheme="minorEastAsia"/>
                <w:spacing w:val="6"/>
                <w:sz w:val="21"/>
                <w:szCs w:val="21"/>
                <w:highlight w:val="none"/>
              </w:rPr>
              <w:t>评标基准价：满足招标文件要求且评标报价最低的评标报价为评标基准价。</w:t>
            </w:r>
          </w:p>
          <w:p w14:paraId="4BB876F0">
            <w:pPr>
              <w:spacing w:line="360" w:lineRule="exact"/>
              <w:jc w:val="left"/>
              <w:rPr>
                <w:rFonts w:eastAsiaTheme="minorEastAsia"/>
                <w:spacing w:val="6"/>
                <w:sz w:val="21"/>
                <w:szCs w:val="21"/>
                <w:highlight w:val="none"/>
              </w:rPr>
            </w:pPr>
            <w:r>
              <w:rPr>
                <w:rFonts w:hint="eastAsia" w:eastAsiaTheme="minorEastAsia"/>
                <w:spacing w:val="6"/>
                <w:sz w:val="21"/>
                <w:szCs w:val="21"/>
                <w:highlight w:val="none"/>
              </w:rPr>
              <w:t xml:space="preserve">评标报价=投标报价－价格扣除部分 </w:t>
            </w:r>
          </w:p>
          <w:p w14:paraId="126499FB">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cs="Times New Roman" w:eastAsiaTheme="minorEastAsia"/>
                <w:color w:val="auto"/>
                <w:spacing w:val="0"/>
                <w:kern w:val="2"/>
                <w:sz w:val="21"/>
                <w:szCs w:val="21"/>
                <w:highlight w:val="none"/>
                <w:lang w:val="en-US" w:eastAsia="zh-CN" w:bidi="ar-SA"/>
              </w:rPr>
            </w:pPr>
            <w:r>
              <w:rPr>
                <w:rFonts w:hint="eastAsia" w:eastAsiaTheme="minorEastAsia"/>
                <w:spacing w:val="6"/>
                <w:sz w:val="21"/>
                <w:szCs w:val="21"/>
                <w:highlight w:val="none"/>
              </w:rPr>
              <w:t>投标报价得分=</w:t>
            </w:r>
            <w:r>
              <w:rPr>
                <w:rFonts w:hint="eastAsia" w:eastAsiaTheme="minorEastAsia"/>
                <w:spacing w:val="6"/>
                <w:sz w:val="21"/>
                <w:szCs w:val="21"/>
                <w:highlight w:val="none"/>
                <w:lang w:eastAsia="zh-CN"/>
              </w:rPr>
              <w:t>（</w:t>
            </w:r>
            <w:r>
              <w:rPr>
                <w:rFonts w:hint="eastAsia" w:eastAsiaTheme="minorEastAsia"/>
                <w:spacing w:val="6"/>
                <w:sz w:val="21"/>
                <w:szCs w:val="21"/>
                <w:highlight w:val="none"/>
              </w:rPr>
              <w:t>评标基准价</w:t>
            </w:r>
            <w:r>
              <w:rPr>
                <w:rFonts w:hint="eastAsia" w:eastAsiaTheme="minorEastAsia"/>
                <w:spacing w:val="6"/>
                <w:sz w:val="21"/>
                <w:szCs w:val="21"/>
                <w:highlight w:val="none"/>
                <w:lang w:val="en-US" w:eastAsia="zh-CN"/>
              </w:rPr>
              <w:t>/</w:t>
            </w:r>
            <w:r>
              <w:rPr>
                <w:rFonts w:hint="eastAsia" w:eastAsiaTheme="minorEastAsia"/>
                <w:spacing w:val="6"/>
                <w:sz w:val="21"/>
                <w:szCs w:val="21"/>
                <w:highlight w:val="none"/>
              </w:rPr>
              <w:t>评标报价</w:t>
            </w:r>
            <w:r>
              <w:rPr>
                <w:rFonts w:hint="eastAsia" w:eastAsiaTheme="minorEastAsia"/>
                <w:spacing w:val="6"/>
                <w:sz w:val="21"/>
                <w:szCs w:val="21"/>
                <w:highlight w:val="none"/>
                <w:lang w:eastAsia="zh-CN"/>
              </w:rPr>
              <w:t>）</w:t>
            </w:r>
            <w:r>
              <w:rPr>
                <w:rFonts w:hint="eastAsia" w:eastAsiaTheme="minorEastAsia"/>
                <w:spacing w:val="6"/>
                <w:sz w:val="21"/>
                <w:szCs w:val="21"/>
                <w:highlight w:val="none"/>
              </w:rPr>
              <w:t>×</w:t>
            </w:r>
            <w:r>
              <w:rPr>
                <w:rFonts w:hint="eastAsia" w:eastAsiaTheme="minorEastAsia"/>
                <w:spacing w:val="6"/>
                <w:sz w:val="21"/>
                <w:szCs w:val="21"/>
                <w:highlight w:val="none"/>
                <w:lang w:val="en-US" w:eastAsia="zh-CN"/>
              </w:rPr>
              <w:t>1</w:t>
            </w:r>
            <w:r>
              <w:rPr>
                <w:rFonts w:hint="eastAsia" w:eastAsiaTheme="minorEastAsia"/>
                <w:spacing w:val="6"/>
                <w:sz w:val="21"/>
                <w:szCs w:val="21"/>
                <w:highlight w:val="none"/>
              </w:rPr>
              <w:t>0</w:t>
            </w:r>
          </w:p>
          <w:p w14:paraId="0B4A3330">
            <w:pPr>
              <w:spacing w:line="360" w:lineRule="exact"/>
              <w:jc w:val="left"/>
              <w:rPr>
                <w:rFonts w:hint="default" w:ascii="宋体" w:hAnsi="宋体" w:eastAsia="宋体" w:cs="宋体"/>
                <w:b/>
                <w:color w:val="auto"/>
                <w:spacing w:val="6"/>
                <w:sz w:val="21"/>
                <w:szCs w:val="21"/>
                <w:highlight w:val="none"/>
                <w:lang w:val="en-US" w:eastAsia="zh-CN"/>
              </w:rPr>
            </w:pPr>
            <w:r>
              <w:rPr>
                <w:rFonts w:hint="eastAsia" w:ascii="Times New Roman" w:hAnsi="Times New Roman" w:cs="Times New Roman" w:eastAsiaTheme="minorEastAsia"/>
                <w:b/>
                <w:bCs/>
                <w:color w:val="auto"/>
                <w:spacing w:val="0"/>
                <w:kern w:val="2"/>
                <w:sz w:val="21"/>
                <w:szCs w:val="21"/>
                <w:highlight w:val="none"/>
                <w:lang w:val="en-US" w:eastAsia="zh-CN" w:bidi="ar-SA"/>
              </w:rPr>
              <w:t>注：评标委员会认为投标人的</w:t>
            </w:r>
            <w:r>
              <w:rPr>
                <w:rFonts w:hint="eastAsia" w:cs="Times New Roman" w:eastAsiaTheme="minorEastAsia"/>
                <w:b/>
                <w:bCs/>
                <w:color w:val="auto"/>
                <w:spacing w:val="0"/>
                <w:kern w:val="2"/>
                <w:sz w:val="21"/>
                <w:szCs w:val="21"/>
                <w:highlight w:val="none"/>
                <w:lang w:val="en-US" w:eastAsia="zh-CN" w:bidi="ar-SA"/>
              </w:rPr>
              <w:t>投标</w:t>
            </w:r>
            <w:r>
              <w:rPr>
                <w:rFonts w:hint="eastAsia" w:ascii="Times New Roman" w:hAnsi="Times New Roman" w:cs="Times New Roman" w:eastAsiaTheme="minorEastAsia"/>
                <w:b/>
                <w:bCs/>
                <w:color w:val="auto"/>
                <w:spacing w:val="0"/>
                <w:kern w:val="2"/>
                <w:sz w:val="21"/>
                <w:szCs w:val="21"/>
                <w:highlight w:val="none"/>
                <w:lang w:val="en-US" w:eastAsia="zh-CN" w:bidi="ar-SA"/>
              </w:rPr>
              <w:t>报价明显低于其他通过初步</w:t>
            </w:r>
            <w:r>
              <w:rPr>
                <w:rFonts w:hint="eastAsia" w:cs="Times New Roman" w:eastAsiaTheme="minorEastAsia"/>
                <w:b/>
                <w:bCs/>
                <w:color w:val="auto"/>
                <w:spacing w:val="0"/>
                <w:kern w:val="2"/>
                <w:sz w:val="21"/>
                <w:szCs w:val="21"/>
                <w:highlight w:val="none"/>
                <w:lang w:val="en-US" w:eastAsia="zh-CN" w:bidi="ar-SA"/>
              </w:rPr>
              <w:t>评审</w:t>
            </w:r>
            <w:r>
              <w:rPr>
                <w:rFonts w:hint="eastAsia" w:ascii="Times New Roman" w:hAnsi="Times New Roman" w:cs="Times New Roman" w:eastAsiaTheme="minorEastAsia"/>
                <w:b/>
                <w:bCs/>
                <w:color w:val="auto"/>
                <w:spacing w:val="0"/>
                <w:kern w:val="2"/>
                <w:sz w:val="21"/>
                <w:szCs w:val="21"/>
                <w:highlight w:val="none"/>
                <w:lang w:val="en-US" w:eastAsia="zh-CN" w:bidi="ar-SA"/>
              </w:rPr>
              <w:t>投标人</w:t>
            </w:r>
            <w:r>
              <w:rPr>
                <w:rFonts w:hint="eastAsia" w:cs="Times New Roman" w:eastAsiaTheme="minorEastAsia"/>
                <w:b/>
                <w:bCs/>
                <w:color w:val="auto"/>
                <w:spacing w:val="0"/>
                <w:kern w:val="2"/>
                <w:sz w:val="21"/>
                <w:szCs w:val="21"/>
                <w:highlight w:val="none"/>
                <w:lang w:val="en-US" w:eastAsia="zh-CN" w:bidi="ar-SA"/>
              </w:rPr>
              <w:t>投标</w:t>
            </w:r>
            <w:r>
              <w:rPr>
                <w:rFonts w:hint="eastAsia" w:ascii="Times New Roman" w:hAnsi="Times New Roman" w:cs="Times New Roman" w:eastAsiaTheme="minorEastAsia"/>
                <w:b/>
                <w:bCs/>
                <w:color w:val="auto"/>
                <w:spacing w:val="0"/>
                <w:kern w:val="2"/>
                <w:sz w:val="21"/>
                <w:szCs w:val="21"/>
                <w:highlight w:val="none"/>
                <w:lang w:val="en-US" w:eastAsia="zh-CN" w:bidi="ar-SA"/>
              </w:rPr>
              <w:t>报价，有可能影响</w:t>
            </w:r>
            <w:r>
              <w:rPr>
                <w:rFonts w:hint="eastAsia" w:cs="Times New Roman" w:eastAsiaTheme="minorEastAsia"/>
                <w:b/>
                <w:bCs/>
                <w:color w:val="auto"/>
                <w:spacing w:val="0"/>
                <w:kern w:val="2"/>
                <w:sz w:val="21"/>
                <w:szCs w:val="21"/>
                <w:highlight w:val="none"/>
                <w:lang w:val="en-US" w:eastAsia="zh-CN" w:bidi="ar-SA"/>
              </w:rPr>
              <w:t>服务质量</w:t>
            </w:r>
            <w:r>
              <w:rPr>
                <w:rFonts w:hint="eastAsia" w:ascii="Times New Roman" w:hAnsi="Times New Roman" w:cs="Times New Roman" w:eastAsiaTheme="minorEastAsia"/>
                <w:b/>
                <w:bCs/>
                <w:color w:val="auto"/>
                <w:spacing w:val="0"/>
                <w:kern w:val="2"/>
                <w:sz w:val="21"/>
                <w:szCs w:val="21"/>
                <w:highlight w:val="none"/>
                <w:lang w:val="en-US" w:eastAsia="zh-CN" w:bidi="ar-SA"/>
              </w:rPr>
              <w:t>或者不能诚信履约的，应当要求其在评标</w:t>
            </w:r>
            <w:r>
              <w:rPr>
                <w:rFonts w:hint="eastAsia" w:cs="Times New Roman" w:eastAsiaTheme="minorEastAsia"/>
                <w:b/>
                <w:bCs/>
                <w:color w:val="auto"/>
                <w:spacing w:val="0"/>
                <w:kern w:val="2"/>
                <w:sz w:val="21"/>
                <w:szCs w:val="21"/>
                <w:highlight w:val="none"/>
                <w:lang w:val="en-US" w:eastAsia="zh-CN" w:bidi="ar-SA"/>
              </w:rPr>
              <w:t>阶段对报价合理性做出书面说明</w:t>
            </w:r>
            <w:r>
              <w:rPr>
                <w:rFonts w:hint="eastAsia" w:ascii="Times New Roman" w:hAnsi="Times New Roman" w:cs="Times New Roman" w:eastAsiaTheme="minorEastAsia"/>
                <w:b/>
                <w:bCs/>
                <w:color w:val="auto"/>
                <w:spacing w:val="0"/>
                <w:kern w:val="2"/>
                <w:sz w:val="21"/>
                <w:szCs w:val="21"/>
                <w:highlight w:val="none"/>
                <w:lang w:val="en-US" w:eastAsia="zh-CN" w:bidi="ar-SA"/>
              </w:rPr>
              <w:t>，必要时提交相关证明材料；投标人不能证明其报价合理性的，评标委员会将其作为无效投标处理。</w:t>
            </w:r>
          </w:p>
        </w:tc>
      </w:tr>
      <w:tr w14:paraId="15895F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834" w:type="dxa"/>
            <w:vMerge w:val="restart"/>
            <w:tcBorders>
              <w:top w:val="single" w:color="auto" w:sz="4" w:space="0"/>
              <w:right w:val="single" w:color="auto" w:sz="4" w:space="0"/>
            </w:tcBorders>
            <w:vAlign w:val="center"/>
          </w:tcPr>
          <w:p w14:paraId="671B58E8">
            <w:pPr>
              <w:spacing w:line="320" w:lineRule="exact"/>
              <w:jc w:val="center"/>
              <w:rPr>
                <w:rFonts w:hint="eastAsia" w:ascii="宋体" w:hAnsi="宋体" w:eastAsia="宋体" w:cs="宋体"/>
                <w:b/>
                <w:color w:val="auto"/>
                <w:spacing w:val="6"/>
                <w:sz w:val="21"/>
                <w:szCs w:val="21"/>
                <w:highlight w:val="none"/>
              </w:rPr>
            </w:pPr>
            <w:r>
              <w:rPr>
                <w:rFonts w:hint="eastAsia" w:ascii="宋体" w:hAnsi="宋体" w:eastAsia="宋体" w:cs="宋体"/>
                <w:color w:val="auto"/>
                <w:spacing w:val="6"/>
                <w:sz w:val="21"/>
                <w:szCs w:val="21"/>
                <w:highlight w:val="none"/>
              </w:rPr>
              <w:t>2.2.2（2）</w:t>
            </w:r>
          </w:p>
        </w:tc>
        <w:tc>
          <w:tcPr>
            <w:tcW w:w="930" w:type="dxa"/>
            <w:vMerge w:val="restart"/>
            <w:tcBorders>
              <w:top w:val="single" w:color="auto" w:sz="4" w:space="0"/>
              <w:left w:val="single" w:color="auto" w:sz="4" w:space="0"/>
              <w:right w:val="single" w:color="auto" w:sz="4" w:space="0"/>
            </w:tcBorders>
            <w:vAlign w:val="center"/>
          </w:tcPr>
          <w:p w14:paraId="0B9E967D">
            <w:pPr>
              <w:jc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综合标</w:t>
            </w:r>
          </w:p>
          <w:p w14:paraId="25A30A0C">
            <w:pPr>
              <w:jc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评分标准</w:t>
            </w:r>
          </w:p>
        </w:tc>
        <w:tc>
          <w:tcPr>
            <w:tcW w:w="2613" w:type="dxa"/>
            <w:tcBorders>
              <w:top w:val="single" w:color="auto" w:sz="4" w:space="0"/>
              <w:left w:val="single" w:color="auto" w:sz="4" w:space="0"/>
              <w:bottom w:val="single" w:color="auto" w:sz="4" w:space="0"/>
              <w:right w:val="single" w:color="auto" w:sz="4" w:space="0"/>
            </w:tcBorders>
            <w:vAlign w:val="center"/>
          </w:tcPr>
          <w:p w14:paraId="05F8A39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pacing w:val="6"/>
                <w:sz w:val="21"/>
                <w:szCs w:val="21"/>
                <w:highlight w:val="none"/>
                <w:lang w:val="en-US" w:eastAsia="zh-CN"/>
              </w:rPr>
            </w:pPr>
            <w:r>
              <w:rPr>
                <w:rFonts w:hint="default" w:ascii="Times New Roman" w:hAnsi="Times New Roman" w:cs="Times New Roman" w:eastAsiaTheme="minorEastAsia"/>
                <w:color w:val="auto"/>
                <w:spacing w:val="0"/>
                <w:kern w:val="2"/>
                <w:sz w:val="21"/>
                <w:szCs w:val="21"/>
                <w:highlight w:val="none"/>
                <w:lang w:val="en-US" w:eastAsia="zh-CN" w:bidi="ar-SA"/>
              </w:rPr>
              <w:t>同类项目成功案例</w:t>
            </w:r>
            <w:r>
              <w:rPr>
                <w:rFonts w:hint="eastAsia" w:ascii="Times New Roman" w:hAnsi="Times New Roman" w:cs="Times New Roman" w:eastAsiaTheme="minorEastAsia"/>
                <w:color w:val="auto"/>
                <w:spacing w:val="0"/>
                <w:kern w:val="2"/>
                <w:sz w:val="21"/>
                <w:szCs w:val="21"/>
                <w:highlight w:val="none"/>
                <w:lang w:val="en-US" w:eastAsia="zh-CN" w:bidi="ar-SA"/>
              </w:rPr>
              <w:t>（1</w:t>
            </w:r>
            <w:r>
              <w:rPr>
                <w:rFonts w:hint="eastAsia" w:cs="Times New Roman" w:eastAsiaTheme="minorEastAsia"/>
                <w:color w:val="auto"/>
                <w:spacing w:val="0"/>
                <w:kern w:val="2"/>
                <w:sz w:val="21"/>
                <w:szCs w:val="21"/>
                <w:highlight w:val="none"/>
                <w:lang w:val="en-US" w:eastAsia="zh-CN" w:bidi="ar-SA"/>
              </w:rPr>
              <w:t>5</w:t>
            </w:r>
            <w:r>
              <w:rPr>
                <w:rFonts w:hint="eastAsia" w:ascii="Times New Roman" w:hAnsi="Times New Roman" w:cs="Times New Roman" w:eastAsiaTheme="minorEastAsia"/>
                <w:color w:val="auto"/>
                <w:spacing w:val="0"/>
                <w:kern w:val="2"/>
                <w:sz w:val="21"/>
                <w:szCs w:val="21"/>
                <w:highlight w:val="none"/>
                <w:lang w:val="en-US" w:eastAsia="zh-CN" w:bidi="ar-SA"/>
              </w:rPr>
              <w:t>分）</w:t>
            </w:r>
          </w:p>
        </w:tc>
        <w:tc>
          <w:tcPr>
            <w:tcW w:w="5262" w:type="dxa"/>
            <w:tcBorders>
              <w:top w:val="single" w:color="auto" w:sz="4" w:space="0"/>
              <w:left w:val="single" w:color="auto" w:sz="4" w:space="0"/>
              <w:bottom w:val="single" w:color="auto" w:sz="4" w:space="0"/>
              <w:right w:val="single" w:color="auto" w:sz="4" w:space="0"/>
            </w:tcBorders>
            <w:vAlign w:val="center"/>
          </w:tcPr>
          <w:p w14:paraId="681CB4E9">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cs="Times New Roman" w:eastAsiaTheme="minorEastAsia"/>
                <w:color w:val="auto"/>
                <w:spacing w:val="0"/>
                <w:kern w:val="2"/>
                <w:sz w:val="21"/>
                <w:szCs w:val="21"/>
                <w:highlight w:val="none"/>
                <w:lang w:val="en-US" w:eastAsia="zh-CN" w:bidi="ar-SA"/>
              </w:rPr>
            </w:pPr>
            <w:r>
              <w:rPr>
                <w:rFonts w:hint="eastAsia" w:ascii="Times New Roman" w:hAnsi="Times New Roman" w:cs="Times New Roman" w:eastAsiaTheme="minorEastAsia"/>
                <w:color w:val="auto"/>
                <w:spacing w:val="0"/>
                <w:kern w:val="2"/>
                <w:sz w:val="21"/>
                <w:szCs w:val="21"/>
                <w:highlight w:val="none"/>
                <w:lang w:val="en-US" w:eastAsia="zh-CN" w:bidi="ar-SA"/>
              </w:rPr>
              <w:t>投标人提供自2022年</w:t>
            </w:r>
            <w:r>
              <w:rPr>
                <w:rFonts w:hint="eastAsia" w:cs="Times New Roman" w:eastAsiaTheme="minorEastAsia"/>
                <w:color w:val="auto"/>
                <w:spacing w:val="0"/>
                <w:kern w:val="2"/>
                <w:sz w:val="21"/>
                <w:szCs w:val="21"/>
                <w:highlight w:val="none"/>
                <w:lang w:val="en-US" w:eastAsia="zh-CN" w:bidi="ar-SA"/>
              </w:rPr>
              <w:t>9</w:t>
            </w:r>
            <w:r>
              <w:rPr>
                <w:rFonts w:hint="eastAsia" w:ascii="Times New Roman" w:hAnsi="Times New Roman" w:cs="Times New Roman" w:eastAsiaTheme="minorEastAsia"/>
                <w:color w:val="auto"/>
                <w:spacing w:val="0"/>
                <w:kern w:val="2"/>
                <w:sz w:val="21"/>
                <w:szCs w:val="21"/>
                <w:highlight w:val="none"/>
                <w:lang w:val="en-US" w:eastAsia="zh-CN" w:bidi="ar-SA"/>
              </w:rPr>
              <w:t>月1日以来（以合同签订时间为准）同类项目的成功案例</w:t>
            </w:r>
            <w:r>
              <w:rPr>
                <w:rFonts w:hint="eastAsia" w:cs="Times New Roman" w:eastAsiaTheme="minorEastAsia"/>
                <w:color w:val="auto"/>
                <w:spacing w:val="0"/>
                <w:kern w:val="2"/>
                <w:sz w:val="21"/>
                <w:szCs w:val="21"/>
                <w:highlight w:val="none"/>
                <w:lang w:val="en-US" w:eastAsia="zh-CN" w:bidi="ar-SA"/>
              </w:rPr>
              <w:t>（</w:t>
            </w:r>
            <w:r>
              <w:rPr>
                <w:rFonts w:hint="eastAsia" w:cs="Times New Roman" w:eastAsiaTheme="minorEastAsia"/>
                <w:b/>
                <w:bCs/>
                <w:color w:val="auto"/>
                <w:spacing w:val="0"/>
                <w:kern w:val="2"/>
                <w:sz w:val="21"/>
                <w:szCs w:val="21"/>
                <w:highlight w:val="none"/>
                <w:lang w:val="en-US" w:eastAsia="zh-CN" w:bidi="ar-SA"/>
              </w:rPr>
              <w:t>每个案例内容须含有科室成本、医疗项目成本、病种成本、DIP成本四个系统中的任意三个系统</w:t>
            </w:r>
            <w:r>
              <w:rPr>
                <w:rFonts w:hint="eastAsia" w:cs="Times New Roman" w:eastAsiaTheme="minorEastAsia"/>
                <w:color w:val="auto"/>
                <w:spacing w:val="0"/>
                <w:kern w:val="2"/>
                <w:sz w:val="21"/>
                <w:szCs w:val="21"/>
                <w:highlight w:val="none"/>
                <w:lang w:val="en-US" w:eastAsia="zh-CN" w:bidi="ar-SA"/>
              </w:rPr>
              <w:t>）</w:t>
            </w:r>
            <w:r>
              <w:rPr>
                <w:rFonts w:hint="eastAsia" w:ascii="Times New Roman" w:hAnsi="Times New Roman" w:cs="Times New Roman" w:eastAsiaTheme="minorEastAsia"/>
                <w:color w:val="auto"/>
                <w:spacing w:val="0"/>
                <w:kern w:val="2"/>
                <w:sz w:val="21"/>
                <w:szCs w:val="21"/>
                <w:highlight w:val="none"/>
                <w:lang w:val="en-US" w:eastAsia="zh-CN" w:bidi="ar-SA"/>
              </w:rPr>
              <w:t>，每提供一</w:t>
            </w:r>
            <w:r>
              <w:rPr>
                <w:rFonts w:hint="eastAsia" w:cs="Times New Roman" w:eastAsiaTheme="minorEastAsia"/>
                <w:color w:val="auto"/>
                <w:spacing w:val="0"/>
                <w:kern w:val="2"/>
                <w:sz w:val="21"/>
                <w:szCs w:val="21"/>
                <w:highlight w:val="none"/>
                <w:lang w:val="en-US" w:eastAsia="zh-CN" w:bidi="ar-SA"/>
              </w:rPr>
              <w:t>个案例</w:t>
            </w:r>
            <w:r>
              <w:rPr>
                <w:rFonts w:hint="eastAsia" w:ascii="Times New Roman" w:hAnsi="Times New Roman" w:cs="Times New Roman" w:eastAsiaTheme="minorEastAsia"/>
                <w:color w:val="auto"/>
                <w:spacing w:val="0"/>
                <w:kern w:val="2"/>
                <w:sz w:val="21"/>
                <w:szCs w:val="21"/>
                <w:highlight w:val="none"/>
                <w:lang w:val="en-US" w:eastAsia="zh-CN" w:bidi="ar-SA"/>
              </w:rPr>
              <w:t>得</w:t>
            </w:r>
            <w:r>
              <w:rPr>
                <w:rFonts w:hint="eastAsia" w:cs="Times New Roman" w:eastAsiaTheme="minorEastAsia"/>
                <w:color w:val="auto"/>
                <w:spacing w:val="0"/>
                <w:kern w:val="2"/>
                <w:sz w:val="21"/>
                <w:szCs w:val="21"/>
                <w:highlight w:val="none"/>
                <w:lang w:val="en-US" w:eastAsia="zh-CN" w:bidi="ar-SA"/>
              </w:rPr>
              <w:t>3</w:t>
            </w:r>
            <w:r>
              <w:rPr>
                <w:rFonts w:hint="eastAsia" w:ascii="Times New Roman" w:hAnsi="Times New Roman" w:cs="Times New Roman" w:eastAsiaTheme="minorEastAsia"/>
                <w:color w:val="auto"/>
                <w:spacing w:val="0"/>
                <w:kern w:val="2"/>
                <w:sz w:val="21"/>
                <w:szCs w:val="21"/>
                <w:highlight w:val="none"/>
                <w:lang w:val="en-US" w:eastAsia="zh-CN" w:bidi="ar-SA"/>
              </w:rPr>
              <w:t>分，最高得</w:t>
            </w:r>
            <w:r>
              <w:rPr>
                <w:rFonts w:hint="eastAsia" w:cs="Times New Roman" w:eastAsiaTheme="minorEastAsia"/>
                <w:color w:val="auto"/>
                <w:spacing w:val="0"/>
                <w:kern w:val="2"/>
                <w:sz w:val="21"/>
                <w:szCs w:val="21"/>
                <w:highlight w:val="none"/>
                <w:lang w:val="en-US" w:eastAsia="zh-CN" w:bidi="ar-SA"/>
              </w:rPr>
              <w:t>15</w:t>
            </w:r>
            <w:r>
              <w:rPr>
                <w:rFonts w:hint="eastAsia" w:ascii="Times New Roman" w:hAnsi="Times New Roman" w:cs="Times New Roman" w:eastAsiaTheme="minorEastAsia"/>
                <w:color w:val="auto"/>
                <w:spacing w:val="0"/>
                <w:kern w:val="2"/>
                <w:sz w:val="21"/>
                <w:szCs w:val="21"/>
                <w:highlight w:val="none"/>
                <w:lang w:val="en-US" w:eastAsia="zh-CN" w:bidi="ar-SA"/>
              </w:rPr>
              <w:t>分，没有不得分。</w:t>
            </w:r>
          </w:p>
          <w:p w14:paraId="19648912">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宋体" w:hAnsi="宋体" w:eastAsia="宋体" w:cs="宋体"/>
                <w:b/>
                <w:color w:val="auto"/>
                <w:spacing w:val="6"/>
                <w:sz w:val="21"/>
                <w:szCs w:val="21"/>
                <w:highlight w:val="none"/>
                <w:lang w:val="en-US" w:eastAsia="zh-CN"/>
              </w:rPr>
            </w:pPr>
            <w:r>
              <w:rPr>
                <w:rFonts w:hint="eastAsia" w:ascii="Times New Roman" w:hAnsi="Times New Roman" w:cs="Times New Roman" w:eastAsiaTheme="minorEastAsia"/>
                <w:b/>
                <w:bCs/>
                <w:color w:val="auto"/>
                <w:spacing w:val="0"/>
                <w:kern w:val="2"/>
                <w:sz w:val="21"/>
                <w:szCs w:val="21"/>
                <w:highlight w:val="none"/>
                <w:lang w:val="en-US" w:eastAsia="zh-CN" w:bidi="ar-SA"/>
              </w:rPr>
              <w:t>注：</w:t>
            </w:r>
            <w:r>
              <w:rPr>
                <w:rFonts w:hint="eastAsia" w:cs="Times New Roman" w:eastAsiaTheme="minorEastAsia"/>
                <w:b/>
                <w:bCs/>
                <w:color w:val="auto"/>
                <w:spacing w:val="0"/>
                <w:kern w:val="2"/>
                <w:sz w:val="21"/>
                <w:szCs w:val="21"/>
                <w:highlight w:val="none"/>
                <w:lang w:val="en-US" w:eastAsia="zh-CN" w:bidi="ar-SA"/>
              </w:rPr>
              <w:t>（1）须在</w:t>
            </w:r>
            <w:r>
              <w:rPr>
                <w:rFonts w:hint="eastAsia" w:ascii="Times New Roman" w:hAnsi="Times New Roman" w:cs="Times New Roman" w:eastAsiaTheme="minorEastAsia"/>
                <w:b/>
                <w:bCs/>
                <w:color w:val="auto"/>
                <w:spacing w:val="0"/>
                <w:kern w:val="2"/>
                <w:sz w:val="21"/>
                <w:szCs w:val="21"/>
                <w:highlight w:val="none"/>
                <w:lang w:val="en-US" w:eastAsia="zh-CN" w:bidi="ar-SA"/>
              </w:rPr>
              <w:t>投标文件中</w:t>
            </w:r>
            <w:r>
              <w:rPr>
                <w:rFonts w:hint="eastAsia" w:cs="Times New Roman" w:eastAsiaTheme="minorEastAsia"/>
                <w:b/>
                <w:bCs/>
                <w:color w:val="auto"/>
                <w:spacing w:val="0"/>
                <w:kern w:val="2"/>
                <w:sz w:val="21"/>
                <w:szCs w:val="21"/>
                <w:highlight w:val="none"/>
                <w:lang w:val="en-US" w:eastAsia="zh-CN" w:bidi="ar-SA"/>
              </w:rPr>
              <w:t>同时</w:t>
            </w:r>
            <w:r>
              <w:rPr>
                <w:rFonts w:hint="eastAsia" w:ascii="Times New Roman" w:hAnsi="Times New Roman" w:cs="Times New Roman" w:eastAsiaTheme="minorEastAsia"/>
                <w:b/>
                <w:bCs/>
                <w:color w:val="auto"/>
                <w:spacing w:val="0"/>
                <w:kern w:val="2"/>
                <w:sz w:val="21"/>
                <w:szCs w:val="21"/>
                <w:highlight w:val="none"/>
                <w:lang w:val="en-US" w:eastAsia="zh-CN" w:bidi="ar-SA"/>
              </w:rPr>
              <w:t>提供合同</w:t>
            </w:r>
            <w:r>
              <w:rPr>
                <w:rFonts w:hint="eastAsia" w:cs="Times New Roman" w:eastAsiaTheme="minorEastAsia"/>
                <w:b/>
                <w:bCs/>
                <w:color w:val="auto"/>
                <w:spacing w:val="0"/>
                <w:kern w:val="2"/>
                <w:sz w:val="21"/>
                <w:szCs w:val="21"/>
                <w:highlight w:val="none"/>
                <w:lang w:val="en-US" w:eastAsia="zh-CN" w:bidi="ar-SA"/>
              </w:rPr>
              <w:t>和验收报告复印件或</w:t>
            </w:r>
            <w:r>
              <w:rPr>
                <w:rFonts w:hint="eastAsia" w:ascii="Times New Roman" w:hAnsi="Times New Roman" w:cs="Times New Roman" w:eastAsiaTheme="minorEastAsia"/>
                <w:b/>
                <w:bCs/>
                <w:color w:val="auto"/>
                <w:spacing w:val="0"/>
                <w:kern w:val="2"/>
                <w:sz w:val="21"/>
                <w:szCs w:val="21"/>
                <w:highlight w:val="none"/>
                <w:lang w:val="en-US" w:eastAsia="zh-CN" w:bidi="ar-SA"/>
              </w:rPr>
              <w:t>扫描件</w:t>
            </w:r>
            <w:r>
              <w:rPr>
                <w:rFonts w:hint="eastAsia" w:cs="Times New Roman"/>
                <w:b/>
                <w:bCs/>
                <w:spacing w:val="6"/>
                <w:sz w:val="21"/>
                <w:szCs w:val="21"/>
                <w:highlight w:val="none"/>
                <w:lang w:val="en-US" w:eastAsia="zh-CN"/>
              </w:rPr>
              <w:t>并加盖投标人公章</w:t>
            </w:r>
            <w:r>
              <w:rPr>
                <w:rFonts w:hint="eastAsia" w:ascii="Times New Roman" w:hAnsi="Times New Roman" w:cs="Times New Roman" w:eastAsiaTheme="minorEastAsia"/>
                <w:b/>
                <w:bCs/>
                <w:color w:val="auto"/>
                <w:spacing w:val="0"/>
                <w:kern w:val="2"/>
                <w:sz w:val="21"/>
                <w:szCs w:val="21"/>
                <w:highlight w:val="none"/>
                <w:lang w:val="en-US" w:eastAsia="zh-CN" w:bidi="ar-SA"/>
              </w:rPr>
              <w:t>，</w:t>
            </w:r>
            <w:r>
              <w:rPr>
                <w:rFonts w:hint="eastAsia" w:cs="Times New Roman" w:eastAsiaTheme="minorEastAsia"/>
                <w:b/>
                <w:bCs/>
                <w:color w:val="auto"/>
                <w:spacing w:val="0"/>
                <w:kern w:val="2"/>
                <w:sz w:val="21"/>
                <w:szCs w:val="21"/>
                <w:highlight w:val="none"/>
                <w:lang w:val="en-US" w:eastAsia="zh-CN" w:bidi="ar-SA"/>
              </w:rPr>
              <w:t>否则</w:t>
            </w:r>
            <w:r>
              <w:rPr>
                <w:rFonts w:hint="eastAsia" w:ascii="Times New Roman" w:hAnsi="Times New Roman" w:cs="Times New Roman" w:eastAsiaTheme="minorEastAsia"/>
                <w:b/>
                <w:bCs/>
                <w:color w:val="auto"/>
                <w:spacing w:val="0"/>
                <w:kern w:val="2"/>
                <w:sz w:val="21"/>
                <w:szCs w:val="21"/>
                <w:highlight w:val="none"/>
                <w:lang w:val="en-US" w:eastAsia="zh-CN" w:bidi="ar-SA"/>
              </w:rPr>
              <w:t>不得分。</w:t>
            </w:r>
            <w:r>
              <w:rPr>
                <w:rFonts w:hint="eastAsia" w:ascii="Times New Roman" w:hAnsi="Times New Roman" w:cs="Times New Roman" w:eastAsiaTheme="minorEastAsia"/>
                <w:b/>
                <w:bCs/>
                <w:color w:val="auto"/>
                <w:spacing w:val="0"/>
                <w:kern w:val="2"/>
                <w:sz w:val="21"/>
                <w:szCs w:val="21"/>
                <w:highlight w:val="none"/>
                <w:lang w:val="en-US" w:eastAsia="zh-CN" w:bidi="ar-SA"/>
              </w:rPr>
              <w:br w:type="textWrapping"/>
            </w:r>
            <w:r>
              <w:rPr>
                <w:rFonts w:hint="eastAsia" w:cs="Times New Roman" w:eastAsiaTheme="minorEastAsia"/>
                <w:b/>
                <w:bCs/>
                <w:color w:val="auto"/>
                <w:spacing w:val="0"/>
                <w:kern w:val="2"/>
                <w:sz w:val="21"/>
                <w:szCs w:val="21"/>
                <w:highlight w:val="none"/>
                <w:lang w:val="en-US" w:eastAsia="zh-CN" w:bidi="ar-SA"/>
              </w:rPr>
              <w:t>（2）该业绩仅限投标人的业绩。</w:t>
            </w:r>
          </w:p>
        </w:tc>
      </w:tr>
      <w:tr w14:paraId="539A03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834" w:type="dxa"/>
            <w:vMerge w:val="continue"/>
            <w:tcBorders>
              <w:right w:val="single" w:color="auto" w:sz="4" w:space="0"/>
            </w:tcBorders>
            <w:vAlign w:val="center"/>
          </w:tcPr>
          <w:p w14:paraId="66BA70C1">
            <w:pPr>
              <w:spacing w:line="320" w:lineRule="exact"/>
              <w:jc w:val="center"/>
              <w:rPr>
                <w:rFonts w:hint="eastAsia" w:ascii="宋体" w:hAnsi="宋体" w:eastAsia="宋体" w:cs="宋体"/>
                <w:color w:val="auto"/>
                <w:spacing w:val="6"/>
                <w:sz w:val="21"/>
                <w:szCs w:val="21"/>
                <w:highlight w:val="none"/>
              </w:rPr>
            </w:pPr>
          </w:p>
        </w:tc>
        <w:tc>
          <w:tcPr>
            <w:tcW w:w="930" w:type="dxa"/>
            <w:vMerge w:val="continue"/>
            <w:tcBorders>
              <w:left w:val="single" w:color="auto" w:sz="4" w:space="0"/>
              <w:right w:val="single" w:color="auto" w:sz="4" w:space="0"/>
            </w:tcBorders>
            <w:vAlign w:val="center"/>
          </w:tcPr>
          <w:p w14:paraId="2716D53F">
            <w:pPr>
              <w:jc w:val="center"/>
              <w:rPr>
                <w:rFonts w:hint="eastAsia" w:ascii="宋体" w:hAnsi="宋体" w:eastAsia="宋体" w:cs="宋体"/>
                <w:color w:val="auto"/>
                <w:spacing w:val="6"/>
                <w:sz w:val="21"/>
                <w:szCs w:val="21"/>
                <w:highlight w:val="none"/>
                <w:lang w:val="en-US" w:eastAsia="zh-CN"/>
              </w:rPr>
            </w:pPr>
          </w:p>
        </w:tc>
        <w:tc>
          <w:tcPr>
            <w:tcW w:w="2613" w:type="dxa"/>
            <w:tcBorders>
              <w:top w:val="single" w:color="auto" w:sz="4" w:space="0"/>
              <w:left w:val="single" w:color="auto" w:sz="4" w:space="0"/>
              <w:bottom w:val="single" w:color="auto" w:sz="4" w:space="0"/>
              <w:right w:val="single" w:color="auto" w:sz="4" w:space="0"/>
            </w:tcBorders>
            <w:vAlign w:val="center"/>
          </w:tcPr>
          <w:p w14:paraId="0A7F171C">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pacing w:val="6"/>
                <w:sz w:val="21"/>
                <w:szCs w:val="21"/>
                <w:highlight w:val="none"/>
                <w:lang w:val="en-US" w:eastAsia="zh-CN"/>
              </w:rPr>
            </w:pPr>
            <w:r>
              <w:rPr>
                <w:rFonts w:hint="eastAsia"/>
                <w:highlight w:val="none"/>
              </w:rPr>
              <w:t>投标产品的著作权证书</w:t>
            </w:r>
            <w:r>
              <w:rPr>
                <w:rFonts w:hint="eastAsia"/>
                <w:highlight w:val="none"/>
                <w:lang w:eastAsia="zh-CN"/>
              </w:rPr>
              <w:t>（</w:t>
            </w:r>
            <w:r>
              <w:rPr>
                <w:rFonts w:hint="eastAsia"/>
                <w:highlight w:val="none"/>
                <w:lang w:val="en-US" w:eastAsia="zh-CN"/>
              </w:rPr>
              <w:t>6分</w:t>
            </w:r>
            <w:r>
              <w:rPr>
                <w:rFonts w:hint="eastAsia"/>
                <w:highlight w:val="none"/>
                <w:lang w:eastAsia="zh-CN"/>
              </w:rPr>
              <w:t>）</w:t>
            </w:r>
          </w:p>
        </w:tc>
        <w:tc>
          <w:tcPr>
            <w:tcW w:w="5262" w:type="dxa"/>
            <w:tcBorders>
              <w:top w:val="single" w:color="auto" w:sz="4" w:space="0"/>
              <w:left w:val="single" w:color="auto" w:sz="4" w:space="0"/>
              <w:bottom w:val="single" w:color="auto" w:sz="4" w:space="0"/>
              <w:right w:val="single" w:color="auto" w:sz="4" w:space="0"/>
            </w:tcBorders>
            <w:vAlign w:val="center"/>
          </w:tcPr>
          <w:p w14:paraId="6C8B433A">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eastAsiaTheme="minorEastAsia"/>
                <w:color w:val="auto"/>
                <w:spacing w:val="0"/>
                <w:kern w:val="2"/>
                <w:sz w:val="21"/>
                <w:szCs w:val="21"/>
                <w:highlight w:val="none"/>
                <w:lang w:val="en-US" w:eastAsia="zh-CN" w:bidi="ar-SA"/>
              </w:rPr>
            </w:pPr>
            <w:r>
              <w:rPr>
                <w:rFonts w:hint="eastAsia" w:ascii="Times New Roman" w:hAnsi="Times New Roman" w:cs="Times New Roman" w:eastAsiaTheme="minorEastAsia"/>
                <w:color w:val="auto"/>
                <w:spacing w:val="0"/>
                <w:kern w:val="2"/>
                <w:sz w:val="21"/>
                <w:szCs w:val="21"/>
                <w:highlight w:val="none"/>
                <w:lang w:val="en-US" w:eastAsia="zh-CN" w:bidi="ar-SA"/>
              </w:rPr>
              <w:t>参与投标的产品具有各自独立的计算机软件著作权证书，包括有：科室成本、医疗项目成本、病种成本、</w:t>
            </w:r>
            <w:r>
              <w:rPr>
                <w:rFonts w:hint="default" w:ascii="Times New Roman" w:hAnsi="Times New Roman" w:cs="Times New Roman" w:eastAsiaTheme="minorEastAsia"/>
                <w:color w:val="auto"/>
                <w:spacing w:val="0"/>
                <w:kern w:val="2"/>
                <w:sz w:val="21"/>
                <w:szCs w:val="21"/>
                <w:highlight w:val="none"/>
                <w:lang w:val="en-US" w:eastAsia="zh-CN" w:bidi="ar-SA"/>
              </w:rPr>
              <w:t>DIP成本共4</w:t>
            </w:r>
            <w:r>
              <w:rPr>
                <w:rFonts w:hint="eastAsia" w:cs="Times New Roman" w:eastAsiaTheme="minorEastAsia"/>
                <w:color w:val="auto"/>
                <w:spacing w:val="0"/>
                <w:kern w:val="2"/>
                <w:sz w:val="21"/>
                <w:szCs w:val="21"/>
                <w:highlight w:val="none"/>
                <w:lang w:val="en-US" w:eastAsia="zh-CN" w:bidi="ar-SA"/>
              </w:rPr>
              <w:t>个系统</w:t>
            </w:r>
            <w:r>
              <w:rPr>
                <w:rFonts w:hint="default" w:ascii="Times New Roman" w:hAnsi="Times New Roman" w:cs="Times New Roman" w:eastAsiaTheme="minorEastAsia"/>
                <w:color w:val="auto"/>
                <w:spacing w:val="0"/>
                <w:kern w:val="2"/>
                <w:sz w:val="21"/>
                <w:szCs w:val="21"/>
                <w:highlight w:val="none"/>
                <w:lang w:val="en-US" w:eastAsia="zh-CN" w:bidi="ar-SA"/>
              </w:rPr>
              <w:t>。</w:t>
            </w:r>
            <w:r>
              <w:rPr>
                <w:rFonts w:hint="eastAsia" w:ascii="Times New Roman" w:hAnsi="Times New Roman" w:cs="Times New Roman" w:eastAsiaTheme="minorEastAsia"/>
                <w:color w:val="auto"/>
                <w:spacing w:val="0"/>
                <w:kern w:val="2"/>
                <w:sz w:val="21"/>
                <w:szCs w:val="21"/>
                <w:highlight w:val="none"/>
                <w:lang w:val="en-US" w:eastAsia="zh-CN" w:bidi="ar-SA"/>
              </w:rPr>
              <w:t>每提供</w:t>
            </w:r>
            <w:r>
              <w:rPr>
                <w:rFonts w:hint="default" w:ascii="Times New Roman" w:hAnsi="Times New Roman" w:cs="Times New Roman" w:eastAsiaTheme="minorEastAsia"/>
                <w:color w:val="auto"/>
                <w:spacing w:val="0"/>
                <w:kern w:val="2"/>
                <w:sz w:val="21"/>
                <w:szCs w:val="21"/>
                <w:highlight w:val="none"/>
                <w:lang w:val="en-US" w:eastAsia="zh-CN" w:bidi="ar-SA"/>
              </w:rPr>
              <w:t>1</w:t>
            </w:r>
            <w:r>
              <w:rPr>
                <w:rFonts w:hint="eastAsia" w:cs="Times New Roman" w:eastAsiaTheme="minorEastAsia"/>
                <w:color w:val="auto"/>
                <w:spacing w:val="0"/>
                <w:kern w:val="2"/>
                <w:sz w:val="21"/>
                <w:szCs w:val="21"/>
                <w:highlight w:val="none"/>
                <w:lang w:val="en-US" w:eastAsia="zh-CN" w:bidi="ar-SA"/>
              </w:rPr>
              <w:t>项</w:t>
            </w:r>
            <w:r>
              <w:rPr>
                <w:rFonts w:hint="default" w:ascii="Times New Roman" w:hAnsi="Times New Roman" w:cs="Times New Roman" w:eastAsiaTheme="minorEastAsia"/>
                <w:color w:val="auto"/>
                <w:spacing w:val="0"/>
                <w:kern w:val="2"/>
                <w:sz w:val="21"/>
                <w:szCs w:val="21"/>
                <w:highlight w:val="none"/>
                <w:lang w:val="en-US" w:eastAsia="zh-CN" w:bidi="ar-SA"/>
              </w:rPr>
              <w:t>得</w:t>
            </w:r>
            <w:r>
              <w:rPr>
                <w:rFonts w:hint="eastAsia" w:cs="Times New Roman" w:eastAsiaTheme="minorEastAsia"/>
                <w:color w:val="auto"/>
                <w:spacing w:val="0"/>
                <w:kern w:val="2"/>
                <w:sz w:val="21"/>
                <w:szCs w:val="21"/>
                <w:highlight w:val="none"/>
                <w:lang w:val="en-US" w:eastAsia="zh-CN" w:bidi="ar-SA"/>
              </w:rPr>
              <w:t>1.5</w:t>
            </w:r>
            <w:r>
              <w:rPr>
                <w:rFonts w:hint="default" w:ascii="Times New Roman" w:hAnsi="Times New Roman" w:cs="Times New Roman" w:eastAsiaTheme="minorEastAsia"/>
                <w:color w:val="auto"/>
                <w:spacing w:val="0"/>
                <w:kern w:val="2"/>
                <w:sz w:val="21"/>
                <w:szCs w:val="21"/>
                <w:highlight w:val="none"/>
                <w:lang w:val="en-US" w:eastAsia="zh-CN" w:bidi="ar-SA"/>
              </w:rPr>
              <w:t>分，</w:t>
            </w:r>
            <w:r>
              <w:rPr>
                <w:rFonts w:hint="eastAsia" w:cs="Times New Roman" w:eastAsiaTheme="minorEastAsia"/>
                <w:color w:val="auto"/>
                <w:spacing w:val="0"/>
                <w:kern w:val="2"/>
                <w:sz w:val="21"/>
                <w:szCs w:val="21"/>
                <w:highlight w:val="none"/>
                <w:lang w:val="en-US" w:eastAsia="zh-CN" w:bidi="ar-SA"/>
              </w:rPr>
              <w:t>最高得6</w:t>
            </w:r>
            <w:r>
              <w:rPr>
                <w:rFonts w:hint="default" w:ascii="Times New Roman" w:hAnsi="Times New Roman" w:cs="Times New Roman" w:eastAsiaTheme="minorEastAsia"/>
                <w:color w:val="auto"/>
                <w:spacing w:val="0"/>
                <w:kern w:val="2"/>
                <w:sz w:val="21"/>
                <w:szCs w:val="21"/>
                <w:highlight w:val="none"/>
                <w:lang w:val="en-US" w:eastAsia="zh-CN" w:bidi="ar-SA"/>
              </w:rPr>
              <w:t>分</w:t>
            </w:r>
            <w:r>
              <w:rPr>
                <w:rFonts w:hint="eastAsia" w:cs="Times New Roman" w:eastAsiaTheme="minorEastAsia"/>
                <w:color w:val="auto"/>
                <w:spacing w:val="0"/>
                <w:kern w:val="2"/>
                <w:sz w:val="21"/>
                <w:szCs w:val="21"/>
                <w:highlight w:val="none"/>
                <w:lang w:val="en-US" w:eastAsia="zh-CN" w:bidi="ar-SA"/>
              </w:rPr>
              <w:t>。</w:t>
            </w:r>
          </w:p>
          <w:p w14:paraId="59FA3EDB">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cs="Times New Roman" w:eastAsiaTheme="minorEastAsia"/>
                <w:b/>
                <w:bCs/>
                <w:color w:val="auto"/>
                <w:spacing w:val="0"/>
                <w:kern w:val="2"/>
                <w:sz w:val="21"/>
                <w:szCs w:val="21"/>
                <w:highlight w:val="none"/>
                <w:lang w:val="en-US" w:eastAsia="zh-CN" w:bidi="ar-SA"/>
              </w:rPr>
            </w:pPr>
            <w:r>
              <w:rPr>
                <w:rFonts w:hint="eastAsia" w:cs="Times New Roman" w:eastAsiaTheme="minorEastAsia"/>
                <w:b/>
                <w:bCs/>
                <w:color w:val="auto"/>
                <w:spacing w:val="0"/>
                <w:kern w:val="2"/>
                <w:sz w:val="21"/>
                <w:szCs w:val="21"/>
                <w:highlight w:val="none"/>
                <w:lang w:val="en-US" w:eastAsia="zh-CN" w:bidi="ar-SA"/>
              </w:rPr>
              <w:t>注：</w:t>
            </w:r>
          </w:p>
          <w:p w14:paraId="2667B882">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eastAsiaTheme="minorEastAsia"/>
                <w:b/>
                <w:bCs/>
                <w:color w:val="auto"/>
                <w:spacing w:val="0"/>
                <w:kern w:val="2"/>
                <w:sz w:val="21"/>
                <w:szCs w:val="21"/>
                <w:highlight w:val="none"/>
                <w:lang w:val="en-US" w:eastAsia="zh-CN" w:bidi="ar-SA"/>
              </w:rPr>
            </w:pPr>
            <w:r>
              <w:rPr>
                <w:rFonts w:hint="eastAsia" w:ascii="Times New Roman" w:hAnsi="Times New Roman" w:cs="Times New Roman" w:eastAsiaTheme="minorEastAsia"/>
                <w:b/>
                <w:bCs/>
                <w:color w:val="auto"/>
                <w:spacing w:val="0"/>
                <w:kern w:val="2"/>
                <w:sz w:val="21"/>
                <w:szCs w:val="21"/>
                <w:highlight w:val="none"/>
                <w:lang w:val="en-US" w:eastAsia="zh-CN" w:bidi="ar-SA"/>
              </w:rPr>
              <w:t>（1）</w:t>
            </w:r>
            <w:r>
              <w:rPr>
                <w:rFonts w:hint="eastAsia" w:cs="Times New Roman" w:eastAsiaTheme="minorEastAsia"/>
                <w:b/>
                <w:bCs/>
                <w:color w:val="auto"/>
                <w:spacing w:val="0"/>
                <w:kern w:val="2"/>
                <w:sz w:val="21"/>
                <w:szCs w:val="21"/>
                <w:highlight w:val="none"/>
                <w:lang w:val="en-US" w:eastAsia="zh-CN" w:bidi="ar-SA"/>
              </w:rPr>
              <w:t>证</w:t>
            </w:r>
            <w:r>
              <w:rPr>
                <w:rFonts w:hint="default" w:ascii="Times New Roman" w:hAnsi="Times New Roman" w:cs="Times New Roman" w:eastAsiaTheme="minorEastAsia"/>
                <w:b/>
                <w:bCs/>
                <w:color w:val="auto"/>
                <w:spacing w:val="0"/>
                <w:kern w:val="2"/>
                <w:sz w:val="21"/>
                <w:szCs w:val="21"/>
                <w:highlight w:val="none"/>
                <w:lang w:val="en-US" w:eastAsia="zh-CN" w:bidi="ar-SA"/>
              </w:rPr>
              <w:t>书的产品名称中须包含</w:t>
            </w:r>
            <w:r>
              <w:rPr>
                <w:rFonts w:hint="eastAsia" w:ascii="Times New Roman" w:hAnsi="Times New Roman" w:cs="Times New Roman" w:eastAsiaTheme="minorEastAsia"/>
                <w:b/>
                <w:bCs/>
                <w:color w:val="auto"/>
                <w:spacing w:val="0"/>
                <w:kern w:val="2"/>
                <w:sz w:val="21"/>
                <w:szCs w:val="21"/>
                <w:highlight w:val="none"/>
                <w:lang w:val="en-US" w:eastAsia="zh-CN" w:bidi="ar-SA"/>
              </w:rPr>
              <w:t>相关</w:t>
            </w:r>
            <w:r>
              <w:rPr>
                <w:rFonts w:hint="default" w:ascii="Times New Roman" w:hAnsi="Times New Roman" w:cs="Times New Roman" w:eastAsiaTheme="minorEastAsia"/>
                <w:b/>
                <w:bCs/>
                <w:color w:val="auto"/>
                <w:spacing w:val="0"/>
                <w:kern w:val="2"/>
                <w:sz w:val="21"/>
                <w:szCs w:val="21"/>
                <w:highlight w:val="none"/>
                <w:lang w:val="en-US" w:eastAsia="zh-CN" w:bidi="ar-SA"/>
              </w:rPr>
              <w:t>关键字</w:t>
            </w:r>
            <w:r>
              <w:rPr>
                <w:rFonts w:hint="eastAsia" w:ascii="Times New Roman" w:hAnsi="Times New Roman" w:cs="Times New Roman" w:eastAsiaTheme="minorEastAsia"/>
                <w:b/>
                <w:bCs/>
                <w:color w:val="auto"/>
                <w:spacing w:val="0"/>
                <w:kern w:val="2"/>
                <w:sz w:val="21"/>
                <w:szCs w:val="21"/>
                <w:highlight w:val="none"/>
                <w:lang w:val="en-US" w:eastAsia="zh-CN" w:bidi="ar-SA"/>
              </w:rPr>
              <w:t>；</w:t>
            </w:r>
          </w:p>
          <w:p w14:paraId="5EABD95C">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eastAsia="宋体" w:cs="宋体"/>
                <w:bCs/>
                <w:color w:val="auto"/>
                <w:sz w:val="21"/>
                <w:szCs w:val="22"/>
                <w:highlight w:val="none"/>
                <w:lang w:val="en-US" w:eastAsia="zh-CN"/>
              </w:rPr>
            </w:pPr>
            <w:r>
              <w:rPr>
                <w:rFonts w:hint="eastAsia" w:cs="Times New Roman" w:eastAsiaTheme="minorEastAsia"/>
                <w:b/>
                <w:bCs/>
                <w:color w:val="auto"/>
                <w:spacing w:val="0"/>
                <w:kern w:val="2"/>
                <w:sz w:val="21"/>
                <w:szCs w:val="21"/>
                <w:highlight w:val="none"/>
                <w:lang w:val="en-US" w:eastAsia="zh-CN" w:bidi="ar-SA"/>
              </w:rPr>
              <w:t>（2）</w:t>
            </w:r>
            <w:r>
              <w:rPr>
                <w:rFonts w:hint="eastAsia" w:ascii="Times New Roman" w:hAnsi="Times New Roman" w:cs="Times New Roman" w:eastAsiaTheme="minorEastAsia"/>
                <w:b/>
                <w:bCs/>
                <w:color w:val="auto"/>
                <w:spacing w:val="0"/>
                <w:kern w:val="2"/>
                <w:sz w:val="21"/>
                <w:szCs w:val="21"/>
                <w:highlight w:val="none"/>
                <w:lang w:val="en-US" w:eastAsia="zh-CN" w:bidi="ar-SA"/>
              </w:rPr>
              <w:t>须在投标文件中附以上</w:t>
            </w:r>
            <w:r>
              <w:rPr>
                <w:rFonts w:hint="eastAsia" w:cs="Times New Roman" w:eastAsiaTheme="minorEastAsia"/>
                <w:b/>
                <w:bCs/>
                <w:color w:val="auto"/>
                <w:spacing w:val="0"/>
                <w:kern w:val="2"/>
                <w:sz w:val="21"/>
                <w:szCs w:val="21"/>
                <w:highlight w:val="none"/>
                <w:lang w:val="en-US" w:eastAsia="zh-CN" w:bidi="ar-SA"/>
              </w:rPr>
              <w:t>证书</w:t>
            </w:r>
            <w:r>
              <w:rPr>
                <w:rFonts w:hint="eastAsia" w:ascii="Times New Roman" w:hAnsi="Times New Roman" w:cs="Times New Roman" w:eastAsiaTheme="minorEastAsia"/>
                <w:b/>
                <w:bCs/>
                <w:color w:val="auto"/>
                <w:spacing w:val="0"/>
                <w:kern w:val="2"/>
                <w:sz w:val="21"/>
                <w:szCs w:val="21"/>
                <w:highlight w:val="none"/>
                <w:lang w:val="en-US" w:eastAsia="zh-CN" w:bidi="ar-SA"/>
              </w:rPr>
              <w:t>的复印件或扫描件并加盖投标人公章，否则不得分。</w:t>
            </w:r>
          </w:p>
        </w:tc>
      </w:tr>
      <w:tr w14:paraId="762ED9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834" w:type="dxa"/>
            <w:vMerge w:val="continue"/>
            <w:tcBorders>
              <w:right w:val="single" w:color="auto" w:sz="4" w:space="0"/>
            </w:tcBorders>
            <w:vAlign w:val="center"/>
          </w:tcPr>
          <w:p w14:paraId="0EF756F8">
            <w:pPr>
              <w:spacing w:line="320" w:lineRule="exact"/>
              <w:jc w:val="center"/>
              <w:rPr>
                <w:rFonts w:hint="eastAsia" w:ascii="宋体" w:hAnsi="宋体" w:eastAsia="宋体" w:cs="宋体"/>
                <w:color w:val="auto"/>
                <w:spacing w:val="6"/>
                <w:sz w:val="21"/>
                <w:szCs w:val="21"/>
                <w:highlight w:val="none"/>
              </w:rPr>
            </w:pPr>
          </w:p>
        </w:tc>
        <w:tc>
          <w:tcPr>
            <w:tcW w:w="930" w:type="dxa"/>
            <w:vMerge w:val="continue"/>
            <w:tcBorders>
              <w:left w:val="single" w:color="auto" w:sz="4" w:space="0"/>
              <w:right w:val="single" w:color="auto" w:sz="4" w:space="0"/>
            </w:tcBorders>
            <w:vAlign w:val="center"/>
          </w:tcPr>
          <w:p w14:paraId="2DED0644">
            <w:pPr>
              <w:jc w:val="center"/>
              <w:rPr>
                <w:rFonts w:hint="eastAsia" w:ascii="宋体" w:hAnsi="宋体" w:eastAsia="宋体" w:cs="宋体"/>
                <w:color w:val="auto"/>
                <w:spacing w:val="6"/>
                <w:sz w:val="21"/>
                <w:szCs w:val="21"/>
                <w:highlight w:val="none"/>
                <w:lang w:val="en-US" w:eastAsia="zh-CN"/>
              </w:rPr>
            </w:pPr>
          </w:p>
        </w:tc>
        <w:tc>
          <w:tcPr>
            <w:tcW w:w="2613" w:type="dxa"/>
            <w:tcBorders>
              <w:top w:val="single" w:color="auto" w:sz="4" w:space="0"/>
              <w:left w:val="single" w:color="auto" w:sz="4" w:space="0"/>
              <w:bottom w:val="single" w:color="auto" w:sz="4" w:space="0"/>
              <w:right w:val="single" w:color="auto" w:sz="4" w:space="0"/>
            </w:tcBorders>
            <w:vAlign w:val="center"/>
          </w:tcPr>
          <w:p w14:paraId="1EB34F3F">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eastAsia="宋体"/>
                <w:i w:val="0"/>
                <w:iCs w:val="0"/>
                <w:highlight w:val="none"/>
                <w:lang w:eastAsia="zh-CN"/>
              </w:rPr>
            </w:pPr>
            <w:r>
              <w:rPr>
                <w:highlight w:val="none"/>
              </w:rPr>
              <w:t>项目</w:t>
            </w:r>
            <w:r>
              <w:rPr>
                <w:rFonts w:hint="eastAsia"/>
                <w:highlight w:val="none"/>
                <w:lang w:val="en-US" w:eastAsia="zh-CN"/>
              </w:rPr>
              <w:t>团队</w:t>
            </w:r>
            <w:r>
              <w:rPr>
                <w:highlight w:val="none"/>
              </w:rPr>
              <w:t>人员</w:t>
            </w:r>
            <w:r>
              <w:rPr>
                <w:rFonts w:hint="eastAsia"/>
                <w:highlight w:val="none"/>
                <w:lang w:eastAsia="zh-CN"/>
              </w:rPr>
              <w:t>（</w:t>
            </w:r>
            <w:r>
              <w:rPr>
                <w:rFonts w:hint="eastAsia"/>
                <w:highlight w:val="none"/>
                <w:lang w:val="en-US" w:eastAsia="zh-CN"/>
              </w:rPr>
              <w:t>9分</w:t>
            </w:r>
            <w:r>
              <w:rPr>
                <w:rFonts w:hint="eastAsia"/>
                <w:highlight w:val="none"/>
                <w:lang w:eastAsia="zh-CN"/>
              </w:rPr>
              <w:t>）</w:t>
            </w:r>
          </w:p>
        </w:tc>
        <w:tc>
          <w:tcPr>
            <w:tcW w:w="5262" w:type="dxa"/>
            <w:tcBorders>
              <w:top w:val="single" w:color="auto" w:sz="4" w:space="0"/>
              <w:left w:val="single" w:color="auto" w:sz="4" w:space="0"/>
              <w:bottom w:val="single" w:color="auto" w:sz="4" w:space="0"/>
              <w:right w:val="single" w:color="auto" w:sz="4" w:space="0"/>
            </w:tcBorders>
            <w:vAlign w:val="center"/>
          </w:tcPr>
          <w:p w14:paraId="0CE4139F">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highlight w:val="none"/>
                <w:lang w:eastAsia="zh-CN"/>
              </w:rPr>
            </w:pPr>
            <w:r>
              <w:rPr>
                <w:rFonts w:hint="eastAsia"/>
                <w:highlight w:val="none"/>
                <w:lang w:val="en-US" w:eastAsia="zh-CN"/>
              </w:rPr>
              <w:t>拟派本</w:t>
            </w:r>
            <w:r>
              <w:rPr>
                <w:highlight w:val="none"/>
              </w:rPr>
              <w:t>项目</w:t>
            </w:r>
            <w:r>
              <w:rPr>
                <w:rFonts w:hint="eastAsia"/>
                <w:highlight w:val="none"/>
                <w:lang w:val="en-US" w:eastAsia="zh-CN"/>
              </w:rPr>
              <w:t>团队</w:t>
            </w:r>
            <w:r>
              <w:rPr>
                <w:highlight w:val="none"/>
              </w:rPr>
              <w:t>人员具有信息系统项目管理师、系统架构设计师、注册会计师证书</w:t>
            </w:r>
            <w:r>
              <w:rPr>
                <w:rFonts w:hint="eastAsia"/>
                <w:highlight w:val="none"/>
                <w:lang w:val="en-US" w:eastAsia="zh-CN"/>
              </w:rPr>
              <w:t>的</w:t>
            </w:r>
            <w:r>
              <w:rPr>
                <w:rFonts w:hint="eastAsia"/>
                <w:highlight w:val="none"/>
                <w:lang w:eastAsia="zh-CN"/>
              </w:rPr>
              <w:t>，每提供一项得</w:t>
            </w:r>
            <w:r>
              <w:rPr>
                <w:rFonts w:hint="eastAsia"/>
                <w:highlight w:val="none"/>
                <w:lang w:val="en-US" w:eastAsia="zh-CN"/>
              </w:rPr>
              <w:t>3分，最高得9</w:t>
            </w:r>
            <w:r>
              <w:rPr>
                <w:highlight w:val="none"/>
              </w:rPr>
              <w:t>分</w:t>
            </w:r>
            <w:r>
              <w:rPr>
                <w:rFonts w:hint="eastAsia"/>
                <w:highlight w:val="none"/>
                <w:lang w:eastAsia="zh-CN"/>
              </w:rPr>
              <w:t>。</w:t>
            </w:r>
          </w:p>
          <w:p w14:paraId="268E6739">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imes New Roman" w:hAnsi="Times New Roman" w:cs="Times New Roman" w:eastAsiaTheme="minorEastAsia"/>
                <w:b/>
                <w:bCs/>
                <w:i w:val="0"/>
                <w:iCs w:val="0"/>
                <w:spacing w:val="6"/>
                <w:sz w:val="21"/>
                <w:szCs w:val="21"/>
                <w:highlight w:val="none"/>
                <w:lang w:val="en-US" w:eastAsia="zh-CN" w:bidi="ar-SA"/>
              </w:rPr>
            </w:pPr>
            <w:r>
              <w:rPr>
                <w:rFonts w:hint="eastAsia" w:ascii="Times New Roman" w:hAnsi="Times New Roman" w:cs="Times New Roman" w:eastAsiaTheme="minorEastAsia"/>
                <w:b/>
                <w:bCs/>
                <w:i w:val="0"/>
                <w:iCs w:val="0"/>
                <w:spacing w:val="6"/>
                <w:sz w:val="21"/>
                <w:szCs w:val="21"/>
                <w:highlight w:val="none"/>
                <w:lang w:val="en-US" w:eastAsia="zh-CN" w:bidi="ar-SA"/>
              </w:rPr>
              <w:t>注：（1）须在投标文件中附团队人员的证书及投标单位为其缴纳的近半年任意一个月的社保证明复印件或扫描件并加盖投标人公章，否则不得分。</w:t>
            </w:r>
          </w:p>
          <w:p w14:paraId="292C01AF">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Times New Roman" w:hAnsi="Times New Roman" w:cs="Times New Roman" w:eastAsiaTheme="minorEastAsia"/>
                <w:b/>
                <w:bCs/>
                <w:i w:val="0"/>
                <w:iCs w:val="0"/>
                <w:spacing w:val="6"/>
                <w:sz w:val="21"/>
                <w:szCs w:val="21"/>
                <w:highlight w:val="none"/>
                <w:lang w:val="en-US" w:eastAsia="zh-CN" w:bidi="ar-SA"/>
              </w:rPr>
            </w:pPr>
            <w:r>
              <w:rPr>
                <w:rFonts w:hint="eastAsia" w:ascii="Times New Roman" w:hAnsi="Times New Roman" w:cs="Times New Roman" w:eastAsiaTheme="minorEastAsia"/>
                <w:b/>
                <w:bCs/>
                <w:i w:val="0"/>
                <w:iCs w:val="0"/>
                <w:spacing w:val="6"/>
                <w:sz w:val="21"/>
                <w:szCs w:val="21"/>
                <w:highlight w:val="none"/>
                <w:lang w:val="en-US" w:eastAsia="zh-CN" w:bidi="ar-SA"/>
              </w:rPr>
              <w:t>（2）</w:t>
            </w:r>
            <w:r>
              <w:rPr>
                <w:rFonts w:hint="eastAsia" w:cs="Times New Roman" w:eastAsiaTheme="minorEastAsia"/>
                <w:b/>
                <w:bCs/>
                <w:i w:val="0"/>
                <w:iCs w:val="0"/>
                <w:spacing w:val="6"/>
                <w:sz w:val="21"/>
                <w:szCs w:val="21"/>
                <w:highlight w:val="none"/>
                <w:lang w:val="en-US" w:eastAsia="zh-CN" w:bidi="ar-SA"/>
              </w:rPr>
              <w:t>以上人员一人提供多个证书的，只能按一个证书计算。</w:t>
            </w:r>
          </w:p>
        </w:tc>
      </w:tr>
      <w:tr w14:paraId="7183D2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4" w:type="dxa"/>
            <w:vMerge w:val="restart"/>
            <w:tcBorders>
              <w:top w:val="single" w:color="auto" w:sz="4" w:space="0"/>
              <w:right w:val="single" w:color="auto" w:sz="4" w:space="0"/>
            </w:tcBorders>
            <w:vAlign w:val="center"/>
          </w:tcPr>
          <w:p w14:paraId="0E75FF95">
            <w:pPr>
              <w:spacing w:line="320" w:lineRule="exact"/>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2.2.2</w:t>
            </w:r>
          </w:p>
          <w:p w14:paraId="07C1D661">
            <w:pPr>
              <w:spacing w:line="320" w:lineRule="exact"/>
              <w:jc w:val="center"/>
              <w:rPr>
                <w:rFonts w:hint="eastAsia" w:ascii="宋体" w:hAnsi="宋体" w:eastAsia="宋体" w:cs="宋体"/>
                <w:b/>
                <w:color w:val="auto"/>
                <w:spacing w:val="6"/>
                <w:sz w:val="21"/>
                <w:szCs w:val="21"/>
                <w:highlight w:val="none"/>
              </w:rPr>
            </w:pPr>
            <w:r>
              <w:rPr>
                <w:rFonts w:hint="eastAsia" w:ascii="宋体" w:hAnsi="宋体" w:eastAsia="宋体" w:cs="宋体"/>
                <w:color w:val="auto"/>
                <w:spacing w:val="6"/>
                <w:sz w:val="21"/>
                <w:szCs w:val="21"/>
                <w:highlight w:val="none"/>
              </w:rPr>
              <w:t>（3）</w:t>
            </w:r>
          </w:p>
        </w:tc>
        <w:tc>
          <w:tcPr>
            <w:tcW w:w="930" w:type="dxa"/>
            <w:vMerge w:val="restart"/>
            <w:tcBorders>
              <w:top w:val="single" w:color="auto" w:sz="4" w:space="0"/>
              <w:left w:val="single" w:color="auto" w:sz="4" w:space="0"/>
              <w:right w:val="single" w:color="auto" w:sz="4" w:space="0"/>
            </w:tcBorders>
            <w:vAlign w:val="center"/>
          </w:tcPr>
          <w:p w14:paraId="18DE4AA5">
            <w:pPr>
              <w:spacing w:line="320" w:lineRule="exact"/>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技术标</w:t>
            </w:r>
          </w:p>
          <w:p w14:paraId="547D79C1">
            <w:pPr>
              <w:spacing w:line="320" w:lineRule="exact"/>
              <w:jc w:val="center"/>
              <w:rPr>
                <w:rFonts w:hint="eastAsia" w:ascii="宋体" w:hAnsi="宋体" w:eastAsia="宋体" w:cs="宋体"/>
                <w:b/>
                <w:color w:val="auto"/>
                <w:spacing w:val="6"/>
                <w:sz w:val="21"/>
                <w:szCs w:val="21"/>
                <w:highlight w:val="none"/>
              </w:rPr>
            </w:pPr>
            <w:r>
              <w:rPr>
                <w:rFonts w:hint="eastAsia" w:ascii="宋体" w:hAnsi="宋体" w:eastAsia="宋体" w:cs="宋体"/>
                <w:color w:val="auto"/>
                <w:spacing w:val="6"/>
                <w:sz w:val="21"/>
                <w:szCs w:val="21"/>
                <w:highlight w:val="none"/>
              </w:rPr>
              <w:t>评分标准</w:t>
            </w:r>
          </w:p>
        </w:tc>
        <w:tc>
          <w:tcPr>
            <w:tcW w:w="2613" w:type="dxa"/>
            <w:tcBorders>
              <w:top w:val="single" w:color="auto" w:sz="4" w:space="0"/>
              <w:left w:val="single" w:color="auto" w:sz="4" w:space="0"/>
              <w:bottom w:val="single" w:color="auto" w:sz="4" w:space="0"/>
              <w:right w:val="single" w:color="auto" w:sz="4" w:space="0"/>
            </w:tcBorders>
            <w:vAlign w:val="center"/>
          </w:tcPr>
          <w:p w14:paraId="6E146899">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宋体" w:hAnsi="宋体" w:eastAsia="宋体" w:cs="宋体"/>
                <w:spacing w:val="6"/>
                <w:sz w:val="21"/>
                <w:szCs w:val="21"/>
                <w:highlight w:val="none"/>
                <w:lang w:val="en-US" w:eastAsia="zh-CN"/>
              </w:rPr>
            </w:pPr>
            <w:r>
              <w:rPr>
                <w:rFonts w:hint="eastAsia" w:ascii="宋体" w:hAnsi="宋体" w:cs="宋体"/>
                <w:bCs/>
                <w:color w:val="000000" w:themeColor="text1"/>
                <w:kern w:val="0"/>
                <w:sz w:val="21"/>
                <w:szCs w:val="22"/>
                <w:highlight w:val="none"/>
                <w:lang w:val="en-US" w:eastAsia="zh-CN"/>
                <w14:textFill>
                  <w14:solidFill>
                    <w14:schemeClr w14:val="tx1"/>
                  </w14:solidFill>
                </w14:textFill>
              </w:rPr>
              <w:t>采购需求（35分）</w:t>
            </w:r>
          </w:p>
        </w:tc>
        <w:tc>
          <w:tcPr>
            <w:tcW w:w="5262" w:type="dxa"/>
            <w:tcBorders>
              <w:top w:val="single" w:color="auto" w:sz="4" w:space="0"/>
              <w:left w:val="single" w:color="auto" w:sz="4" w:space="0"/>
              <w:bottom w:val="single" w:color="auto" w:sz="4" w:space="0"/>
              <w:right w:val="single" w:color="auto" w:sz="4" w:space="0"/>
            </w:tcBorders>
            <w:vAlign w:val="center"/>
          </w:tcPr>
          <w:p w14:paraId="7C005784">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imes New Roman" w:hAnsi="Times New Roman" w:cs="Times New Roman" w:eastAsiaTheme="minorEastAsia"/>
                <w:spacing w:val="6"/>
                <w:sz w:val="21"/>
                <w:szCs w:val="21"/>
              </w:rPr>
            </w:pPr>
            <w:r>
              <w:rPr>
                <w:rFonts w:hint="eastAsia" w:cs="Times New Roman" w:eastAsiaTheme="minorEastAsia"/>
                <w:spacing w:val="6"/>
                <w:sz w:val="21"/>
                <w:szCs w:val="21"/>
                <w:highlight w:val="none"/>
                <w:lang w:val="en-US" w:eastAsia="zh-CN"/>
              </w:rPr>
              <w:t>完全</w:t>
            </w:r>
            <w:r>
              <w:rPr>
                <w:rFonts w:hint="eastAsia" w:ascii="Times New Roman" w:hAnsi="Times New Roman" w:cs="Times New Roman" w:eastAsiaTheme="minorEastAsia"/>
                <w:spacing w:val="6"/>
                <w:sz w:val="21"/>
                <w:szCs w:val="21"/>
                <w:highlight w:val="none"/>
              </w:rPr>
              <w:t>满足招标文件</w:t>
            </w:r>
            <w:r>
              <w:rPr>
                <w:rFonts w:hint="eastAsia" w:cs="Times New Roman" w:eastAsiaTheme="minorEastAsia"/>
                <w:spacing w:val="6"/>
                <w:sz w:val="21"/>
                <w:szCs w:val="21"/>
                <w:highlight w:val="none"/>
                <w:lang w:val="en-US" w:eastAsia="zh-CN"/>
              </w:rPr>
              <w:t>第三章采购需求中“2.项目技术参数”</w:t>
            </w:r>
            <w:r>
              <w:rPr>
                <w:rFonts w:hint="eastAsia" w:ascii="Times New Roman" w:hAnsi="Times New Roman" w:cs="Times New Roman" w:eastAsiaTheme="minorEastAsia"/>
                <w:spacing w:val="6"/>
                <w:sz w:val="21"/>
                <w:szCs w:val="21"/>
                <w:highlight w:val="none"/>
              </w:rPr>
              <w:t>得</w:t>
            </w:r>
            <w:r>
              <w:rPr>
                <w:rFonts w:hint="eastAsia" w:cs="Times New Roman" w:eastAsiaTheme="minorEastAsia"/>
                <w:spacing w:val="6"/>
                <w:sz w:val="21"/>
                <w:szCs w:val="21"/>
                <w:highlight w:val="none"/>
                <w:lang w:val="en-US" w:eastAsia="zh-CN"/>
              </w:rPr>
              <w:t>35</w:t>
            </w:r>
            <w:r>
              <w:rPr>
                <w:rFonts w:hint="eastAsia" w:ascii="Times New Roman" w:hAnsi="Times New Roman" w:cs="Times New Roman" w:eastAsiaTheme="minorEastAsia"/>
                <w:spacing w:val="6"/>
                <w:sz w:val="21"/>
                <w:szCs w:val="21"/>
                <w:highlight w:val="none"/>
              </w:rPr>
              <w:t>分，</w:t>
            </w:r>
            <w:r>
              <w:rPr>
                <w:rFonts w:hint="eastAsia" w:ascii="Times New Roman" w:hAnsi="Times New Roman" w:cs="Times New Roman" w:eastAsiaTheme="minorEastAsia"/>
                <w:spacing w:val="6"/>
                <w:sz w:val="21"/>
                <w:szCs w:val="21"/>
              </w:rPr>
              <w:t>标▲技术参数每有一项不满足在</w:t>
            </w:r>
            <w:r>
              <w:rPr>
                <w:rFonts w:hint="eastAsia" w:ascii="Times New Roman" w:hAnsi="Times New Roman" w:cs="Times New Roman" w:eastAsiaTheme="minorEastAsia"/>
                <w:spacing w:val="6"/>
                <w:sz w:val="21"/>
                <w:szCs w:val="21"/>
                <w:lang w:val="en-US" w:eastAsia="zh-CN"/>
              </w:rPr>
              <w:t>3</w:t>
            </w:r>
            <w:r>
              <w:rPr>
                <w:rFonts w:hint="eastAsia" w:cs="Times New Roman" w:eastAsiaTheme="minorEastAsia"/>
                <w:spacing w:val="6"/>
                <w:sz w:val="21"/>
                <w:szCs w:val="21"/>
                <w:lang w:val="en-US" w:eastAsia="zh-CN"/>
              </w:rPr>
              <w:t>5</w:t>
            </w:r>
            <w:r>
              <w:rPr>
                <w:rFonts w:hint="eastAsia" w:ascii="Times New Roman" w:hAnsi="Times New Roman" w:cs="Times New Roman" w:eastAsiaTheme="minorEastAsia"/>
                <w:spacing w:val="6"/>
                <w:sz w:val="21"/>
                <w:szCs w:val="21"/>
              </w:rPr>
              <w:t>分基础上扣</w:t>
            </w:r>
            <w:r>
              <w:rPr>
                <w:rFonts w:hint="eastAsia" w:cs="Times New Roman" w:eastAsiaTheme="minorEastAsia"/>
                <w:spacing w:val="6"/>
                <w:sz w:val="21"/>
                <w:szCs w:val="21"/>
                <w:lang w:val="en-US" w:eastAsia="zh-CN"/>
              </w:rPr>
              <w:t>2</w:t>
            </w:r>
            <w:r>
              <w:rPr>
                <w:rFonts w:hint="eastAsia" w:ascii="Times New Roman" w:hAnsi="Times New Roman" w:cs="Times New Roman" w:eastAsiaTheme="minorEastAsia"/>
                <w:spacing w:val="6"/>
                <w:sz w:val="21"/>
                <w:szCs w:val="21"/>
              </w:rPr>
              <w:t>分。其余一般技术参数每有一项不满足扣1分，扣完为止。</w:t>
            </w:r>
          </w:p>
          <w:p w14:paraId="25B6516B">
            <w:pPr>
              <w:spacing w:line="360" w:lineRule="exact"/>
              <w:jc w:val="left"/>
              <w:rPr>
                <w:rFonts w:hint="eastAsia" w:ascii="Times New Roman" w:hAnsi="Times New Roman" w:cs="Times New Roman" w:eastAsiaTheme="minorEastAsia"/>
                <w:b/>
                <w:bCs/>
                <w:color w:val="auto"/>
                <w:spacing w:val="6"/>
                <w:sz w:val="21"/>
                <w:szCs w:val="21"/>
                <w:highlight w:val="none"/>
              </w:rPr>
            </w:pPr>
            <w:r>
              <w:rPr>
                <w:rFonts w:hint="eastAsia" w:ascii="Times New Roman" w:hAnsi="Times New Roman" w:cs="Times New Roman" w:eastAsiaTheme="minorEastAsia"/>
                <w:b/>
                <w:bCs/>
                <w:spacing w:val="6"/>
                <w:sz w:val="21"/>
                <w:szCs w:val="21"/>
              </w:rPr>
              <w:t>注：</w:t>
            </w:r>
            <w:r>
              <w:rPr>
                <w:rFonts w:hint="eastAsia" w:ascii="Times New Roman" w:hAnsi="Times New Roman" w:cs="Times New Roman" w:eastAsiaTheme="minorEastAsia"/>
                <w:b/>
                <w:bCs/>
                <w:spacing w:val="6"/>
                <w:sz w:val="21"/>
                <w:szCs w:val="21"/>
                <w:lang w:eastAsia="zh-CN"/>
              </w:rPr>
              <w:t>（</w:t>
            </w:r>
            <w:r>
              <w:rPr>
                <w:rFonts w:hint="eastAsia" w:ascii="Times New Roman" w:hAnsi="Times New Roman" w:cs="Times New Roman" w:eastAsiaTheme="minorEastAsia"/>
                <w:b/>
                <w:bCs/>
                <w:spacing w:val="6"/>
                <w:sz w:val="21"/>
                <w:szCs w:val="21"/>
                <w:lang w:val="en-US" w:eastAsia="zh-CN"/>
              </w:rPr>
              <w:t>1</w:t>
            </w:r>
            <w:r>
              <w:rPr>
                <w:rFonts w:hint="eastAsia" w:ascii="Times New Roman" w:hAnsi="Times New Roman" w:cs="Times New Roman" w:eastAsiaTheme="minorEastAsia"/>
                <w:b/>
                <w:bCs/>
                <w:spacing w:val="6"/>
                <w:sz w:val="21"/>
                <w:szCs w:val="21"/>
                <w:lang w:eastAsia="zh-CN"/>
              </w:rPr>
              <w:t>）</w:t>
            </w:r>
            <w:r>
              <w:rPr>
                <w:rFonts w:hint="eastAsia" w:ascii="Times New Roman" w:hAnsi="Times New Roman" w:cs="Times New Roman" w:eastAsiaTheme="minorEastAsia"/>
                <w:b/>
                <w:bCs/>
                <w:spacing w:val="6"/>
                <w:sz w:val="21"/>
                <w:szCs w:val="21"/>
              </w:rPr>
              <w:t>加</w:t>
            </w:r>
            <w:r>
              <w:rPr>
                <w:rFonts w:hint="eastAsia" w:ascii="Times New Roman" w:hAnsi="Times New Roman" w:cs="Times New Roman" w:eastAsiaTheme="minorEastAsia"/>
                <w:spacing w:val="6"/>
                <w:sz w:val="21"/>
                <w:szCs w:val="21"/>
              </w:rPr>
              <w:t>▲</w:t>
            </w:r>
            <w:r>
              <w:rPr>
                <w:rFonts w:hint="eastAsia" w:cs="Times New Roman" w:eastAsiaTheme="minorEastAsia"/>
                <w:b/>
                <w:bCs/>
                <w:spacing w:val="6"/>
                <w:sz w:val="21"/>
                <w:szCs w:val="21"/>
                <w:lang w:val="en-US" w:eastAsia="zh-CN"/>
              </w:rPr>
              <w:t>项</w:t>
            </w:r>
            <w:r>
              <w:rPr>
                <w:rFonts w:hint="eastAsia" w:ascii="Times New Roman" w:hAnsi="Times New Roman" w:cs="Times New Roman" w:eastAsiaTheme="minorEastAsia"/>
                <w:b/>
                <w:bCs/>
                <w:color w:val="auto"/>
                <w:spacing w:val="6"/>
                <w:sz w:val="21"/>
                <w:szCs w:val="21"/>
                <w:highlight w:val="none"/>
              </w:rPr>
              <w:t>须提供系统</w:t>
            </w:r>
            <w:r>
              <w:rPr>
                <w:rFonts w:hint="eastAsia" w:cs="Times New Roman" w:eastAsiaTheme="minorEastAsia"/>
                <w:b/>
                <w:bCs/>
                <w:color w:val="auto"/>
                <w:spacing w:val="6"/>
                <w:sz w:val="21"/>
                <w:szCs w:val="21"/>
                <w:highlight w:val="none"/>
                <w:lang w:eastAsia="zh-CN"/>
              </w:rPr>
              <w:t>功能</w:t>
            </w:r>
            <w:r>
              <w:rPr>
                <w:rFonts w:hint="eastAsia" w:ascii="Times New Roman" w:hAnsi="Times New Roman" w:cs="Times New Roman" w:eastAsiaTheme="minorEastAsia"/>
                <w:b/>
                <w:bCs/>
                <w:color w:val="auto"/>
                <w:spacing w:val="6"/>
                <w:sz w:val="21"/>
                <w:szCs w:val="21"/>
                <w:highlight w:val="none"/>
              </w:rPr>
              <w:t>截图</w:t>
            </w:r>
            <w:r>
              <w:rPr>
                <w:rFonts w:hint="eastAsia" w:cs="Times New Roman" w:eastAsiaTheme="minorEastAsia"/>
                <w:b/>
                <w:bCs/>
                <w:color w:val="auto"/>
                <w:spacing w:val="6"/>
                <w:sz w:val="21"/>
                <w:szCs w:val="21"/>
                <w:highlight w:val="none"/>
                <w:lang w:val="en-US" w:eastAsia="zh-CN"/>
              </w:rPr>
              <w:t>并加盖投标人公章</w:t>
            </w:r>
            <w:r>
              <w:rPr>
                <w:rFonts w:hint="eastAsia" w:ascii="Times New Roman" w:hAnsi="Times New Roman" w:cs="Times New Roman" w:eastAsiaTheme="minorEastAsia"/>
                <w:b/>
                <w:bCs/>
                <w:spacing w:val="6"/>
                <w:sz w:val="21"/>
                <w:szCs w:val="21"/>
              </w:rPr>
              <w:t>；一般技术参数可不提供技术支持资料</w:t>
            </w:r>
            <w:r>
              <w:rPr>
                <w:rFonts w:hint="eastAsia" w:ascii="Times New Roman" w:hAnsi="Times New Roman" w:cs="Times New Roman" w:eastAsiaTheme="minorEastAsia"/>
                <w:b/>
                <w:bCs/>
                <w:spacing w:val="6"/>
                <w:sz w:val="21"/>
                <w:szCs w:val="21"/>
                <w:highlight w:val="none"/>
              </w:rPr>
              <w:t>，但须如实响应。</w:t>
            </w:r>
            <w:r>
              <w:rPr>
                <w:rFonts w:hint="eastAsia" w:ascii="Times New Roman" w:hAnsi="Times New Roman" w:cs="Times New Roman" w:eastAsiaTheme="minorEastAsia"/>
                <w:b/>
                <w:bCs/>
                <w:color w:val="auto"/>
                <w:spacing w:val="6"/>
                <w:sz w:val="21"/>
                <w:szCs w:val="21"/>
                <w:highlight w:val="none"/>
                <w:lang w:val="en-US" w:eastAsia="zh-CN"/>
              </w:rPr>
              <w:t>须</w:t>
            </w:r>
            <w:r>
              <w:rPr>
                <w:rFonts w:hint="eastAsia" w:ascii="Times New Roman" w:hAnsi="Times New Roman" w:cs="Times New Roman" w:eastAsiaTheme="minorEastAsia"/>
                <w:b/>
                <w:bCs/>
                <w:color w:val="auto"/>
                <w:spacing w:val="6"/>
                <w:sz w:val="21"/>
                <w:szCs w:val="21"/>
                <w:highlight w:val="none"/>
              </w:rPr>
              <w:t>对提供</w:t>
            </w:r>
            <w:r>
              <w:rPr>
                <w:rFonts w:hint="eastAsia" w:ascii="Times New Roman" w:hAnsi="Times New Roman" w:cs="Times New Roman" w:eastAsiaTheme="minorEastAsia"/>
                <w:b/>
                <w:bCs/>
                <w:color w:val="auto"/>
                <w:spacing w:val="6"/>
                <w:sz w:val="21"/>
                <w:szCs w:val="21"/>
                <w:highlight w:val="none"/>
                <w:lang w:val="en-US" w:eastAsia="zh-CN"/>
              </w:rPr>
              <w:t>技术支持资料</w:t>
            </w:r>
            <w:r>
              <w:rPr>
                <w:rFonts w:hint="eastAsia" w:ascii="Times New Roman" w:hAnsi="Times New Roman" w:cs="Times New Roman" w:eastAsiaTheme="minorEastAsia"/>
                <w:b/>
                <w:bCs/>
                <w:color w:val="auto"/>
                <w:spacing w:val="6"/>
                <w:sz w:val="21"/>
                <w:szCs w:val="21"/>
                <w:highlight w:val="none"/>
              </w:rPr>
              <w:t>的真实性负责，并承担相应的法律责任。</w:t>
            </w:r>
          </w:p>
          <w:p w14:paraId="01BA417E">
            <w:pPr>
              <w:spacing w:line="360" w:lineRule="exact"/>
              <w:jc w:val="left"/>
              <w:rPr>
                <w:rFonts w:hint="default" w:ascii="宋体" w:hAnsi="宋体" w:eastAsia="宋体" w:cs="宋体"/>
                <w:spacing w:val="6"/>
                <w:sz w:val="21"/>
                <w:szCs w:val="21"/>
                <w:highlight w:val="none"/>
                <w:lang w:val="en-US" w:eastAsia="zh-CN"/>
              </w:rPr>
            </w:pPr>
            <w:r>
              <w:rPr>
                <w:rFonts w:hint="eastAsia" w:ascii="Times New Roman" w:hAnsi="Times New Roman" w:cs="Times New Roman" w:eastAsiaTheme="minorEastAsia"/>
                <w:b/>
                <w:bCs/>
                <w:color w:val="auto"/>
                <w:spacing w:val="6"/>
                <w:sz w:val="21"/>
                <w:szCs w:val="21"/>
                <w:highlight w:val="none"/>
                <w:lang w:eastAsia="zh-CN"/>
              </w:rPr>
              <w:t>（</w:t>
            </w:r>
            <w:r>
              <w:rPr>
                <w:rFonts w:hint="eastAsia" w:cs="Times New Roman" w:eastAsiaTheme="minorEastAsia"/>
                <w:b/>
                <w:bCs/>
                <w:color w:val="auto"/>
                <w:spacing w:val="6"/>
                <w:sz w:val="21"/>
                <w:szCs w:val="21"/>
                <w:highlight w:val="none"/>
                <w:lang w:val="en-US" w:eastAsia="zh-CN"/>
              </w:rPr>
              <w:t>2</w:t>
            </w:r>
            <w:r>
              <w:rPr>
                <w:rFonts w:hint="eastAsia" w:ascii="Times New Roman" w:hAnsi="Times New Roman" w:cs="Times New Roman" w:eastAsiaTheme="minorEastAsia"/>
                <w:b/>
                <w:bCs/>
                <w:color w:val="auto"/>
                <w:spacing w:val="6"/>
                <w:sz w:val="21"/>
                <w:szCs w:val="21"/>
                <w:highlight w:val="none"/>
                <w:lang w:eastAsia="zh-CN"/>
              </w:rPr>
              <w:t>）</w:t>
            </w:r>
            <w:r>
              <w:rPr>
                <w:rFonts w:hint="eastAsia" w:ascii="Times New Roman" w:hAnsi="Times New Roman" w:cs="Times New Roman" w:eastAsiaTheme="minorEastAsia"/>
                <w:b/>
                <w:bCs/>
                <w:color w:val="auto"/>
                <w:spacing w:val="6"/>
                <w:sz w:val="21"/>
                <w:szCs w:val="21"/>
                <w:highlight w:val="none"/>
              </w:rPr>
              <w:t xml:space="preserve"> </w:t>
            </w:r>
            <w:r>
              <w:rPr>
                <w:rFonts w:hint="eastAsia" w:cs="Times New Roman" w:eastAsiaTheme="minorEastAsia"/>
                <w:b/>
                <w:bCs/>
                <w:color w:val="auto"/>
                <w:spacing w:val="6"/>
                <w:sz w:val="21"/>
                <w:szCs w:val="21"/>
                <w:highlight w:val="none"/>
                <w:lang w:val="en-US" w:eastAsia="zh-CN"/>
              </w:rPr>
              <w:t>建议</w:t>
            </w:r>
            <w:r>
              <w:rPr>
                <w:rFonts w:hint="eastAsia" w:ascii="Times New Roman" w:hAnsi="Times New Roman" w:cs="Times New Roman" w:eastAsiaTheme="minorEastAsia"/>
                <w:b/>
                <w:bCs/>
                <w:color w:val="auto"/>
                <w:spacing w:val="6"/>
                <w:sz w:val="21"/>
                <w:szCs w:val="21"/>
                <w:highlight w:val="none"/>
              </w:rPr>
              <w:t>投标人投标文件中标注加</w:t>
            </w:r>
            <w:r>
              <w:rPr>
                <w:rFonts w:hint="eastAsia" w:ascii="Times New Roman" w:hAnsi="Times New Roman" w:cs="Times New Roman" w:eastAsiaTheme="minorEastAsia"/>
                <w:spacing w:val="6"/>
                <w:sz w:val="21"/>
                <w:szCs w:val="21"/>
              </w:rPr>
              <w:t>▲</w:t>
            </w:r>
            <w:r>
              <w:rPr>
                <w:rFonts w:hint="eastAsia" w:cs="Times New Roman" w:eastAsiaTheme="minorEastAsia"/>
                <w:b/>
                <w:bCs/>
                <w:color w:val="auto"/>
                <w:spacing w:val="6"/>
                <w:sz w:val="21"/>
                <w:szCs w:val="21"/>
                <w:highlight w:val="none"/>
                <w:lang w:val="en-US" w:eastAsia="zh-CN"/>
              </w:rPr>
              <w:t>项系统</w:t>
            </w:r>
            <w:r>
              <w:rPr>
                <w:rFonts w:hint="eastAsia" w:cs="Times New Roman" w:eastAsiaTheme="minorEastAsia"/>
                <w:b/>
                <w:bCs/>
                <w:color w:val="auto"/>
                <w:spacing w:val="6"/>
                <w:sz w:val="21"/>
                <w:szCs w:val="21"/>
                <w:highlight w:val="none"/>
                <w:lang w:eastAsia="zh-CN"/>
              </w:rPr>
              <w:t>功能</w:t>
            </w:r>
            <w:r>
              <w:rPr>
                <w:rFonts w:hint="eastAsia" w:ascii="Times New Roman" w:hAnsi="Times New Roman" w:cs="Times New Roman" w:eastAsiaTheme="minorEastAsia"/>
                <w:b/>
                <w:bCs/>
                <w:color w:val="auto"/>
                <w:spacing w:val="6"/>
                <w:sz w:val="21"/>
                <w:szCs w:val="21"/>
                <w:highlight w:val="none"/>
              </w:rPr>
              <w:t>截图的</w:t>
            </w:r>
            <w:r>
              <w:rPr>
                <w:rFonts w:hint="eastAsia" w:cs="Times New Roman" w:eastAsiaTheme="minorEastAsia"/>
                <w:b/>
                <w:bCs/>
                <w:color w:val="auto"/>
                <w:spacing w:val="6"/>
                <w:sz w:val="21"/>
                <w:szCs w:val="21"/>
                <w:highlight w:val="none"/>
                <w:lang w:val="en-US" w:eastAsia="zh-CN"/>
              </w:rPr>
              <w:t>所在</w:t>
            </w:r>
            <w:r>
              <w:rPr>
                <w:rFonts w:hint="eastAsia" w:ascii="Times New Roman" w:hAnsi="Times New Roman" w:cs="Times New Roman" w:eastAsiaTheme="minorEastAsia"/>
                <w:b/>
                <w:bCs/>
                <w:color w:val="auto"/>
                <w:spacing w:val="6"/>
                <w:sz w:val="21"/>
                <w:szCs w:val="21"/>
                <w:highlight w:val="none"/>
              </w:rPr>
              <w:t>页码，</w:t>
            </w:r>
            <w:r>
              <w:rPr>
                <w:rFonts w:hint="eastAsia" w:ascii="Times New Roman" w:hAnsi="Times New Roman" w:cs="Times New Roman" w:eastAsiaTheme="minorEastAsia"/>
                <w:b/>
                <w:bCs/>
                <w:spacing w:val="6"/>
                <w:sz w:val="21"/>
                <w:szCs w:val="21"/>
              </w:rPr>
              <w:t>否则因此导致评委无法判断偏离情况的，后果投标人自负。</w:t>
            </w:r>
            <w:r>
              <w:rPr>
                <w:rFonts w:hint="eastAsia" w:ascii="Times New Roman" w:hAnsi="Times New Roman" w:cs="Times New Roman" w:eastAsiaTheme="minorEastAsia"/>
                <w:spacing w:val="6"/>
                <w:sz w:val="21"/>
                <w:szCs w:val="21"/>
                <w:highlight w:val="none"/>
              </w:rPr>
              <w:t xml:space="preserve"> </w:t>
            </w:r>
          </w:p>
        </w:tc>
      </w:tr>
      <w:tr w14:paraId="16823F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4" w:type="dxa"/>
            <w:vMerge w:val="continue"/>
            <w:tcBorders>
              <w:right w:val="single" w:color="auto" w:sz="4" w:space="0"/>
            </w:tcBorders>
            <w:vAlign w:val="center"/>
          </w:tcPr>
          <w:p w14:paraId="67B24BBD">
            <w:pPr>
              <w:spacing w:line="320" w:lineRule="exact"/>
              <w:jc w:val="center"/>
              <w:rPr>
                <w:rFonts w:hint="eastAsia" w:ascii="宋体" w:hAnsi="宋体" w:eastAsia="宋体" w:cs="宋体"/>
                <w:color w:val="auto"/>
                <w:spacing w:val="6"/>
                <w:sz w:val="21"/>
                <w:szCs w:val="21"/>
                <w:highlight w:val="none"/>
              </w:rPr>
            </w:pPr>
          </w:p>
        </w:tc>
        <w:tc>
          <w:tcPr>
            <w:tcW w:w="930" w:type="dxa"/>
            <w:vMerge w:val="continue"/>
            <w:tcBorders>
              <w:left w:val="single" w:color="auto" w:sz="4" w:space="0"/>
              <w:right w:val="single" w:color="auto" w:sz="4" w:space="0"/>
            </w:tcBorders>
            <w:vAlign w:val="center"/>
          </w:tcPr>
          <w:p w14:paraId="7AB73287">
            <w:pPr>
              <w:spacing w:line="320" w:lineRule="exact"/>
              <w:jc w:val="center"/>
              <w:rPr>
                <w:rFonts w:hint="eastAsia" w:ascii="宋体" w:hAnsi="宋体" w:eastAsia="宋体" w:cs="宋体"/>
                <w:color w:val="auto"/>
                <w:spacing w:val="6"/>
                <w:sz w:val="21"/>
                <w:szCs w:val="21"/>
                <w:highlight w:val="none"/>
              </w:rPr>
            </w:pPr>
          </w:p>
        </w:tc>
        <w:tc>
          <w:tcPr>
            <w:tcW w:w="2613" w:type="dxa"/>
            <w:tcBorders>
              <w:top w:val="single" w:color="auto" w:sz="4" w:space="0"/>
              <w:left w:val="single" w:color="auto" w:sz="4" w:space="0"/>
              <w:bottom w:val="single" w:color="auto" w:sz="4" w:space="0"/>
              <w:right w:val="single" w:color="auto" w:sz="4" w:space="0"/>
            </w:tcBorders>
            <w:vAlign w:val="center"/>
          </w:tcPr>
          <w:p w14:paraId="3D22D8DE">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宋体" w:hAnsi="宋体" w:eastAsia="宋体" w:cs="宋体"/>
                <w:spacing w:val="6"/>
                <w:sz w:val="21"/>
                <w:szCs w:val="21"/>
                <w:highlight w:val="none"/>
                <w:lang w:val="en-US" w:eastAsia="zh-CN"/>
              </w:rPr>
            </w:pPr>
            <w:r>
              <w:rPr>
                <w:rFonts w:hint="eastAsia" w:ascii="宋体" w:hAnsi="宋体" w:cs="宋体"/>
                <w:bCs/>
                <w:color w:val="000000" w:themeColor="text1"/>
                <w:kern w:val="0"/>
                <w:sz w:val="21"/>
                <w:szCs w:val="22"/>
                <w:highlight w:val="none"/>
                <w:lang w:val="en-US" w:eastAsia="zh-CN"/>
                <w14:textFill>
                  <w14:solidFill>
                    <w14:schemeClr w14:val="tx1"/>
                  </w14:solidFill>
                </w14:textFill>
              </w:rPr>
              <w:t>技术</w:t>
            </w:r>
            <w:r>
              <w:rPr>
                <w:rFonts w:hint="eastAsia" w:ascii="宋体" w:hAnsi="宋体" w:eastAsia="宋体" w:cs="宋体"/>
                <w:bCs/>
                <w:color w:val="000000" w:themeColor="text1"/>
                <w:kern w:val="0"/>
                <w:sz w:val="21"/>
                <w:szCs w:val="22"/>
                <w:highlight w:val="none"/>
                <w:lang w:val="en-US" w:eastAsia="zh-CN"/>
                <w14:textFill>
                  <w14:solidFill>
                    <w14:schemeClr w14:val="tx1"/>
                  </w14:solidFill>
                </w14:textFill>
              </w:rPr>
              <w:t>方案（</w:t>
            </w:r>
            <w:r>
              <w:rPr>
                <w:rFonts w:hint="eastAsia" w:ascii="宋体" w:hAnsi="宋体" w:cs="宋体"/>
                <w:bCs/>
                <w:color w:val="000000" w:themeColor="text1"/>
                <w:kern w:val="0"/>
                <w:sz w:val="21"/>
                <w:szCs w:val="22"/>
                <w:highlight w:val="none"/>
                <w:lang w:val="en-US" w:eastAsia="zh-CN"/>
                <w14:textFill>
                  <w14:solidFill>
                    <w14:schemeClr w14:val="tx1"/>
                  </w14:solidFill>
                </w14:textFill>
              </w:rPr>
              <w:t>6</w:t>
            </w:r>
            <w:r>
              <w:rPr>
                <w:rFonts w:hint="eastAsia" w:ascii="宋体" w:hAnsi="宋体" w:eastAsia="宋体" w:cs="宋体"/>
                <w:bCs/>
                <w:color w:val="000000" w:themeColor="text1"/>
                <w:kern w:val="0"/>
                <w:sz w:val="21"/>
                <w:szCs w:val="22"/>
                <w:highlight w:val="none"/>
                <w:lang w:val="en-US" w:eastAsia="zh-CN"/>
                <w14:textFill>
                  <w14:solidFill>
                    <w14:schemeClr w14:val="tx1"/>
                  </w14:solidFill>
                </w14:textFill>
              </w:rPr>
              <w:t>分）</w:t>
            </w:r>
          </w:p>
        </w:tc>
        <w:tc>
          <w:tcPr>
            <w:tcW w:w="5262" w:type="dxa"/>
            <w:tcBorders>
              <w:top w:val="single" w:color="auto" w:sz="4" w:space="0"/>
              <w:left w:val="single" w:color="auto" w:sz="4" w:space="0"/>
              <w:bottom w:val="single" w:color="auto" w:sz="4" w:space="0"/>
              <w:right w:val="single" w:color="auto" w:sz="4" w:space="0"/>
            </w:tcBorders>
            <w:vAlign w:val="center"/>
          </w:tcPr>
          <w:p w14:paraId="621CD66D">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eastAsiaTheme="minorEastAsia"/>
                <w:spacing w:val="6"/>
                <w:sz w:val="21"/>
                <w:szCs w:val="21"/>
                <w:highlight w:val="none"/>
              </w:rPr>
            </w:pPr>
            <w:r>
              <w:rPr>
                <w:rFonts w:hint="eastAsia" w:eastAsiaTheme="minorEastAsia"/>
                <w:spacing w:val="6"/>
                <w:sz w:val="21"/>
                <w:szCs w:val="21"/>
                <w:highlight w:val="none"/>
              </w:rPr>
              <w:t>根据投标人提供的</w:t>
            </w:r>
            <w:r>
              <w:rPr>
                <w:rFonts w:hint="eastAsia" w:eastAsiaTheme="minorEastAsia"/>
                <w:spacing w:val="6"/>
                <w:sz w:val="21"/>
                <w:szCs w:val="21"/>
                <w:highlight w:val="none"/>
                <w:lang w:val="en-US" w:eastAsia="zh-CN"/>
              </w:rPr>
              <w:t>项目技术</w:t>
            </w:r>
            <w:r>
              <w:rPr>
                <w:rFonts w:hint="eastAsia" w:eastAsiaTheme="minorEastAsia"/>
                <w:spacing w:val="6"/>
                <w:sz w:val="21"/>
                <w:szCs w:val="21"/>
                <w:highlight w:val="none"/>
              </w:rPr>
              <w:t>方案进行评分。</w:t>
            </w:r>
          </w:p>
          <w:p w14:paraId="193D7A02">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eastAsiaTheme="minorEastAsia"/>
                <w:spacing w:val="6"/>
                <w:sz w:val="21"/>
                <w:szCs w:val="21"/>
                <w:highlight w:val="none"/>
              </w:rPr>
            </w:pPr>
            <w:r>
              <w:rPr>
                <w:rFonts w:hint="eastAsia" w:eastAsiaTheme="minorEastAsia"/>
                <w:spacing w:val="6"/>
                <w:sz w:val="21"/>
                <w:szCs w:val="21"/>
                <w:highlight w:val="none"/>
              </w:rPr>
              <w:t>内容</w:t>
            </w:r>
            <w:r>
              <w:rPr>
                <w:rFonts w:hint="eastAsia" w:eastAsiaTheme="minorEastAsia"/>
                <w:spacing w:val="6"/>
                <w:sz w:val="21"/>
                <w:szCs w:val="21"/>
                <w:highlight w:val="none"/>
                <w:lang w:val="en-US" w:eastAsia="zh-CN"/>
              </w:rPr>
              <w:t>完整详细</w:t>
            </w:r>
            <w:r>
              <w:rPr>
                <w:rFonts w:hint="eastAsia" w:eastAsiaTheme="minorEastAsia"/>
                <w:spacing w:val="6"/>
                <w:sz w:val="21"/>
                <w:szCs w:val="21"/>
                <w:highlight w:val="none"/>
              </w:rPr>
              <w:t>、</w:t>
            </w:r>
            <w:r>
              <w:rPr>
                <w:rFonts w:hint="eastAsia" w:eastAsiaTheme="minorEastAsia"/>
                <w:spacing w:val="6"/>
                <w:sz w:val="21"/>
                <w:szCs w:val="21"/>
                <w:highlight w:val="none"/>
                <w:lang w:val="en-US" w:eastAsia="zh-CN"/>
              </w:rPr>
              <w:t>性能优越</w:t>
            </w:r>
            <w:r>
              <w:rPr>
                <w:rFonts w:hint="eastAsia" w:eastAsiaTheme="minorEastAsia"/>
                <w:spacing w:val="6"/>
                <w:sz w:val="21"/>
                <w:szCs w:val="21"/>
                <w:highlight w:val="none"/>
                <w:lang w:eastAsia="zh-CN"/>
              </w:rPr>
              <w:t>，</w:t>
            </w:r>
            <w:r>
              <w:rPr>
                <w:rFonts w:hint="eastAsia" w:eastAsiaTheme="minorEastAsia"/>
                <w:spacing w:val="6"/>
                <w:sz w:val="21"/>
                <w:szCs w:val="21"/>
                <w:highlight w:val="none"/>
                <w:lang w:val="en-US" w:eastAsia="zh-CN"/>
              </w:rPr>
              <w:t>完全满足采购人需求</w:t>
            </w:r>
            <w:r>
              <w:rPr>
                <w:rFonts w:hint="eastAsia" w:eastAsiaTheme="minorEastAsia"/>
                <w:spacing w:val="6"/>
                <w:sz w:val="21"/>
                <w:szCs w:val="21"/>
                <w:highlight w:val="none"/>
              </w:rPr>
              <w:t>得</w:t>
            </w:r>
            <w:r>
              <w:rPr>
                <w:rFonts w:hint="eastAsia" w:eastAsiaTheme="minorEastAsia"/>
                <w:spacing w:val="6"/>
                <w:sz w:val="21"/>
                <w:szCs w:val="21"/>
                <w:highlight w:val="none"/>
                <w:lang w:val="en-US" w:eastAsia="zh-CN"/>
              </w:rPr>
              <w:t>6</w:t>
            </w:r>
            <w:r>
              <w:rPr>
                <w:rFonts w:hint="eastAsia" w:eastAsiaTheme="minorEastAsia"/>
                <w:spacing w:val="6"/>
                <w:sz w:val="21"/>
                <w:szCs w:val="21"/>
                <w:highlight w:val="none"/>
              </w:rPr>
              <w:t xml:space="preserve">分； </w:t>
            </w:r>
          </w:p>
          <w:p w14:paraId="3AE27A17">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eastAsiaTheme="minorEastAsia"/>
                <w:spacing w:val="6"/>
                <w:sz w:val="21"/>
                <w:szCs w:val="21"/>
                <w:highlight w:val="none"/>
              </w:rPr>
            </w:pPr>
            <w:r>
              <w:rPr>
                <w:rFonts w:hint="eastAsia" w:eastAsiaTheme="minorEastAsia"/>
                <w:spacing w:val="6"/>
                <w:sz w:val="21"/>
                <w:szCs w:val="21"/>
                <w:highlight w:val="none"/>
              </w:rPr>
              <w:t>内容</w:t>
            </w:r>
            <w:r>
              <w:rPr>
                <w:rFonts w:hint="eastAsia" w:eastAsiaTheme="minorEastAsia"/>
                <w:spacing w:val="6"/>
                <w:sz w:val="21"/>
                <w:szCs w:val="21"/>
                <w:highlight w:val="none"/>
                <w:lang w:val="en-US" w:eastAsia="zh-CN"/>
              </w:rPr>
              <w:t>较完整详细</w:t>
            </w:r>
            <w:r>
              <w:rPr>
                <w:rFonts w:hint="eastAsia" w:eastAsiaTheme="minorEastAsia"/>
                <w:spacing w:val="6"/>
                <w:sz w:val="21"/>
                <w:szCs w:val="21"/>
                <w:highlight w:val="none"/>
              </w:rPr>
              <w:t>、</w:t>
            </w:r>
            <w:r>
              <w:rPr>
                <w:rFonts w:hint="eastAsia" w:eastAsiaTheme="minorEastAsia"/>
                <w:spacing w:val="6"/>
                <w:sz w:val="21"/>
                <w:szCs w:val="21"/>
                <w:highlight w:val="none"/>
                <w:lang w:val="en-US" w:eastAsia="zh-CN"/>
              </w:rPr>
              <w:t>性能较优越</w:t>
            </w:r>
            <w:r>
              <w:rPr>
                <w:rFonts w:hint="eastAsia" w:eastAsiaTheme="minorEastAsia"/>
                <w:spacing w:val="6"/>
                <w:sz w:val="21"/>
                <w:szCs w:val="21"/>
                <w:highlight w:val="none"/>
                <w:lang w:eastAsia="zh-CN"/>
              </w:rPr>
              <w:t>，</w:t>
            </w:r>
            <w:r>
              <w:rPr>
                <w:rFonts w:hint="eastAsia" w:eastAsiaTheme="minorEastAsia"/>
                <w:spacing w:val="6"/>
                <w:sz w:val="21"/>
                <w:szCs w:val="21"/>
                <w:highlight w:val="none"/>
                <w:lang w:val="en-US" w:eastAsia="zh-CN"/>
              </w:rPr>
              <w:t>基本满足采购人需求</w:t>
            </w:r>
            <w:r>
              <w:rPr>
                <w:rFonts w:hint="eastAsia" w:eastAsiaTheme="minorEastAsia"/>
                <w:spacing w:val="6"/>
                <w:sz w:val="21"/>
                <w:szCs w:val="21"/>
                <w:highlight w:val="none"/>
              </w:rPr>
              <w:t>得</w:t>
            </w:r>
            <w:r>
              <w:rPr>
                <w:rFonts w:hint="eastAsia" w:eastAsiaTheme="minorEastAsia"/>
                <w:spacing w:val="6"/>
                <w:sz w:val="21"/>
                <w:szCs w:val="21"/>
                <w:highlight w:val="none"/>
                <w:lang w:val="en-US" w:eastAsia="zh-CN"/>
              </w:rPr>
              <w:t>3</w:t>
            </w:r>
            <w:r>
              <w:rPr>
                <w:rFonts w:hint="eastAsia" w:eastAsiaTheme="minorEastAsia"/>
                <w:spacing w:val="6"/>
                <w:sz w:val="21"/>
                <w:szCs w:val="21"/>
                <w:highlight w:val="none"/>
              </w:rPr>
              <w:t>分；</w:t>
            </w:r>
          </w:p>
          <w:p w14:paraId="26BD6B26">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eastAsiaTheme="minorEastAsia"/>
                <w:spacing w:val="6"/>
                <w:sz w:val="21"/>
                <w:szCs w:val="21"/>
                <w:highlight w:val="none"/>
              </w:rPr>
            </w:pPr>
            <w:r>
              <w:rPr>
                <w:rFonts w:hint="eastAsia" w:eastAsiaTheme="minorEastAsia"/>
                <w:spacing w:val="6"/>
                <w:sz w:val="21"/>
                <w:szCs w:val="21"/>
                <w:highlight w:val="none"/>
              </w:rPr>
              <w:t>内容</w:t>
            </w:r>
            <w:r>
              <w:rPr>
                <w:rFonts w:hint="eastAsia" w:eastAsiaTheme="minorEastAsia"/>
                <w:spacing w:val="6"/>
                <w:sz w:val="21"/>
                <w:szCs w:val="21"/>
                <w:highlight w:val="none"/>
                <w:lang w:val="en-US" w:eastAsia="zh-CN"/>
              </w:rPr>
              <w:t>欠完整详细</w:t>
            </w:r>
            <w:r>
              <w:rPr>
                <w:rFonts w:hint="eastAsia" w:eastAsiaTheme="minorEastAsia"/>
                <w:spacing w:val="6"/>
                <w:sz w:val="21"/>
                <w:szCs w:val="21"/>
                <w:highlight w:val="none"/>
              </w:rPr>
              <w:t>、</w:t>
            </w:r>
            <w:r>
              <w:rPr>
                <w:rFonts w:hint="eastAsia" w:eastAsiaTheme="minorEastAsia"/>
                <w:spacing w:val="6"/>
                <w:sz w:val="21"/>
                <w:szCs w:val="21"/>
                <w:highlight w:val="none"/>
                <w:lang w:val="en-US" w:eastAsia="zh-CN"/>
              </w:rPr>
              <w:t>性能一般</w:t>
            </w:r>
            <w:r>
              <w:rPr>
                <w:rFonts w:hint="eastAsia" w:eastAsiaTheme="minorEastAsia"/>
                <w:spacing w:val="6"/>
                <w:sz w:val="21"/>
                <w:szCs w:val="21"/>
                <w:highlight w:val="none"/>
                <w:lang w:eastAsia="zh-CN"/>
              </w:rPr>
              <w:t>，</w:t>
            </w:r>
            <w:r>
              <w:rPr>
                <w:rFonts w:hint="eastAsia" w:eastAsiaTheme="minorEastAsia"/>
                <w:spacing w:val="6"/>
                <w:sz w:val="21"/>
                <w:szCs w:val="21"/>
                <w:highlight w:val="none"/>
                <w:lang w:val="en-US" w:eastAsia="zh-CN"/>
              </w:rPr>
              <w:t>不能完全满足采购人需求</w:t>
            </w:r>
            <w:r>
              <w:rPr>
                <w:rFonts w:hint="eastAsia" w:eastAsiaTheme="minorEastAsia"/>
                <w:spacing w:val="6"/>
                <w:sz w:val="21"/>
                <w:szCs w:val="21"/>
                <w:highlight w:val="none"/>
              </w:rPr>
              <w:t>得</w:t>
            </w:r>
            <w:r>
              <w:rPr>
                <w:rFonts w:hint="eastAsia" w:eastAsiaTheme="minorEastAsia"/>
                <w:spacing w:val="6"/>
                <w:sz w:val="21"/>
                <w:szCs w:val="21"/>
                <w:highlight w:val="none"/>
                <w:lang w:val="en-US" w:eastAsia="zh-CN"/>
              </w:rPr>
              <w:t>1</w:t>
            </w:r>
            <w:r>
              <w:rPr>
                <w:rFonts w:hint="eastAsia" w:eastAsiaTheme="minorEastAsia"/>
                <w:spacing w:val="6"/>
                <w:sz w:val="21"/>
                <w:szCs w:val="21"/>
                <w:highlight w:val="none"/>
              </w:rPr>
              <w:t>分；</w:t>
            </w:r>
          </w:p>
          <w:p w14:paraId="3AD29782">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eastAsia="宋体" w:cs="宋体"/>
                <w:spacing w:val="6"/>
                <w:sz w:val="21"/>
                <w:szCs w:val="21"/>
                <w:highlight w:val="none"/>
                <w:lang w:eastAsia="zh-CN"/>
              </w:rPr>
            </w:pPr>
            <w:r>
              <w:rPr>
                <w:rFonts w:hint="eastAsia"/>
                <w:spacing w:val="6"/>
                <w:sz w:val="21"/>
                <w:szCs w:val="21"/>
                <w:highlight w:val="none"/>
              </w:rPr>
              <w:t>缺项或完全不合格得0分</w:t>
            </w:r>
            <w:r>
              <w:rPr>
                <w:rFonts w:hint="eastAsia" w:eastAsiaTheme="minorEastAsia"/>
                <w:spacing w:val="6"/>
                <w:sz w:val="21"/>
                <w:szCs w:val="21"/>
                <w:highlight w:val="none"/>
                <w:lang w:val="en-US" w:eastAsia="zh-CN"/>
              </w:rPr>
              <w:t>。</w:t>
            </w:r>
          </w:p>
        </w:tc>
      </w:tr>
      <w:tr w14:paraId="40E93D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4" w:type="dxa"/>
            <w:vMerge w:val="continue"/>
            <w:tcBorders>
              <w:right w:val="single" w:color="auto" w:sz="4" w:space="0"/>
            </w:tcBorders>
            <w:vAlign w:val="center"/>
          </w:tcPr>
          <w:p w14:paraId="6CCFBC7C">
            <w:pPr>
              <w:spacing w:line="320" w:lineRule="exact"/>
              <w:jc w:val="center"/>
              <w:rPr>
                <w:rFonts w:hint="eastAsia" w:ascii="宋体" w:hAnsi="宋体" w:eastAsia="宋体" w:cs="宋体"/>
                <w:color w:val="auto"/>
                <w:spacing w:val="6"/>
                <w:sz w:val="21"/>
                <w:szCs w:val="21"/>
                <w:highlight w:val="none"/>
              </w:rPr>
            </w:pPr>
          </w:p>
        </w:tc>
        <w:tc>
          <w:tcPr>
            <w:tcW w:w="930" w:type="dxa"/>
            <w:vMerge w:val="continue"/>
            <w:tcBorders>
              <w:left w:val="single" w:color="auto" w:sz="4" w:space="0"/>
              <w:right w:val="single" w:color="auto" w:sz="4" w:space="0"/>
            </w:tcBorders>
            <w:vAlign w:val="center"/>
          </w:tcPr>
          <w:p w14:paraId="2C645323">
            <w:pPr>
              <w:spacing w:line="320" w:lineRule="exact"/>
              <w:jc w:val="center"/>
              <w:rPr>
                <w:rFonts w:hint="eastAsia" w:ascii="宋体" w:hAnsi="宋体" w:eastAsia="宋体" w:cs="宋体"/>
                <w:color w:val="auto"/>
                <w:spacing w:val="6"/>
                <w:sz w:val="21"/>
                <w:szCs w:val="21"/>
                <w:highlight w:val="none"/>
              </w:rPr>
            </w:pPr>
          </w:p>
        </w:tc>
        <w:tc>
          <w:tcPr>
            <w:tcW w:w="2613" w:type="dxa"/>
            <w:tcBorders>
              <w:top w:val="single" w:color="auto" w:sz="4" w:space="0"/>
              <w:left w:val="single" w:color="auto" w:sz="4" w:space="0"/>
              <w:bottom w:val="single" w:color="auto" w:sz="4" w:space="0"/>
              <w:right w:val="single" w:color="auto" w:sz="4" w:space="0"/>
            </w:tcBorders>
            <w:vAlign w:val="center"/>
          </w:tcPr>
          <w:p w14:paraId="53857301">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宋体" w:hAnsi="宋体" w:eastAsia="宋体" w:cs="宋体"/>
                <w:bCs/>
                <w:color w:val="000000" w:themeColor="text1"/>
                <w:kern w:val="0"/>
                <w:sz w:val="21"/>
                <w:szCs w:val="22"/>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2"/>
                <w:highlight w:val="none"/>
                <w:lang w:val="en-US" w:eastAsia="zh-CN"/>
                <w14:textFill>
                  <w14:solidFill>
                    <w14:schemeClr w14:val="tx1"/>
                  </w14:solidFill>
                </w14:textFill>
              </w:rPr>
              <w:t>项目实施方案（</w:t>
            </w:r>
            <w:r>
              <w:rPr>
                <w:rFonts w:hint="eastAsia" w:ascii="宋体" w:hAnsi="宋体" w:cs="宋体"/>
                <w:bCs/>
                <w:color w:val="000000" w:themeColor="text1"/>
                <w:kern w:val="0"/>
                <w:sz w:val="21"/>
                <w:szCs w:val="22"/>
                <w:highlight w:val="none"/>
                <w:lang w:val="en-US" w:eastAsia="zh-CN"/>
                <w14:textFill>
                  <w14:solidFill>
                    <w14:schemeClr w14:val="tx1"/>
                  </w14:solidFill>
                </w14:textFill>
              </w:rPr>
              <w:t>5</w:t>
            </w:r>
            <w:r>
              <w:rPr>
                <w:rFonts w:hint="eastAsia" w:ascii="宋体" w:hAnsi="宋体" w:eastAsia="宋体" w:cs="宋体"/>
                <w:bCs/>
                <w:color w:val="000000" w:themeColor="text1"/>
                <w:kern w:val="0"/>
                <w:sz w:val="21"/>
                <w:szCs w:val="22"/>
                <w:highlight w:val="none"/>
                <w:lang w:val="en-US" w:eastAsia="zh-CN"/>
                <w14:textFill>
                  <w14:solidFill>
                    <w14:schemeClr w14:val="tx1"/>
                  </w14:solidFill>
                </w14:textFill>
              </w:rPr>
              <w:t>分）</w:t>
            </w:r>
          </w:p>
        </w:tc>
        <w:tc>
          <w:tcPr>
            <w:tcW w:w="5262" w:type="dxa"/>
            <w:tcBorders>
              <w:top w:val="single" w:color="auto" w:sz="4" w:space="0"/>
              <w:left w:val="single" w:color="auto" w:sz="4" w:space="0"/>
              <w:bottom w:val="single" w:color="auto" w:sz="4" w:space="0"/>
              <w:right w:val="single" w:color="auto" w:sz="4" w:space="0"/>
            </w:tcBorders>
            <w:vAlign w:val="center"/>
          </w:tcPr>
          <w:p w14:paraId="6179CAB1">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eastAsiaTheme="minorEastAsia"/>
                <w:spacing w:val="6"/>
                <w:sz w:val="21"/>
                <w:szCs w:val="21"/>
                <w:highlight w:val="none"/>
              </w:rPr>
            </w:pPr>
            <w:r>
              <w:rPr>
                <w:rFonts w:hint="eastAsia" w:eastAsiaTheme="minorEastAsia"/>
                <w:spacing w:val="6"/>
                <w:sz w:val="21"/>
                <w:szCs w:val="21"/>
                <w:highlight w:val="none"/>
              </w:rPr>
              <w:t>根据投标人提供的</w:t>
            </w:r>
            <w:r>
              <w:rPr>
                <w:rFonts w:hint="eastAsia" w:eastAsiaTheme="minorEastAsia"/>
                <w:spacing w:val="6"/>
                <w:sz w:val="21"/>
                <w:szCs w:val="21"/>
                <w:highlight w:val="none"/>
                <w:lang w:val="en-US" w:eastAsia="zh-CN"/>
              </w:rPr>
              <w:t>项目</w:t>
            </w:r>
            <w:r>
              <w:rPr>
                <w:rFonts w:hint="eastAsia" w:eastAsiaTheme="minorEastAsia"/>
                <w:spacing w:val="6"/>
                <w:sz w:val="21"/>
                <w:szCs w:val="21"/>
                <w:highlight w:val="none"/>
              </w:rPr>
              <w:t>实施方案进行评分，包含但不限于对本项目的实施管理方案、实施计划安排、实施进度保证、质量保证措施、环境配置方案等内容进行评审。</w:t>
            </w:r>
          </w:p>
          <w:p w14:paraId="5AEA3DFE">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eastAsiaTheme="minorEastAsia"/>
                <w:spacing w:val="6"/>
                <w:sz w:val="21"/>
                <w:szCs w:val="21"/>
                <w:highlight w:val="none"/>
              </w:rPr>
            </w:pPr>
            <w:r>
              <w:rPr>
                <w:rFonts w:hint="eastAsia" w:eastAsiaTheme="minorEastAsia"/>
                <w:spacing w:val="6"/>
                <w:sz w:val="21"/>
                <w:szCs w:val="21"/>
                <w:highlight w:val="none"/>
                <w:lang w:val="en-US" w:eastAsia="zh-CN"/>
              </w:rPr>
              <w:t>以上</w:t>
            </w:r>
            <w:r>
              <w:rPr>
                <w:rFonts w:hint="eastAsia" w:eastAsiaTheme="minorEastAsia"/>
                <w:spacing w:val="6"/>
                <w:sz w:val="21"/>
                <w:szCs w:val="21"/>
                <w:highlight w:val="none"/>
              </w:rPr>
              <w:t>五项内容措施好、针对性和可操作性强</w:t>
            </w:r>
            <w:r>
              <w:rPr>
                <w:rFonts w:hint="eastAsia" w:eastAsiaTheme="minorEastAsia"/>
                <w:spacing w:val="6"/>
                <w:sz w:val="21"/>
                <w:szCs w:val="21"/>
                <w:highlight w:val="none"/>
                <w:lang w:eastAsia="zh-CN"/>
              </w:rPr>
              <w:t>，</w:t>
            </w:r>
            <w:r>
              <w:rPr>
                <w:rFonts w:hint="eastAsia" w:eastAsiaTheme="minorEastAsia"/>
                <w:spacing w:val="6"/>
                <w:sz w:val="21"/>
                <w:szCs w:val="21"/>
                <w:highlight w:val="none"/>
                <w:lang w:val="en-US" w:eastAsia="zh-CN"/>
              </w:rPr>
              <w:t>完全满足采购人需求</w:t>
            </w:r>
            <w:r>
              <w:rPr>
                <w:rFonts w:hint="eastAsia" w:eastAsiaTheme="minorEastAsia"/>
                <w:spacing w:val="6"/>
                <w:sz w:val="21"/>
                <w:szCs w:val="21"/>
                <w:highlight w:val="none"/>
              </w:rPr>
              <w:t>得</w:t>
            </w:r>
            <w:r>
              <w:rPr>
                <w:rFonts w:hint="eastAsia" w:eastAsiaTheme="minorEastAsia"/>
                <w:spacing w:val="6"/>
                <w:sz w:val="21"/>
                <w:szCs w:val="21"/>
                <w:highlight w:val="none"/>
                <w:lang w:val="en-US" w:eastAsia="zh-CN"/>
              </w:rPr>
              <w:t>5</w:t>
            </w:r>
            <w:r>
              <w:rPr>
                <w:rFonts w:hint="eastAsia" w:eastAsiaTheme="minorEastAsia"/>
                <w:spacing w:val="6"/>
                <w:sz w:val="21"/>
                <w:szCs w:val="21"/>
                <w:highlight w:val="none"/>
              </w:rPr>
              <w:t xml:space="preserve">分； </w:t>
            </w:r>
          </w:p>
          <w:p w14:paraId="578CE81A">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eastAsiaTheme="minorEastAsia"/>
                <w:spacing w:val="6"/>
                <w:sz w:val="21"/>
                <w:szCs w:val="21"/>
                <w:highlight w:val="none"/>
              </w:rPr>
            </w:pPr>
            <w:r>
              <w:rPr>
                <w:rFonts w:hint="eastAsia" w:eastAsiaTheme="minorEastAsia"/>
                <w:spacing w:val="6"/>
                <w:sz w:val="21"/>
                <w:szCs w:val="21"/>
                <w:highlight w:val="none"/>
                <w:lang w:val="en-US" w:eastAsia="zh-CN"/>
              </w:rPr>
              <w:t>以上</w:t>
            </w:r>
            <w:r>
              <w:rPr>
                <w:rFonts w:hint="eastAsia" w:eastAsiaTheme="minorEastAsia"/>
                <w:spacing w:val="6"/>
                <w:sz w:val="21"/>
                <w:szCs w:val="21"/>
                <w:highlight w:val="none"/>
              </w:rPr>
              <w:t>五项内容措施较好、针对性和可操作性较好</w:t>
            </w:r>
            <w:r>
              <w:rPr>
                <w:rFonts w:hint="eastAsia" w:eastAsiaTheme="minorEastAsia"/>
                <w:spacing w:val="6"/>
                <w:sz w:val="21"/>
                <w:szCs w:val="21"/>
                <w:highlight w:val="none"/>
                <w:lang w:eastAsia="zh-CN"/>
              </w:rPr>
              <w:t>，</w:t>
            </w:r>
            <w:r>
              <w:rPr>
                <w:rFonts w:hint="eastAsia" w:eastAsiaTheme="minorEastAsia"/>
                <w:spacing w:val="6"/>
                <w:sz w:val="21"/>
                <w:szCs w:val="21"/>
                <w:highlight w:val="none"/>
                <w:lang w:val="en-US" w:eastAsia="zh-CN"/>
              </w:rPr>
              <w:t>较能满足采购人需求</w:t>
            </w:r>
            <w:r>
              <w:rPr>
                <w:rFonts w:hint="eastAsia" w:eastAsiaTheme="minorEastAsia"/>
                <w:spacing w:val="6"/>
                <w:sz w:val="21"/>
                <w:szCs w:val="21"/>
                <w:highlight w:val="none"/>
              </w:rPr>
              <w:t>得</w:t>
            </w:r>
            <w:r>
              <w:rPr>
                <w:rFonts w:hint="eastAsia" w:eastAsiaTheme="minorEastAsia"/>
                <w:spacing w:val="6"/>
                <w:sz w:val="21"/>
                <w:szCs w:val="21"/>
                <w:highlight w:val="none"/>
                <w:lang w:val="en-US" w:eastAsia="zh-CN"/>
              </w:rPr>
              <w:t>3</w:t>
            </w:r>
            <w:r>
              <w:rPr>
                <w:rFonts w:hint="eastAsia" w:eastAsiaTheme="minorEastAsia"/>
                <w:spacing w:val="6"/>
                <w:sz w:val="21"/>
                <w:szCs w:val="21"/>
                <w:highlight w:val="none"/>
              </w:rPr>
              <w:t xml:space="preserve">分； </w:t>
            </w:r>
          </w:p>
          <w:p w14:paraId="621D11F8">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eastAsiaTheme="minorEastAsia"/>
                <w:spacing w:val="6"/>
                <w:sz w:val="21"/>
                <w:szCs w:val="21"/>
                <w:highlight w:val="none"/>
              </w:rPr>
            </w:pPr>
            <w:r>
              <w:rPr>
                <w:rFonts w:hint="eastAsia" w:eastAsiaTheme="minorEastAsia"/>
                <w:spacing w:val="6"/>
                <w:sz w:val="21"/>
                <w:szCs w:val="21"/>
                <w:highlight w:val="none"/>
                <w:lang w:val="en-US" w:eastAsia="zh-CN"/>
              </w:rPr>
              <w:t>以上</w:t>
            </w:r>
            <w:r>
              <w:rPr>
                <w:rFonts w:hint="eastAsia" w:eastAsiaTheme="minorEastAsia"/>
                <w:spacing w:val="6"/>
                <w:sz w:val="21"/>
                <w:szCs w:val="21"/>
                <w:highlight w:val="none"/>
              </w:rPr>
              <w:t>五项内容措施一般、针对性和可操作性较差</w:t>
            </w:r>
            <w:r>
              <w:rPr>
                <w:rFonts w:hint="eastAsia" w:eastAsiaTheme="minorEastAsia"/>
                <w:spacing w:val="6"/>
                <w:sz w:val="21"/>
                <w:szCs w:val="21"/>
                <w:highlight w:val="none"/>
                <w:lang w:eastAsia="zh-CN"/>
              </w:rPr>
              <w:t>，</w:t>
            </w:r>
            <w:r>
              <w:rPr>
                <w:rFonts w:hint="eastAsia" w:eastAsiaTheme="minorEastAsia"/>
                <w:spacing w:val="6"/>
                <w:sz w:val="21"/>
                <w:szCs w:val="21"/>
                <w:highlight w:val="none"/>
                <w:lang w:val="en-US" w:eastAsia="zh-CN"/>
              </w:rPr>
              <w:t>不能完全满足采购人需求</w:t>
            </w:r>
            <w:r>
              <w:rPr>
                <w:rFonts w:hint="eastAsia" w:eastAsiaTheme="minorEastAsia"/>
                <w:spacing w:val="6"/>
                <w:sz w:val="21"/>
                <w:szCs w:val="21"/>
                <w:highlight w:val="none"/>
              </w:rPr>
              <w:t>得</w:t>
            </w:r>
            <w:r>
              <w:rPr>
                <w:rFonts w:hint="eastAsia" w:eastAsiaTheme="minorEastAsia"/>
                <w:spacing w:val="6"/>
                <w:sz w:val="21"/>
                <w:szCs w:val="21"/>
                <w:highlight w:val="none"/>
                <w:lang w:val="en-US" w:eastAsia="zh-CN"/>
              </w:rPr>
              <w:t>1</w:t>
            </w:r>
            <w:r>
              <w:rPr>
                <w:rFonts w:hint="eastAsia" w:eastAsiaTheme="minorEastAsia"/>
                <w:spacing w:val="6"/>
                <w:sz w:val="21"/>
                <w:szCs w:val="21"/>
                <w:highlight w:val="none"/>
              </w:rPr>
              <w:t>分；</w:t>
            </w:r>
          </w:p>
          <w:p w14:paraId="1A3A640C">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spacing w:val="6"/>
                <w:sz w:val="21"/>
                <w:szCs w:val="21"/>
                <w:highlight w:val="none"/>
              </w:rPr>
            </w:pPr>
            <w:r>
              <w:rPr>
                <w:rFonts w:hint="eastAsia"/>
                <w:spacing w:val="6"/>
                <w:sz w:val="21"/>
                <w:szCs w:val="21"/>
                <w:highlight w:val="none"/>
              </w:rPr>
              <w:t>缺项或完全不合格得0分</w:t>
            </w:r>
            <w:r>
              <w:rPr>
                <w:rFonts w:hint="eastAsia" w:eastAsiaTheme="minorEastAsia"/>
                <w:spacing w:val="6"/>
                <w:sz w:val="21"/>
                <w:szCs w:val="21"/>
                <w:highlight w:val="none"/>
                <w:lang w:val="en-US" w:eastAsia="zh-CN"/>
              </w:rPr>
              <w:t>。</w:t>
            </w:r>
          </w:p>
        </w:tc>
      </w:tr>
      <w:tr w14:paraId="2EC8E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4" w:type="dxa"/>
            <w:vMerge w:val="continue"/>
            <w:tcBorders>
              <w:right w:val="single" w:color="auto" w:sz="4" w:space="0"/>
            </w:tcBorders>
            <w:vAlign w:val="center"/>
          </w:tcPr>
          <w:p w14:paraId="47A75DFB">
            <w:pPr>
              <w:spacing w:line="320" w:lineRule="exact"/>
              <w:jc w:val="center"/>
              <w:rPr>
                <w:rFonts w:hint="eastAsia" w:ascii="宋体" w:hAnsi="宋体" w:eastAsia="宋体" w:cs="宋体"/>
                <w:color w:val="auto"/>
                <w:spacing w:val="6"/>
                <w:sz w:val="21"/>
                <w:szCs w:val="21"/>
                <w:highlight w:val="none"/>
              </w:rPr>
            </w:pPr>
          </w:p>
        </w:tc>
        <w:tc>
          <w:tcPr>
            <w:tcW w:w="930" w:type="dxa"/>
            <w:vMerge w:val="continue"/>
            <w:tcBorders>
              <w:left w:val="single" w:color="auto" w:sz="4" w:space="0"/>
              <w:right w:val="single" w:color="auto" w:sz="4" w:space="0"/>
            </w:tcBorders>
            <w:vAlign w:val="center"/>
          </w:tcPr>
          <w:p w14:paraId="27B506B0">
            <w:pPr>
              <w:spacing w:line="320" w:lineRule="exact"/>
              <w:jc w:val="center"/>
              <w:rPr>
                <w:rFonts w:hint="eastAsia" w:ascii="宋体" w:hAnsi="宋体" w:eastAsia="宋体" w:cs="宋体"/>
                <w:color w:val="auto"/>
                <w:spacing w:val="6"/>
                <w:sz w:val="21"/>
                <w:szCs w:val="21"/>
                <w:highlight w:val="none"/>
              </w:rPr>
            </w:pPr>
          </w:p>
        </w:tc>
        <w:tc>
          <w:tcPr>
            <w:tcW w:w="2613" w:type="dxa"/>
            <w:tcBorders>
              <w:top w:val="single" w:color="auto" w:sz="4" w:space="0"/>
              <w:left w:val="single" w:color="auto" w:sz="4" w:space="0"/>
              <w:bottom w:val="single" w:color="auto" w:sz="4" w:space="0"/>
              <w:right w:val="single" w:color="auto" w:sz="4" w:space="0"/>
            </w:tcBorders>
            <w:vAlign w:val="center"/>
          </w:tcPr>
          <w:p w14:paraId="368B0180">
            <w:pPr>
              <w:keepNext w:val="0"/>
              <w:keepLines w:val="0"/>
              <w:suppressLineNumbers w:val="0"/>
              <w:spacing w:before="0" w:beforeAutospacing="0" w:after="0" w:afterAutospacing="0"/>
              <w:ind w:left="0" w:leftChars="0" w:right="0" w:rightChars="0"/>
              <w:jc w:val="center"/>
              <w:rPr>
                <w:rFonts w:hint="eastAsia" w:ascii="宋体" w:hAnsi="宋体" w:eastAsia="宋体"/>
                <w:sz w:val="21"/>
                <w:szCs w:val="21"/>
                <w:highlight w:val="none"/>
                <w:lang w:eastAsia="zh-CN"/>
              </w:rPr>
            </w:pPr>
            <w:r>
              <w:rPr>
                <w:rFonts w:hint="eastAsia"/>
                <w:sz w:val="21"/>
                <w:szCs w:val="21"/>
                <w:highlight w:val="none"/>
              </w:rPr>
              <w:t>应急方案措施</w:t>
            </w:r>
            <w:r>
              <w:rPr>
                <w:rFonts w:hint="eastAsia"/>
                <w:sz w:val="21"/>
                <w:szCs w:val="21"/>
                <w:highlight w:val="none"/>
                <w:lang w:eastAsia="zh-CN"/>
              </w:rPr>
              <w:t>（</w:t>
            </w:r>
            <w:r>
              <w:rPr>
                <w:rFonts w:hint="eastAsia"/>
                <w:sz w:val="21"/>
                <w:szCs w:val="21"/>
                <w:highlight w:val="none"/>
                <w:lang w:val="en-US" w:eastAsia="zh-CN"/>
              </w:rPr>
              <w:t>5分</w:t>
            </w:r>
            <w:r>
              <w:rPr>
                <w:rFonts w:hint="eastAsia"/>
                <w:sz w:val="21"/>
                <w:szCs w:val="21"/>
                <w:highlight w:val="none"/>
                <w:lang w:eastAsia="zh-CN"/>
              </w:rPr>
              <w:t>）</w:t>
            </w:r>
          </w:p>
        </w:tc>
        <w:tc>
          <w:tcPr>
            <w:tcW w:w="5262" w:type="dxa"/>
            <w:tcBorders>
              <w:top w:val="single" w:color="auto" w:sz="4" w:space="0"/>
              <w:left w:val="single" w:color="auto" w:sz="4" w:space="0"/>
              <w:bottom w:val="single" w:color="auto" w:sz="4" w:space="0"/>
              <w:right w:val="single" w:color="auto" w:sz="4" w:space="0"/>
            </w:tcBorders>
            <w:vAlign w:val="center"/>
          </w:tcPr>
          <w:p w14:paraId="2D3E7113">
            <w:pPr>
              <w:keepNext w:val="0"/>
              <w:keepLines w:val="0"/>
              <w:suppressLineNumbers w:val="0"/>
              <w:spacing w:before="0" w:beforeAutospacing="0" w:after="0" w:afterAutospacing="0" w:line="360" w:lineRule="exact"/>
              <w:ind w:left="0" w:right="0"/>
              <w:jc w:val="left"/>
              <w:rPr>
                <w:rFonts w:hint="default"/>
                <w:spacing w:val="6"/>
                <w:sz w:val="21"/>
                <w:szCs w:val="21"/>
                <w:highlight w:val="none"/>
              </w:rPr>
            </w:pPr>
            <w:r>
              <w:rPr>
                <w:rFonts w:hint="eastAsia"/>
                <w:spacing w:val="6"/>
                <w:sz w:val="21"/>
                <w:szCs w:val="21"/>
                <w:highlight w:val="none"/>
              </w:rPr>
              <w:t>内容全面详尽，响应时间迅速，保障措施完整可行，针对性强，能够完全满足项目需要得</w:t>
            </w:r>
            <w:r>
              <w:rPr>
                <w:rFonts w:hint="eastAsia"/>
                <w:spacing w:val="6"/>
                <w:sz w:val="21"/>
                <w:szCs w:val="21"/>
                <w:highlight w:val="none"/>
                <w:lang w:val="en-US" w:eastAsia="zh-CN"/>
              </w:rPr>
              <w:t>5</w:t>
            </w:r>
            <w:r>
              <w:rPr>
                <w:rFonts w:hint="eastAsia"/>
                <w:spacing w:val="6"/>
                <w:sz w:val="21"/>
                <w:szCs w:val="21"/>
                <w:highlight w:val="none"/>
              </w:rPr>
              <w:t>分；</w:t>
            </w:r>
          </w:p>
          <w:p w14:paraId="4C372C4F">
            <w:pPr>
              <w:keepNext w:val="0"/>
              <w:keepLines w:val="0"/>
              <w:suppressLineNumbers w:val="0"/>
              <w:spacing w:before="0" w:beforeAutospacing="0" w:after="0" w:afterAutospacing="0" w:line="360" w:lineRule="exact"/>
              <w:ind w:left="0" w:right="0"/>
              <w:jc w:val="left"/>
              <w:rPr>
                <w:rFonts w:hint="default"/>
                <w:spacing w:val="6"/>
                <w:sz w:val="21"/>
                <w:szCs w:val="21"/>
                <w:highlight w:val="none"/>
              </w:rPr>
            </w:pPr>
            <w:r>
              <w:rPr>
                <w:rFonts w:hint="eastAsia"/>
                <w:spacing w:val="6"/>
                <w:sz w:val="21"/>
                <w:szCs w:val="21"/>
                <w:highlight w:val="none"/>
              </w:rPr>
              <w:t>内容完整详实，响应时间较迅速，保障措施较完整可行，针对性较强，能够满足项目需要得</w:t>
            </w:r>
            <w:r>
              <w:rPr>
                <w:rFonts w:hint="eastAsia"/>
                <w:spacing w:val="6"/>
                <w:sz w:val="21"/>
                <w:szCs w:val="21"/>
                <w:highlight w:val="none"/>
                <w:lang w:val="en-US" w:eastAsia="zh-CN"/>
              </w:rPr>
              <w:t>3</w:t>
            </w:r>
            <w:r>
              <w:rPr>
                <w:rFonts w:hint="eastAsia"/>
                <w:spacing w:val="6"/>
                <w:sz w:val="21"/>
                <w:szCs w:val="21"/>
                <w:highlight w:val="none"/>
              </w:rPr>
              <w:t>分；</w:t>
            </w:r>
          </w:p>
          <w:p w14:paraId="59F7969B">
            <w:pPr>
              <w:keepNext w:val="0"/>
              <w:keepLines w:val="0"/>
              <w:suppressLineNumbers w:val="0"/>
              <w:spacing w:before="0" w:beforeAutospacing="0" w:after="0" w:afterAutospacing="0" w:line="360" w:lineRule="exact"/>
              <w:ind w:left="0" w:right="0"/>
              <w:jc w:val="left"/>
              <w:rPr>
                <w:rFonts w:hint="default"/>
                <w:spacing w:val="6"/>
                <w:sz w:val="21"/>
                <w:szCs w:val="21"/>
                <w:highlight w:val="none"/>
              </w:rPr>
            </w:pPr>
            <w:r>
              <w:rPr>
                <w:rFonts w:hint="eastAsia"/>
                <w:spacing w:val="6"/>
                <w:sz w:val="21"/>
                <w:szCs w:val="21"/>
                <w:highlight w:val="none"/>
              </w:rPr>
              <w:t>内容不完整，措施可行性不强，不能满足项目需要得</w:t>
            </w:r>
            <w:r>
              <w:rPr>
                <w:rFonts w:hint="eastAsia"/>
                <w:spacing w:val="6"/>
                <w:sz w:val="21"/>
                <w:szCs w:val="21"/>
                <w:highlight w:val="none"/>
                <w:lang w:val="en-US" w:eastAsia="zh-CN"/>
              </w:rPr>
              <w:t>1</w:t>
            </w:r>
            <w:r>
              <w:rPr>
                <w:rFonts w:hint="eastAsia"/>
                <w:spacing w:val="6"/>
                <w:sz w:val="21"/>
                <w:szCs w:val="21"/>
                <w:highlight w:val="none"/>
              </w:rPr>
              <w:t>分；</w:t>
            </w:r>
          </w:p>
          <w:p w14:paraId="3C99891E">
            <w:pPr>
              <w:keepNext w:val="0"/>
              <w:keepLines w:val="0"/>
              <w:suppressLineNumbers w:val="0"/>
              <w:spacing w:before="0" w:beforeAutospacing="0" w:after="0" w:afterAutospacing="0" w:line="360" w:lineRule="exact"/>
              <w:ind w:left="0" w:leftChars="0" w:right="0" w:rightChars="0"/>
              <w:jc w:val="left"/>
              <w:rPr>
                <w:rFonts w:hint="eastAsia" w:ascii="宋体" w:hAnsi="宋体" w:eastAsia="宋体" w:cs="宋体"/>
                <w:spacing w:val="6"/>
                <w:sz w:val="21"/>
                <w:szCs w:val="21"/>
                <w:highlight w:val="none"/>
                <w:lang w:val="en-US" w:eastAsia="zh-CN"/>
              </w:rPr>
            </w:pPr>
            <w:r>
              <w:rPr>
                <w:rFonts w:hint="eastAsia"/>
                <w:spacing w:val="6"/>
                <w:sz w:val="21"/>
                <w:szCs w:val="21"/>
                <w:highlight w:val="none"/>
              </w:rPr>
              <w:t>缺项或完全不合格得0分。</w:t>
            </w:r>
          </w:p>
        </w:tc>
      </w:tr>
      <w:tr w14:paraId="02040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4" w:type="dxa"/>
            <w:vMerge w:val="continue"/>
            <w:tcBorders>
              <w:right w:val="single" w:color="auto" w:sz="4" w:space="0"/>
            </w:tcBorders>
            <w:vAlign w:val="center"/>
          </w:tcPr>
          <w:p w14:paraId="59036FC4">
            <w:pPr>
              <w:spacing w:line="320" w:lineRule="exact"/>
              <w:jc w:val="center"/>
              <w:rPr>
                <w:rFonts w:hint="eastAsia" w:ascii="宋体" w:hAnsi="宋体" w:eastAsia="宋体" w:cs="宋体"/>
                <w:color w:val="auto"/>
                <w:spacing w:val="6"/>
                <w:sz w:val="21"/>
                <w:szCs w:val="21"/>
                <w:highlight w:val="none"/>
              </w:rPr>
            </w:pPr>
          </w:p>
        </w:tc>
        <w:tc>
          <w:tcPr>
            <w:tcW w:w="930" w:type="dxa"/>
            <w:vMerge w:val="continue"/>
            <w:tcBorders>
              <w:left w:val="single" w:color="auto" w:sz="4" w:space="0"/>
              <w:right w:val="single" w:color="auto" w:sz="4" w:space="0"/>
            </w:tcBorders>
            <w:vAlign w:val="center"/>
          </w:tcPr>
          <w:p w14:paraId="1F0C55B7">
            <w:pPr>
              <w:spacing w:line="320" w:lineRule="exact"/>
              <w:jc w:val="center"/>
              <w:rPr>
                <w:rFonts w:hint="eastAsia" w:ascii="宋体" w:hAnsi="宋体" w:eastAsia="宋体" w:cs="宋体"/>
                <w:color w:val="auto"/>
                <w:spacing w:val="6"/>
                <w:sz w:val="21"/>
                <w:szCs w:val="21"/>
                <w:highlight w:val="none"/>
              </w:rPr>
            </w:pPr>
          </w:p>
        </w:tc>
        <w:tc>
          <w:tcPr>
            <w:tcW w:w="2613" w:type="dxa"/>
            <w:tcBorders>
              <w:top w:val="single" w:color="auto" w:sz="4" w:space="0"/>
              <w:left w:val="single" w:color="auto" w:sz="4" w:space="0"/>
              <w:bottom w:val="single" w:color="auto" w:sz="4" w:space="0"/>
              <w:right w:val="single" w:color="auto" w:sz="4" w:space="0"/>
            </w:tcBorders>
            <w:vAlign w:val="center"/>
          </w:tcPr>
          <w:p w14:paraId="19139DC5">
            <w:pPr>
              <w:spacing w:line="360" w:lineRule="exact"/>
              <w:jc w:val="center"/>
              <w:rPr>
                <w:rFonts w:hint="eastAsia" w:ascii="宋体" w:hAnsi="宋体" w:eastAsia="宋体" w:cs="宋体"/>
                <w:spacing w:val="30"/>
                <w:highlight w:val="none"/>
                <w:lang w:eastAsia="zh-CN"/>
              </w:rPr>
            </w:pPr>
            <w:r>
              <w:rPr>
                <w:rFonts w:hint="eastAsia"/>
                <w:bCs/>
                <w:sz w:val="21"/>
                <w:szCs w:val="22"/>
                <w:highlight w:val="none"/>
              </w:rPr>
              <w:t>售后服务方案</w:t>
            </w:r>
            <w:r>
              <w:rPr>
                <w:rFonts w:hint="eastAsia"/>
                <w:bCs/>
                <w:sz w:val="21"/>
                <w:szCs w:val="22"/>
                <w:highlight w:val="none"/>
                <w:lang w:eastAsia="zh-CN"/>
              </w:rPr>
              <w:t>（</w:t>
            </w:r>
            <w:r>
              <w:rPr>
                <w:rFonts w:hint="eastAsia"/>
                <w:bCs/>
                <w:sz w:val="21"/>
                <w:szCs w:val="22"/>
                <w:highlight w:val="none"/>
                <w:lang w:val="en-US" w:eastAsia="zh-CN"/>
              </w:rPr>
              <w:t>6分</w:t>
            </w:r>
            <w:r>
              <w:rPr>
                <w:rFonts w:hint="eastAsia"/>
                <w:bCs/>
                <w:sz w:val="21"/>
                <w:szCs w:val="22"/>
                <w:highlight w:val="none"/>
                <w:lang w:eastAsia="zh-CN"/>
              </w:rPr>
              <w:t>）</w:t>
            </w:r>
          </w:p>
        </w:tc>
        <w:tc>
          <w:tcPr>
            <w:tcW w:w="5262" w:type="dxa"/>
            <w:tcBorders>
              <w:top w:val="single" w:color="auto" w:sz="4" w:space="0"/>
              <w:left w:val="single" w:color="auto" w:sz="4" w:space="0"/>
              <w:bottom w:val="single" w:color="auto" w:sz="4" w:space="0"/>
              <w:right w:val="single" w:color="auto" w:sz="4" w:space="0"/>
            </w:tcBorders>
            <w:vAlign w:val="center"/>
          </w:tcPr>
          <w:p w14:paraId="4993874A">
            <w:pPr>
              <w:spacing w:line="360" w:lineRule="exact"/>
              <w:jc w:val="left"/>
              <w:rPr>
                <w:rFonts w:hint="eastAsia" w:eastAsiaTheme="minorEastAsia"/>
                <w:color w:val="000000" w:themeColor="text1"/>
                <w:spacing w:val="6"/>
                <w:sz w:val="21"/>
                <w:szCs w:val="21"/>
                <w:highlight w:val="none"/>
                <w14:textFill>
                  <w14:solidFill>
                    <w14:schemeClr w14:val="tx1"/>
                  </w14:solidFill>
                </w14:textFill>
              </w:rPr>
            </w:pPr>
            <w:r>
              <w:rPr>
                <w:rFonts w:hint="eastAsia" w:eastAsiaTheme="minorEastAsia"/>
                <w:color w:val="000000" w:themeColor="text1"/>
                <w:spacing w:val="6"/>
                <w:sz w:val="21"/>
                <w:szCs w:val="21"/>
                <w:highlight w:val="none"/>
                <w14:textFill>
                  <w14:solidFill>
                    <w14:schemeClr w14:val="tx1"/>
                  </w14:solidFill>
                </w14:textFill>
              </w:rPr>
              <w:t>售后服务计划（包括服务内容、服务团队、巡检服务和故障响应时间、解决问题时间、保障措施等）全面、详尽、符合项目特点，完全满足项目要求的，得</w:t>
            </w:r>
            <w:r>
              <w:rPr>
                <w:rFonts w:hint="eastAsia" w:eastAsiaTheme="minorEastAsia"/>
                <w:color w:val="000000" w:themeColor="text1"/>
                <w:spacing w:val="6"/>
                <w:sz w:val="21"/>
                <w:szCs w:val="21"/>
                <w:highlight w:val="none"/>
                <w:lang w:val="en-US" w:eastAsia="zh-CN"/>
                <w14:textFill>
                  <w14:solidFill>
                    <w14:schemeClr w14:val="tx1"/>
                  </w14:solidFill>
                </w14:textFill>
              </w:rPr>
              <w:t>6</w:t>
            </w:r>
            <w:r>
              <w:rPr>
                <w:rFonts w:hint="eastAsia" w:eastAsiaTheme="minorEastAsia"/>
                <w:color w:val="000000" w:themeColor="text1"/>
                <w:spacing w:val="6"/>
                <w:sz w:val="21"/>
                <w:szCs w:val="21"/>
                <w:highlight w:val="none"/>
                <w14:textFill>
                  <w14:solidFill>
                    <w14:schemeClr w14:val="tx1"/>
                  </w14:solidFill>
                </w14:textFill>
              </w:rPr>
              <w:t>分；</w:t>
            </w:r>
          </w:p>
          <w:p w14:paraId="308C0CC2">
            <w:pPr>
              <w:spacing w:line="360" w:lineRule="exact"/>
              <w:jc w:val="left"/>
              <w:rPr>
                <w:rFonts w:hint="eastAsia" w:eastAsiaTheme="minorEastAsia"/>
                <w:color w:val="000000" w:themeColor="text1"/>
                <w:spacing w:val="6"/>
                <w:sz w:val="21"/>
                <w:szCs w:val="21"/>
                <w:highlight w:val="none"/>
                <w:lang w:eastAsia="zh-CN"/>
                <w14:textFill>
                  <w14:solidFill>
                    <w14:schemeClr w14:val="tx1"/>
                  </w14:solidFill>
                </w14:textFill>
              </w:rPr>
            </w:pPr>
            <w:r>
              <w:rPr>
                <w:rFonts w:hint="eastAsia" w:eastAsiaTheme="minorEastAsia"/>
                <w:color w:val="000000" w:themeColor="text1"/>
                <w:spacing w:val="6"/>
                <w:sz w:val="21"/>
                <w:szCs w:val="21"/>
                <w:highlight w:val="none"/>
                <w14:textFill>
                  <w14:solidFill>
                    <w14:schemeClr w14:val="tx1"/>
                  </w14:solidFill>
                </w14:textFill>
              </w:rPr>
              <w:t>基本全面、详尽或者保障措施基本充分、可靠、有效的，得</w:t>
            </w:r>
            <w:r>
              <w:rPr>
                <w:rFonts w:hint="eastAsia" w:eastAsiaTheme="minorEastAsia"/>
                <w:color w:val="000000" w:themeColor="text1"/>
                <w:spacing w:val="6"/>
                <w:sz w:val="21"/>
                <w:szCs w:val="21"/>
                <w:highlight w:val="none"/>
                <w:lang w:val="en-US" w:eastAsia="zh-CN"/>
                <w14:textFill>
                  <w14:solidFill>
                    <w14:schemeClr w14:val="tx1"/>
                  </w14:solidFill>
                </w14:textFill>
              </w:rPr>
              <w:t>3</w:t>
            </w:r>
            <w:r>
              <w:rPr>
                <w:rFonts w:hint="eastAsia" w:eastAsiaTheme="minorEastAsia"/>
                <w:color w:val="000000" w:themeColor="text1"/>
                <w:spacing w:val="6"/>
                <w:sz w:val="21"/>
                <w:szCs w:val="21"/>
                <w:highlight w:val="none"/>
                <w14:textFill>
                  <w14:solidFill>
                    <w14:schemeClr w14:val="tx1"/>
                  </w14:solidFill>
                </w14:textFill>
              </w:rPr>
              <w:t>分，否则不得分</w:t>
            </w:r>
            <w:r>
              <w:rPr>
                <w:rFonts w:hint="eastAsia" w:eastAsiaTheme="minorEastAsia"/>
                <w:color w:val="000000" w:themeColor="text1"/>
                <w:spacing w:val="6"/>
                <w:sz w:val="21"/>
                <w:szCs w:val="21"/>
                <w:highlight w:val="none"/>
                <w:lang w:eastAsia="zh-CN"/>
                <w14:textFill>
                  <w14:solidFill>
                    <w14:schemeClr w14:val="tx1"/>
                  </w14:solidFill>
                </w14:textFill>
              </w:rPr>
              <w:t>；</w:t>
            </w:r>
          </w:p>
          <w:p w14:paraId="59260836">
            <w:pPr>
              <w:spacing w:line="360" w:lineRule="exact"/>
              <w:jc w:val="left"/>
              <w:rPr>
                <w:rFonts w:hint="eastAsia" w:eastAsiaTheme="minorEastAsia"/>
                <w:color w:val="000000" w:themeColor="text1"/>
                <w:spacing w:val="6"/>
                <w:sz w:val="21"/>
                <w:szCs w:val="21"/>
                <w:highlight w:val="none"/>
                <w:lang w:eastAsia="zh-CN"/>
                <w14:textFill>
                  <w14:solidFill>
                    <w14:schemeClr w14:val="tx1"/>
                  </w14:solidFill>
                </w14:textFill>
              </w:rPr>
            </w:pPr>
            <w:r>
              <w:rPr>
                <w:rFonts w:hint="eastAsia" w:eastAsiaTheme="minorEastAsia"/>
                <w:color w:val="000000" w:themeColor="text1"/>
                <w:spacing w:val="6"/>
                <w:sz w:val="21"/>
                <w:szCs w:val="21"/>
                <w:highlight w:val="none"/>
                <w14:textFill>
                  <w14:solidFill>
                    <w14:schemeClr w14:val="tx1"/>
                  </w14:solidFill>
                </w14:textFill>
              </w:rPr>
              <w:t>不全面、不详尽或者保障措施欠充分、欠可靠、欠有效的，得 1 分</w:t>
            </w:r>
            <w:r>
              <w:rPr>
                <w:rFonts w:hint="eastAsia" w:eastAsiaTheme="minorEastAsia"/>
                <w:color w:val="000000" w:themeColor="text1"/>
                <w:spacing w:val="6"/>
                <w:sz w:val="21"/>
                <w:szCs w:val="21"/>
                <w:highlight w:val="none"/>
                <w:lang w:eastAsia="zh-CN"/>
                <w14:textFill>
                  <w14:solidFill>
                    <w14:schemeClr w14:val="tx1"/>
                  </w14:solidFill>
                </w14:textFill>
              </w:rPr>
              <w:t>；</w:t>
            </w:r>
          </w:p>
          <w:p w14:paraId="79D44884">
            <w:pPr>
              <w:spacing w:line="360" w:lineRule="exact"/>
              <w:jc w:val="left"/>
              <w:rPr>
                <w:rFonts w:hint="eastAsia" w:ascii="宋体" w:hAnsi="宋体" w:eastAsia="宋体" w:cs="宋体"/>
                <w:spacing w:val="6"/>
                <w:sz w:val="21"/>
                <w:szCs w:val="21"/>
                <w:highlight w:val="none"/>
                <w:lang w:val="en-US" w:eastAsia="zh-CN"/>
              </w:rPr>
            </w:pPr>
            <w:r>
              <w:rPr>
                <w:rFonts w:hint="eastAsia"/>
                <w:spacing w:val="6"/>
                <w:sz w:val="21"/>
                <w:szCs w:val="21"/>
                <w:highlight w:val="none"/>
              </w:rPr>
              <w:t>缺项或完全不合格得0分</w:t>
            </w:r>
            <w:r>
              <w:rPr>
                <w:rFonts w:hint="eastAsia" w:eastAsiaTheme="minorEastAsia"/>
                <w:color w:val="000000" w:themeColor="text1"/>
                <w:spacing w:val="6"/>
                <w:sz w:val="21"/>
                <w:szCs w:val="21"/>
                <w:highlight w:val="none"/>
                <w14:textFill>
                  <w14:solidFill>
                    <w14:schemeClr w14:val="tx1"/>
                  </w14:solidFill>
                </w14:textFill>
              </w:rPr>
              <w:t>。</w:t>
            </w:r>
          </w:p>
        </w:tc>
      </w:tr>
      <w:tr w14:paraId="562614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4" w:type="dxa"/>
            <w:vMerge w:val="continue"/>
            <w:tcBorders>
              <w:right w:val="single" w:color="auto" w:sz="4" w:space="0"/>
            </w:tcBorders>
            <w:vAlign w:val="center"/>
          </w:tcPr>
          <w:p w14:paraId="2D65AAD2">
            <w:pPr>
              <w:spacing w:line="320" w:lineRule="exact"/>
              <w:jc w:val="center"/>
              <w:rPr>
                <w:rFonts w:hint="eastAsia" w:ascii="宋体" w:hAnsi="宋体" w:eastAsia="宋体" w:cs="宋体"/>
                <w:color w:val="auto"/>
                <w:spacing w:val="6"/>
                <w:sz w:val="21"/>
                <w:szCs w:val="21"/>
                <w:highlight w:val="none"/>
              </w:rPr>
            </w:pPr>
            <w:bookmarkStart w:id="486" w:name="_Toc22401"/>
            <w:bookmarkStart w:id="487" w:name="_Toc26091"/>
            <w:bookmarkStart w:id="488" w:name="_Toc4993"/>
            <w:bookmarkStart w:id="489" w:name="_Toc6278"/>
            <w:bookmarkStart w:id="490" w:name="_Toc1660854"/>
          </w:p>
        </w:tc>
        <w:tc>
          <w:tcPr>
            <w:tcW w:w="930" w:type="dxa"/>
            <w:vMerge w:val="continue"/>
            <w:tcBorders>
              <w:left w:val="single" w:color="auto" w:sz="4" w:space="0"/>
              <w:right w:val="single" w:color="auto" w:sz="4" w:space="0"/>
            </w:tcBorders>
            <w:vAlign w:val="center"/>
          </w:tcPr>
          <w:p w14:paraId="1B2C0B88">
            <w:pPr>
              <w:spacing w:line="320" w:lineRule="exact"/>
              <w:jc w:val="center"/>
              <w:rPr>
                <w:rFonts w:hint="eastAsia" w:ascii="宋体" w:hAnsi="宋体" w:eastAsia="宋体" w:cs="宋体"/>
                <w:color w:val="auto"/>
                <w:spacing w:val="6"/>
                <w:sz w:val="21"/>
                <w:szCs w:val="21"/>
                <w:highlight w:val="none"/>
              </w:rPr>
            </w:pPr>
          </w:p>
        </w:tc>
        <w:tc>
          <w:tcPr>
            <w:tcW w:w="2613" w:type="dxa"/>
            <w:tcBorders>
              <w:top w:val="single" w:color="auto" w:sz="4" w:space="0"/>
              <w:left w:val="single" w:color="auto" w:sz="4" w:space="0"/>
              <w:bottom w:val="single" w:color="auto" w:sz="4" w:space="0"/>
              <w:right w:val="single" w:color="auto" w:sz="4" w:space="0"/>
            </w:tcBorders>
            <w:vAlign w:val="center"/>
          </w:tcPr>
          <w:p w14:paraId="5E168915">
            <w:pPr>
              <w:keepNext w:val="0"/>
              <w:keepLines w:val="0"/>
              <w:suppressLineNumbers w:val="0"/>
              <w:spacing w:before="0" w:beforeAutospacing="0" w:after="0" w:afterAutospacing="0"/>
              <w:ind w:left="0" w:leftChars="0" w:right="0" w:rightChars="0"/>
              <w:jc w:val="center"/>
              <w:rPr>
                <w:rFonts w:hint="eastAsia"/>
                <w:bCs/>
                <w:sz w:val="21"/>
                <w:szCs w:val="22"/>
                <w:highlight w:val="none"/>
              </w:rPr>
            </w:pPr>
            <w:r>
              <w:rPr>
                <w:rFonts w:hint="eastAsia"/>
                <w:sz w:val="21"/>
                <w:szCs w:val="21"/>
                <w:highlight w:val="none"/>
              </w:rPr>
              <w:t>培训方案</w:t>
            </w:r>
            <w:r>
              <w:rPr>
                <w:rFonts w:hint="eastAsia"/>
                <w:sz w:val="21"/>
                <w:szCs w:val="21"/>
                <w:highlight w:val="none"/>
                <w:lang w:eastAsia="zh-CN"/>
              </w:rPr>
              <w:t>（</w:t>
            </w:r>
            <w:r>
              <w:rPr>
                <w:rFonts w:hint="eastAsia"/>
                <w:sz w:val="21"/>
                <w:szCs w:val="21"/>
                <w:highlight w:val="none"/>
                <w:lang w:val="en-US" w:eastAsia="zh-CN"/>
              </w:rPr>
              <w:t>3分</w:t>
            </w:r>
            <w:r>
              <w:rPr>
                <w:rFonts w:hint="eastAsia"/>
                <w:sz w:val="21"/>
                <w:szCs w:val="21"/>
                <w:highlight w:val="none"/>
                <w:lang w:eastAsia="zh-CN"/>
              </w:rPr>
              <w:t>）</w:t>
            </w:r>
          </w:p>
        </w:tc>
        <w:tc>
          <w:tcPr>
            <w:tcW w:w="5262" w:type="dxa"/>
            <w:tcBorders>
              <w:top w:val="single" w:color="auto" w:sz="4" w:space="0"/>
              <w:left w:val="single" w:color="auto" w:sz="4" w:space="0"/>
              <w:bottom w:val="single" w:color="auto" w:sz="4" w:space="0"/>
              <w:right w:val="single" w:color="auto" w:sz="4" w:space="0"/>
            </w:tcBorders>
            <w:vAlign w:val="center"/>
          </w:tcPr>
          <w:p w14:paraId="730D4823">
            <w:pPr>
              <w:keepNext w:val="0"/>
              <w:keepLines w:val="0"/>
              <w:suppressLineNumbers w:val="0"/>
              <w:spacing w:before="0" w:beforeAutospacing="0" w:after="0" w:afterAutospacing="0" w:line="360" w:lineRule="exact"/>
              <w:ind w:left="0" w:right="0"/>
              <w:jc w:val="left"/>
              <w:rPr>
                <w:rFonts w:hint="eastAsia"/>
                <w:spacing w:val="6"/>
                <w:sz w:val="21"/>
                <w:szCs w:val="21"/>
                <w:highlight w:val="none"/>
              </w:rPr>
            </w:pPr>
            <w:r>
              <w:rPr>
                <w:rFonts w:hint="eastAsia"/>
                <w:spacing w:val="6"/>
                <w:sz w:val="21"/>
                <w:szCs w:val="21"/>
                <w:highlight w:val="none"/>
              </w:rPr>
              <w:t>根据投标人提供的培训方案，包含但不限于培训内容、培训计划、培训方式等内容进行评审。</w:t>
            </w:r>
          </w:p>
          <w:p w14:paraId="75200957">
            <w:pPr>
              <w:keepNext w:val="0"/>
              <w:keepLines w:val="0"/>
              <w:suppressLineNumbers w:val="0"/>
              <w:spacing w:before="0" w:beforeAutospacing="0" w:after="0" w:afterAutospacing="0" w:line="360" w:lineRule="exact"/>
              <w:ind w:left="0" w:right="0"/>
              <w:jc w:val="left"/>
              <w:rPr>
                <w:rFonts w:hint="default"/>
                <w:spacing w:val="6"/>
                <w:sz w:val="21"/>
                <w:szCs w:val="21"/>
                <w:highlight w:val="none"/>
              </w:rPr>
            </w:pPr>
            <w:r>
              <w:rPr>
                <w:rFonts w:hint="eastAsia"/>
                <w:spacing w:val="6"/>
                <w:sz w:val="21"/>
                <w:szCs w:val="21"/>
                <w:highlight w:val="none"/>
              </w:rPr>
              <w:t>培训方案内容详实具体，培训时长充分且高效、人数充足，满足项目需要得</w:t>
            </w:r>
            <w:r>
              <w:rPr>
                <w:rFonts w:hint="eastAsia"/>
                <w:spacing w:val="6"/>
                <w:sz w:val="21"/>
                <w:szCs w:val="21"/>
                <w:highlight w:val="none"/>
                <w:lang w:val="en-US" w:eastAsia="zh-CN"/>
              </w:rPr>
              <w:t>3</w:t>
            </w:r>
            <w:r>
              <w:rPr>
                <w:rFonts w:hint="eastAsia"/>
                <w:spacing w:val="6"/>
                <w:sz w:val="21"/>
                <w:szCs w:val="21"/>
                <w:highlight w:val="none"/>
              </w:rPr>
              <w:t>分；</w:t>
            </w:r>
          </w:p>
          <w:p w14:paraId="20DF740F">
            <w:pPr>
              <w:keepNext w:val="0"/>
              <w:keepLines w:val="0"/>
              <w:suppressLineNumbers w:val="0"/>
              <w:spacing w:before="0" w:beforeAutospacing="0" w:after="0" w:afterAutospacing="0" w:line="360" w:lineRule="exact"/>
              <w:ind w:left="0" w:right="0"/>
              <w:jc w:val="left"/>
              <w:rPr>
                <w:rFonts w:hint="default"/>
                <w:spacing w:val="6"/>
                <w:sz w:val="21"/>
                <w:szCs w:val="21"/>
                <w:highlight w:val="none"/>
              </w:rPr>
            </w:pPr>
            <w:r>
              <w:rPr>
                <w:rFonts w:hint="eastAsia"/>
                <w:spacing w:val="6"/>
                <w:sz w:val="21"/>
                <w:szCs w:val="21"/>
                <w:highlight w:val="none"/>
              </w:rPr>
              <w:t>有较具体的培训方案，内容较详实，培训时长基本满足项目需求、人数基本满足项目需要得</w:t>
            </w:r>
            <w:r>
              <w:rPr>
                <w:rFonts w:hint="eastAsia"/>
                <w:spacing w:val="6"/>
                <w:sz w:val="21"/>
                <w:szCs w:val="21"/>
                <w:highlight w:val="none"/>
                <w:lang w:val="en-US" w:eastAsia="zh-CN"/>
              </w:rPr>
              <w:t>2</w:t>
            </w:r>
            <w:r>
              <w:rPr>
                <w:rFonts w:hint="eastAsia"/>
                <w:spacing w:val="6"/>
                <w:sz w:val="21"/>
                <w:szCs w:val="21"/>
                <w:highlight w:val="none"/>
              </w:rPr>
              <w:t>分；</w:t>
            </w:r>
          </w:p>
          <w:p w14:paraId="631A9028">
            <w:pPr>
              <w:keepNext w:val="0"/>
              <w:keepLines w:val="0"/>
              <w:suppressLineNumbers w:val="0"/>
              <w:spacing w:before="0" w:beforeAutospacing="0" w:after="0" w:afterAutospacing="0" w:line="360" w:lineRule="exact"/>
              <w:ind w:left="0" w:right="0"/>
              <w:jc w:val="left"/>
              <w:rPr>
                <w:rFonts w:hint="default"/>
                <w:spacing w:val="6"/>
                <w:sz w:val="21"/>
                <w:szCs w:val="21"/>
                <w:highlight w:val="none"/>
              </w:rPr>
            </w:pPr>
            <w:r>
              <w:rPr>
                <w:rFonts w:hint="eastAsia"/>
                <w:spacing w:val="6"/>
                <w:sz w:val="21"/>
                <w:szCs w:val="21"/>
                <w:highlight w:val="none"/>
              </w:rPr>
              <w:t>培训方案基本完备，内容一般，培训时长及人数基本满足需求得</w:t>
            </w:r>
            <w:r>
              <w:rPr>
                <w:rFonts w:hint="eastAsia"/>
                <w:spacing w:val="6"/>
                <w:sz w:val="21"/>
                <w:szCs w:val="21"/>
                <w:highlight w:val="none"/>
                <w:lang w:val="en-US" w:eastAsia="zh-CN"/>
              </w:rPr>
              <w:t>1</w:t>
            </w:r>
            <w:r>
              <w:rPr>
                <w:rFonts w:hint="eastAsia"/>
                <w:spacing w:val="6"/>
                <w:sz w:val="21"/>
                <w:szCs w:val="21"/>
                <w:highlight w:val="none"/>
              </w:rPr>
              <w:t>分；</w:t>
            </w:r>
          </w:p>
          <w:p w14:paraId="5BE368FE">
            <w:pPr>
              <w:keepNext w:val="0"/>
              <w:keepLines w:val="0"/>
              <w:suppressLineNumbers w:val="0"/>
              <w:spacing w:before="0" w:beforeAutospacing="0" w:after="0" w:afterAutospacing="0" w:line="360" w:lineRule="exact"/>
              <w:ind w:left="0" w:leftChars="0" w:right="0" w:rightChars="0"/>
              <w:jc w:val="left"/>
              <w:rPr>
                <w:rFonts w:hint="eastAsia"/>
                <w:spacing w:val="6"/>
                <w:sz w:val="21"/>
                <w:szCs w:val="21"/>
                <w:highlight w:val="none"/>
              </w:rPr>
            </w:pPr>
            <w:r>
              <w:rPr>
                <w:rFonts w:hint="eastAsia"/>
                <w:spacing w:val="6"/>
                <w:sz w:val="21"/>
                <w:szCs w:val="21"/>
                <w:highlight w:val="none"/>
              </w:rPr>
              <w:t>缺项或完全不合格得0分。</w:t>
            </w:r>
          </w:p>
        </w:tc>
      </w:tr>
    </w:tbl>
    <w:p w14:paraId="2053A5C8">
      <w:pPr>
        <w:pStyle w:val="3"/>
        <w:spacing w:line="420" w:lineRule="exact"/>
        <w:outlineLvl w:val="1"/>
        <w:rPr>
          <w:rFonts w:hint="eastAsia" w:ascii="宋体" w:hAnsi="宋体" w:eastAsia="宋体" w:cs="宋体"/>
          <w:b/>
          <w:bCs/>
          <w:color w:val="auto"/>
          <w:spacing w:val="6"/>
          <w:sz w:val="28"/>
          <w:szCs w:val="28"/>
          <w:highlight w:val="none"/>
        </w:rPr>
      </w:pPr>
      <w:bookmarkStart w:id="491" w:name="_Toc27180"/>
      <w:r>
        <w:rPr>
          <w:rFonts w:hint="eastAsia" w:ascii="宋体" w:hAnsi="宋体" w:eastAsia="宋体" w:cs="宋体"/>
          <w:b/>
          <w:bCs/>
          <w:color w:val="auto"/>
          <w:spacing w:val="6"/>
          <w:sz w:val="28"/>
          <w:szCs w:val="28"/>
          <w:highlight w:val="none"/>
        </w:rPr>
        <w:t>1.</w:t>
      </w:r>
      <w:r>
        <w:rPr>
          <w:rFonts w:hint="eastAsia" w:ascii="宋体" w:hAnsi="宋体" w:eastAsia="宋体" w:cs="宋体"/>
          <w:b/>
          <w:bCs/>
          <w:color w:val="auto"/>
          <w:spacing w:val="6"/>
          <w:sz w:val="28"/>
          <w:szCs w:val="28"/>
          <w:highlight w:val="none"/>
          <w:lang w:val="en-US"/>
        </w:rPr>
        <w:t xml:space="preserve"> </w:t>
      </w:r>
      <w:r>
        <w:rPr>
          <w:rFonts w:hint="eastAsia" w:ascii="宋体" w:hAnsi="宋体" w:eastAsia="宋体" w:cs="宋体"/>
          <w:b/>
          <w:bCs/>
          <w:color w:val="auto"/>
          <w:spacing w:val="6"/>
          <w:sz w:val="28"/>
          <w:szCs w:val="28"/>
          <w:highlight w:val="none"/>
        </w:rPr>
        <w:t>资格审查与评标方法</w:t>
      </w:r>
      <w:bookmarkEnd w:id="486"/>
      <w:bookmarkEnd w:id="487"/>
      <w:bookmarkEnd w:id="488"/>
      <w:bookmarkEnd w:id="489"/>
      <w:bookmarkEnd w:id="491"/>
    </w:p>
    <w:p w14:paraId="7C05409B">
      <w:pPr>
        <w:ind w:firstLine="422" w:firstLineChars="200"/>
        <w:jc w:val="left"/>
        <w:rPr>
          <w:rFonts w:hint="eastAsia" w:ascii="宋体" w:hAnsi="宋体" w:eastAsia="宋体" w:cs="宋体"/>
          <w:color w:val="auto"/>
          <w:spacing w:val="6"/>
          <w:kern w:val="2"/>
          <w:sz w:val="21"/>
          <w:szCs w:val="21"/>
          <w:highlight w:val="none"/>
          <w:lang w:val="zh-CN" w:eastAsia="zh-CN" w:bidi="ar-SA"/>
        </w:rPr>
      </w:pPr>
      <w:r>
        <w:rPr>
          <w:rFonts w:hint="eastAsia" w:ascii="宋体" w:hAnsi="宋体" w:eastAsia="宋体" w:cs="宋体"/>
          <w:color w:val="auto"/>
          <w:spacing w:val="6"/>
          <w:kern w:val="2"/>
          <w:sz w:val="21"/>
          <w:szCs w:val="21"/>
          <w:highlight w:val="none"/>
          <w:lang w:val="zh-CN" w:eastAsia="zh-CN" w:bidi="ar-SA"/>
        </w:rPr>
        <w:t>本次资格审查和符合性审查采用合格制，评标方法采用综合评分法。评标委员会对满足招标文件实质性要求的投标文件，按照本章第2.2款规定的评分标准进行打分，按得分由高到低顺序推荐中标候选人，或根据采购人授权直接确定中标人，但投标报价明显低于其他通过符合性审查投标人的报价，有可能影响产品质量或者不能诚信履约的除外。如评审得分相同的，按照投标报价由低到高的顺序推荐；如评审得分与投标报价均相同的，按照技术标得分由高到低顺序推荐；若评审得分、投标报价、技术标得分均相同的，则由采购人代表自主决定中标人排名。</w:t>
      </w:r>
    </w:p>
    <w:p w14:paraId="14461080">
      <w:pPr>
        <w:pStyle w:val="3"/>
        <w:spacing w:line="420" w:lineRule="exact"/>
        <w:outlineLvl w:val="1"/>
        <w:rPr>
          <w:rFonts w:hint="eastAsia" w:ascii="宋体" w:hAnsi="宋体" w:eastAsia="宋体" w:cs="宋体"/>
          <w:b/>
          <w:bCs/>
          <w:color w:val="auto"/>
          <w:spacing w:val="6"/>
          <w:sz w:val="28"/>
          <w:szCs w:val="28"/>
          <w:highlight w:val="none"/>
        </w:rPr>
      </w:pPr>
      <w:bookmarkStart w:id="492" w:name="_Toc7687"/>
      <w:bookmarkStart w:id="493" w:name="_Toc24443"/>
      <w:bookmarkStart w:id="494" w:name="_Toc1660843"/>
      <w:bookmarkStart w:id="495" w:name="_Toc11683"/>
      <w:bookmarkStart w:id="496" w:name="_Toc29858"/>
      <w:bookmarkStart w:id="497" w:name="_Toc15181"/>
      <w:r>
        <w:rPr>
          <w:rFonts w:hint="eastAsia" w:ascii="宋体" w:hAnsi="宋体" w:eastAsia="宋体" w:cs="宋体"/>
          <w:b/>
          <w:bCs/>
          <w:color w:val="auto"/>
          <w:spacing w:val="6"/>
          <w:sz w:val="28"/>
          <w:szCs w:val="28"/>
          <w:highlight w:val="none"/>
        </w:rPr>
        <w:t>2.</w:t>
      </w:r>
      <w:r>
        <w:rPr>
          <w:rFonts w:hint="eastAsia" w:ascii="宋体" w:hAnsi="宋体" w:eastAsia="宋体" w:cs="宋体"/>
          <w:b/>
          <w:bCs/>
          <w:color w:val="auto"/>
          <w:spacing w:val="6"/>
          <w:sz w:val="28"/>
          <w:szCs w:val="28"/>
          <w:highlight w:val="none"/>
          <w:lang w:val="en-US"/>
        </w:rPr>
        <w:t xml:space="preserve"> </w:t>
      </w:r>
      <w:r>
        <w:rPr>
          <w:rFonts w:hint="eastAsia" w:ascii="宋体" w:hAnsi="宋体" w:eastAsia="宋体" w:cs="宋体"/>
          <w:b/>
          <w:bCs/>
          <w:color w:val="auto"/>
          <w:spacing w:val="6"/>
          <w:sz w:val="28"/>
          <w:szCs w:val="28"/>
          <w:highlight w:val="none"/>
        </w:rPr>
        <w:t>资格审查与评审标准</w:t>
      </w:r>
      <w:bookmarkEnd w:id="492"/>
      <w:bookmarkEnd w:id="493"/>
      <w:bookmarkEnd w:id="494"/>
      <w:bookmarkEnd w:id="495"/>
      <w:bookmarkEnd w:id="496"/>
      <w:bookmarkEnd w:id="497"/>
    </w:p>
    <w:p w14:paraId="68A7117D">
      <w:pPr>
        <w:pStyle w:val="4"/>
        <w:spacing w:line="420" w:lineRule="exact"/>
        <w:rPr>
          <w:rFonts w:hint="eastAsia" w:ascii="宋体" w:hAnsi="宋体" w:eastAsia="宋体" w:cs="宋体"/>
          <w:b/>
          <w:bCs/>
          <w:color w:val="auto"/>
          <w:spacing w:val="6"/>
          <w:sz w:val="24"/>
          <w:szCs w:val="24"/>
          <w:highlight w:val="none"/>
        </w:rPr>
      </w:pPr>
      <w:bookmarkStart w:id="498" w:name="_Toc21432"/>
      <w:bookmarkStart w:id="499" w:name="_Toc1660844"/>
      <w:r>
        <w:rPr>
          <w:rFonts w:hint="eastAsia" w:ascii="宋体" w:hAnsi="宋体" w:eastAsia="宋体" w:cs="宋体"/>
          <w:b/>
          <w:bCs/>
          <w:color w:val="auto"/>
          <w:spacing w:val="6"/>
          <w:sz w:val="24"/>
          <w:szCs w:val="24"/>
          <w:highlight w:val="none"/>
        </w:rPr>
        <w:t>2.1 资格审查与符合性审查标准</w:t>
      </w:r>
      <w:bookmarkEnd w:id="498"/>
      <w:bookmarkEnd w:id="499"/>
    </w:p>
    <w:p w14:paraId="35E59DF8">
      <w:pPr>
        <w:pStyle w:val="110"/>
        <w:spacing w:line="420" w:lineRule="exact"/>
        <w:rPr>
          <w:rFonts w:hint="eastAsia" w:ascii="宋体" w:hAnsi="宋体" w:eastAsia="宋体" w:cs="宋体"/>
          <w:color w:val="auto"/>
          <w:spacing w:val="6"/>
          <w:szCs w:val="21"/>
          <w:highlight w:val="none"/>
          <w:lang w:val="en-US"/>
        </w:rPr>
      </w:pPr>
      <w:bookmarkStart w:id="500" w:name="_Toc1660845"/>
      <w:r>
        <w:rPr>
          <w:rFonts w:hint="eastAsia" w:ascii="宋体" w:hAnsi="宋体" w:eastAsia="宋体" w:cs="宋体"/>
          <w:color w:val="auto"/>
          <w:spacing w:val="6"/>
          <w:szCs w:val="21"/>
          <w:highlight w:val="none"/>
        </w:rPr>
        <w:t xml:space="preserve">2.1.1 </w:t>
      </w:r>
      <w:r>
        <w:rPr>
          <w:rFonts w:hint="eastAsia" w:ascii="宋体" w:hAnsi="宋体" w:eastAsia="宋体" w:cs="宋体"/>
          <w:color w:val="auto"/>
          <w:spacing w:val="6"/>
          <w:szCs w:val="21"/>
          <w:highlight w:val="none"/>
          <w:lang w:val="en-US"/>
        </w:rPr>
        <w:t>形式评审：</w:t>
      </w:r>
      <w:r>
        <w:rPr>
          <w:rFonts w:hint="eastAsia" w:ascii="宋体" w:hAnsi="宋体" w:eastAsia="宋体" w:cs="宋体"/>
          <w:color w:val="auto"/>
          <w:spacing w:val="6"/>
          <w:szCs w:val="21"/>
          <w:highlight w:val="none"/>
        </w:rPr>
        <w:t>见评标办法前附表。</w:t>
      </w:r>
    </w:p>
    <w:p w14:paraId="5A0B8E6E">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rPr>
        <w:t>2.1.2</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rPr>
        <w:t>资格</w:t>
      </w:r>
      <w:r>
        <w:rPr>
          <w:rFonts w:hint="eastAsia" w:ascii="宋体" w:hAnsi="宋体" w:eastAsia="宋体" w:cs="宋体"/>
          <w:color w:val="auto"/>
          <w:spacing w:val="6"/>
          <w:szCs w:val="21"/>
          <w:highlight w:val="none"/>
          <w:lang w:val="en-US"/>
        </w:rPr>
        <w:t>审查</w:t>
      </w:r>
      <w:r>
        <w:rPr>
          <w:rFonts w:hint="eastAsia" w:ascii="宋体" w:hAnsi="宋体" w:eastAsia="宋体" w:cs="宋体"/>
          <w:color w:val="auto"/>
          <w:spacing w:val="6"/>
          <w:szCs w:val="21"/>
          <w:highlight w:val="none"/>
        </w:rPr>
        <w:t>：见评标办法前附表。</w:t>
      </w:r>
    </w:p>
    <w:p w14:paraId="0D2EE3DA">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2.1.</w:t>
      </w:r>
      <w:r>
        <w:rPr>
          <w:rFonts w:hint="eastAsia" w:ascii="宋体" w:hAnsi="宋体" w:eastAsia="宋体" w:cs="宋体"/>
          <w:color w:val="auto"/>
          <w:spacing w:val="6"/>
          <w:szCs w:val="21"/>
          <w:highlight w:val="none"/>
          <w:lang w:val="en-US"/>
        </w:rPr>
        <w:t>3</w:t>
      </w:r>
      <w:r>
        <w:rPr>
          <w:rFonts w:hint="eastAsia" w:ascii="宋体" w:hAnsi="宋体" w:eastAsia="宋体" w:cs="宋体"/>
          <w:color w:val="auto"/>
          <w:spacing w:val="6"/>
          <w:szCs w:val="21"/>
          <w:highlight w:val="none"/>
        </w:rPr>
        <w:t xml:space="preserve"> 符合性</w:t>
      </w:r>
      <w:r>
        <w:rPr>
          <w:rFonts w:hint="eastAsia" w:ascii="宋体" w:hAnsi="宋体" w:eastAsia="宋体" w:cs="宋体"/>
          <w:color w:val="auto"/>
          <w:spacing w:val="6"/>
          <w:szCs w:val="21"/>
          <w:highlight w:val="none"/>
          <w:lang w:val="en-US"/>
        </w:rPr>
        <w:t>审查</w:t>
      </w:r>
      <w:r>
        <w:rPr>
          <w:rFonts w:hint="eastAsia" w:ascii="宋体" w:hAnsi="宋体" w:eastAsia="宋体" w:cs="宋体"/>
          <w:color w:val="auto"/>
          <w:spacing w:val="6"/>
          <w:szCs w:val="21"/>
          <w:highlight w:val="none"/>
        </w:rPr>
        <w:t>：见评标办法前附表。</w:t>
      </w:r>
    </w:p>
    <w:p w14:paraId="2A0692FA">
      <w:pPr>
        <w:pStyle w:val="4"/>
        <w:spacing w:line="420" w:lineRule="exact"/>
        <w:rPr>
          <w:rFonts w:hint="eastAsia" w:ascii="宋体" w:hAnsi="宋体" w:eastAsia="宋体" w:cs="宋体"/>
          <w:b/>
          <w:bCs/>
          <w:color w:val="auto"/>
          <w:spacing w:val="6"/>
          <w:sz w:val="24"/>
          <w:szCs w:val="24"/>
          <w:highlight w:val="none"/>
        </w:rPr>
      </w:pPr>
      <w:bookmarkStart w:id="501" w:name="_Toc29689"/>
      <w:r>
        <w:rPr>
          <w:rFonts w:hint="eastAsia" w:ascii="宋体" w:hAnsi="宋体" w:eastAsia="宋体" w:cs="宋体"/>
          <w:b/>
          <w:bCs/>
          <w:color w:val="auto"/>
          <w:spacing w:val="6"/>
          <w:sz w:val="24"/>
          <w:szCs w:val="24"/>
          <w:highlight w:val="none"/>
        </w:rPr>
        <w:t>2.2 分值构成与评分标准</w:t>
      </w:r>
      <w:bookmarkEnd w:id="500"/>
      <w:bookmarkEnd w:id="501"/>
    </w:p>
    <w:p w14:paraId="4B5D0345">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2.2.1 分值构成：见评标办法前附表。</w:t>
      </w:r>
    </w:p>
    <w:p w14:paraId="67352317">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2.2.2 评分标准：见评标办法前附表。</w:t>
      </w:r>
    </w:p>
    <w:p w14:paraId="4185B24F">
      <w:pPr>
        <w:pStyle w:val="3"/>
        <w:spacing w:line="420" w:lineRule="exact"/>
        <w:outlineLvl w:val="1"/>
        <w:rPr>
          <w:rFonts w:hint="eastAsia" w:ascii="宋体" w:hAnsi="宋体" w:eastAsia="宋体" w:cs="宋体"/>
          <w:b/>
          <w:bCs/>
          <w:color w:val="auto"/>
          <w:spacing w:val="6"/>
          <w:sz w:val="28"/>
          <w:szCs w:val="28"/>
          <w:highlight w:val="none"/>
        </w:rPr>
      </w:pPr>
      <w:bookmarkStart w:id="502" w:name="_Toc3863"/>
      <w:bookmarkStart w:id="503" w:name="_Toc21356"/>
      <w:bookmarkStart w:id="504" w:name="_Toc13938"/>
      <w:bookmarkStart w:id="505" w:name="_Toc1660846"/>
      <w:bookmarkStart w:id="506" w:name="_Toc30342"/>
      <w:bookmarkStart w:id="507" w:name="_Toc20587"/>
      <w:r>
        <w:rPr>
          <w:rFonts w:hint="eastAsia" w:ascii="宋体" w:hAnsi="宋体" w:eastAsia="宋体" w:cs="宋体"/>
          <w:b/>
          <w:bCs/>
          <w:color w:val="auto"/>
          <w:spacing w:val="6"/>
          <w:sz w:val="28"/>
          <w:szCs w:val="28"/>
          <w:highlight w:val="none"/>
        </w:rPr>
        <w:t>3.</w:t>
      </w:r>
      <w:r>
        <w:rPr>
          <w:rFonts w:hint="eastAsia" w:ascii="宋体" w:hAnsi="宋体" w:eastAsia="宋体" w:cs="宋体"/>
          <w:b/>
          <w:bCs/>
          <w:color w:val="auto"/>
          <w:spacing w:val="6"/>
          <w:sz w:val="28"/>
          <w:szCs w:val="28"/>
          <w:highlight w:val="none"/>
          <w:lang w:val="en-US"/>
        </w:rPr>
        <w:t xml:space="preserve"> </w:t>
      </w:r>
      <w:r>
        <w:rPr>
          <w:rFonts w:hint="eastAsia" w:ascii="宋体" w:hAnsi="宋体" w:eastAsia="宋体" w:cs="宋体"/>
          <w:b/>
          <w:bCs/>
          <w:color w:val="auto"/>
          <w:spacing w:val="6"/>
          <w:sz w:val="28"/>
          <w:szCs w:val="28"/>
          <w:highlight w:val="none"/>
        </w:rPr>
        <w:t>资格审查与评标程序</w:t>
      </w:r>
      <w:bookmarkEnd w:id="502"/>
      <w:bookmarkEnd w:id="503"/>
      <w:bookmarkEnd w:id="504"/>
      <w:bookmarkEnd w:id="505"/>
      <w:bookmarkEnd w:id="506"/>
      <w:bookmarkEnd w:id="507"/>
    </w:p>
    <w:p w14:paraId="699F27B4">
      <w:pPr>
        <w:pStyle w:val="4"/>
        <w:spacing w:line="420" w:lineRule="exact"/>
        <w:rPr>
          <w:rFonts w:hint="eastAsia" w:ascii="宋体" w:hAnsi="宋体" w:eastAsia="宋体" w:cs="宋体"/>
          <w:b/>
          <w:bCs/>
          <w:color w:val="auto"/>
          <w:spacing w:val="6"/>
          <w:sz w:val="24"/>
          <w:szCs w:val="24"/>
          <w:highlight w:val="none"/>
        </w:rPr>
      </w:pPr>
      <w:bookmarkStart w:id="508" w:name="_Toc1660847"/>
      <w:bookmarkStart w:id="509" w:name="_Toc10208"/>
      <w:r>
        <w:rPr>
          <w:rFonts w:hint="eastAsia" w:ascii="宋体" w:hAnsi="宋体" w:eastAsia="宋体" w:cs="宋体"/>
          <w:b/>
          <w:bCs/>
          <w:color w:val="auto"/>
          <w:spacing w:val="6"/>
          <w:sz w:val="24"/>
          <w:szCs w:val="24"/>
          <w:highlight w:val="none"/>
        </w:rPr>
        <w:t>3.1 资格审查与符合性审查</w:t>
      </w:r>
      <w:bookmarkEnd w:id="508"/>
      <w:bookmarkEnd w:id="509"/>
    </w:p>
    <w:p w14:paraId="003A8D00">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3.1.1</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资格审查小组依据本章第2.1.1款规定的标准对投标文件进行资格审查，有一项不符合审查标准的，应当否决其投标。评标委员会依据本章第2.1.2款规定的标准对投标文件进行符合性审查，有一项不符合审查标准的，应当否决其投标。</w:t>
      </w:r>
    </w:p>
    <w:p w14:paraId="75A252C0">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3.1.2 投标人有以下情形之一的，评标委员会应当否决其投标：</w:t>
      </w:r>
    </w:p>
    <w:p w14:paraId="2222F2B0">
      <w:pPr>
        <w:pStyle w:val="110"/>
        <w:spacing w:line="420" w:lineRule="exact"/>
        <w:rPr>
          <w:rFonts w:hint="eastAsia" w:ascii="宋体" w:hAnsi="宋体" w:eastAsia="宋体" w:cs="宋体"/>
          <w:spacing w:val="6"/>
          <w:szCs w:val="21"/>
          <w:highlight w:val="none"/>
        </w:rPr>
      </w:pPr>
      <w:r>
        <w:rPr>
          <w:rFonts w:hint="eastAsia" w:ascii="宋体" w:hAnsi="宋体" w:eastAsia="宋体" w:cs="宋体"/>
          <w:b/>
          <w:bCs/>
          <w:spacing w:val="6"/>
          <w:szCs w:val="21"/>
          <w:highlight w:val="none"/>
        </w:rPr>
        <w:t>（1）投标（响应）文件制作机器码一致的；</w:t>
      </w:r>
    </w:p>
    <w:p w14:paraId="1C299D0F">
      <w:pPr>
        <w:pStyle w:val="110"/>
        <w:spacing w:line="420" w:lineRule="exact"/>
        <w:rPr>
          <w:rFonts w:hint="eastAsia" w:ascii="宋体" w:hAnsi="宋体" w:eastAsia="宋体" w:cs="宋体"/>
          <w:spacing w:val="6"/>
          <w:szCs w:val="21"/>
          <w:highlight w:val="none"/>
        </w:rPr>
      </w:pPr>
      <w:r>
        <w:rPr>
          <w:rFonts w:hint="eastAsia" w:ascii="宋体" w:hAnsi="宋体" w:eastAsia="宋体" w:cs="宋体"/>
          <w:spacing w:val="6"/>
          <w:szCs w:val="21"/>
          <w:highlight w:val="none"/>
          <w:lang w:eastAsia="zh-CN"/>
        </w:rPr>
        <w:t>（</w:t>
      </w:r>
      <w:r>
        <w:rPr>
          <w:rFonts w:hint="eastAsia" w:ascii="宋体" w:hAnsi="宋体" w:eastAsia="宋体" w:cs="宋体"/>
          <w:spacing w:val="6"/>
          <w:szCs w:val="21"/>
          <w:highlight w:val="none"/>
          <w:lang w:val="en-US" w:eastAsia="zh-CN"/>
        </w:rPr>
        <w:t>2</w:t>
      </w:r>
      <w:r>
        <w:rPr>
          <w:rFonts w:hint="eastAsia" w:ascii="宋体" w:hAnsi="宋体" w:eastAsia="宋体" w:cs="宋体"/>
          <w:spacing w:val="6"/>
          <w:szCs w:val="21"/>
          <w:highlight w:val="none"/>
        </w:rPr>
        <w:t>）未按</w:t>
      </w:r>
      <w:r>
        <w:rPr>
          <w:rFonts w:hint="eastAsia" w:ascii="宋体" w:hAnsi="宋体" w:eastAsia="宋体" w:cs="宋体"/>
          <w:spacing w:val="6"/>
          <w:szCs w:val="21"/>
          <w:highlight w:val="none"/>
          <w:lang w:val="en-US" w:eastAsia="zh-CN"/>
        </w:rPr>
        <w:t>招标</w:t>
      </w:r>
      <w:r>
        <w:rPr>
          <w:rFonts w:hint="eastAsia" w:ascii="宋体" w:hAnsi="宋体" w:eastAsia="宋体" w:cs="宋体"/>
          <w:spacing w:val="6"/>
          <w:szCs w:val="21"/>
          <w:highlight w:val="none"/>
        </w:rPr>
        <w:t>文件规定要求签署、盖章的；</w:t>
      </w:r>
    </w:p>
    <w:p w14:paraId="127E5E93">
      <w:pPr>
        <w:pStyle w:val="110"/>
        <w:spacing w:line="420" w:lineRule="exact"/>
        <w:rPr>
          <w:rFonts w:hint="eastAsia" w:ascii="宋体" w:hAnsi="宋体" w:eastAsia="宋体" w:cs="宋体"/>
          <w:spacing w:val="6"/>
          <w:szCs w:val="21"/>
          <w:highlight w:val="none"/>
        </w:rPr>
      </w:pPr>
      <w:r>
        <w:rPr>
          <w:rFonts w:hint="eastAsia" w:ascii="宋体" w:hAnsi="宋体" w:eastAsia="宋体" w:cs="宋体"/>
          <w:spacing w:val="6"/>
          <w:szCs w:val="21"/>
          <w:highlight w:val="none"/>
        </w:rPr>
        <w:t>（</w:t>
      </w:r>
      <w:r>
        <w:rPr>
          <w:rFonts w:hint="eastAsia" w:ascii="宋体" w:hAnsi="宋体" w:eastAsia="宋体" w:cs="宋体"/>
          <w:spacing w:val="6"/>
          <w:szCs w:val="21"/>
          <w:highlight w:val="none"/>
          <w:lang w:val="en-US" w:eastAsia="zh-CN"/>
        </w:rPr>
        <w:t>3</w:t>
      </w:r>
      <w:r>
        <w:rPr>
          <w:rFonts w:hint="eastAsia" w:ascii="宋体" w:hAnsi="宋体" w:eastAsia="宋体" w:cs="宋体"/>
          <w:spacing w:val="6"/>
          <w:szCs w:val="21"/>
          <w:highlight w:val="none"/>
        </w:rPr>
        <w:t>）</w:t>
      </w:r>
      <w:r>
        <w:rPr>
          <w:rFonts w:hint="eastAsia" w:ascii="宋体" w:hAnsi="宋体" w:eastAsia="宋体" w:cs="宋体"/>
          <w:spacing w:val="6"/>
          <w:szCs w:val="21"/>
          <w:highlight w:val="none"/>
          <w:lang w:val="en-US" w:eastAsia="zh-CN"/>
        </w:rPr>
        <w:t>投标人</w:t>
      </w:r>
      <w:r>
        <w:rPr>
          <w:rFonts w:hint="eastAsia" w:ascii="宋体" w:hAnsi="宋体" w:eastAsia="宋体" w:cs="宋体"/>
          <w:spacing w:val="6"/>
          <w:szCs w:val="21"/>
          <w:highlight w:val="none"/>
        </w:rPr>
        <w:t>不按要求</w:t>
      </w:r>
      <w:r>
        <w:rPr>
          <w:rFonts w:hint="eastAsia" w:ascii="宋体" w:hAnsi="宋体" w:eastAsia="宋体" w:cs="宋体"/>
          <w:spacing w:val="6"/>
          <w:szCs w:val="21"/>
          <w:highlight w:val="none"/>
          <w:lang w:val="en-US" w:eastAsia="zh-CN"/>
        </w:rPr>
        <w:t>对投标文件进行解密的</w:t>
      </w:r>
      <w:r>
        <w:rPr>
          <w:rFonts w:hint="eastAsia" w:ascii="宋体" w:hAnsi="宋体" w:eastAsia="宋体" w:cs="宋体"/>
          <w:spacing w:val="6"/>
          <w:szCs w:val="21"/>
          <w:highlight w:val="none"/>
        </w:rPr>
        <w:t>；</w:t>
      </w:r>
    </w:p>
    <w:p w14:paraId="3A930FB2">
      <w:pPr>
        <w:pStyle w:val="110"/>
        <w:spacing w:line="420" w:lineRule="exact"/>
        <w:rPr>
          <w:rFonts w:hint="eastAsia" w:ascii="宋体" w:hAnsi="宋体" w:eastAsia="宋体" w:cs="宋体"/>
          <w:spacing w:val="6"/>
          <w:szCs w:val="21"/>
          <w:highlight w:val="none"/>
        </w:rPr>
      </w:pPr>
      <w:r>
        <w:rPr>
          <w:rFonts w:hint="eastAsia" w:ascii="宋体" w:hAnsi="宋体" w:eastAsia="宋体" w:cs="宋体"/>
          <w:spacing w:val="6"/>
          <w:szCs w:val="21"/>
          <w:highlight w:val="none"/>
        </w:rPr>
        <w:t>（</w:t>
      </w:r>
      <w:r>
        <w:rPr>
          <w:rFonts w:hint="eastAsia" w:ascii="宋体" w:hAnsi="宋体" w:eastAsia="宋体" w:cs="宋体"/>
          <w:spacing w:val="6"/>
          <w:szCs w:val="21"/>
          <w:highlight w:val="none"/>
          <w:lang w:val="en-US" w:eastAsia="zh-CN"/>
        </w:rPr>
        <w:t>4</w:t>
      </w:r>
      <w:r>
        <w:rPr>
          <w:rFonts w:hint="eastAsia" w:ascii="宋体" w:hAnsi="宋体" w:eastAsia="宋体" w:cs="宋体"/>
          <w:spacing w:val="6"/>
          <w:szCs w:val="21"/>
          <w:highlight w:val="none"/>
        </w:rPr>
        <w:t>）未按</w:t>
      </w:r>
      <w:r>
        <w:rPr>
          <w:rFonts w:hint="eastAsia" w:ascii="宋体" w:hAnsi="宋体" w:eastAsia="宋体" w:cs="宋体"/>
          <w:spacing w:val="6"/>
          <w:szCs w:val="21"/>
          <w:highlight w:val="none"/>
          <w:lang w:val="en-US" w:eastAsia="zh-CN"/>
        </w:rPr>
        <w:t>招标文件</w:t>
      </w:r>
      <w:r>
        <w:rPr>
          <w:rFonts w:hint="eastAsia" w:ascii="宋体" w:hAnsi="宋体" w:eastAsia="宋体" w:cs="宋体"/>
          <w:spacing w:val="6"/>
          <w:szCs w:val="21"/>
          <w:highlight w:val="none"/>
        </w:rPr>
        <w:t>规定提交各项承诺的；</w:t>
      </w:r>
    </w:p>
    <w:p w14:paraId="59A8286B">
      <w:pPr>
        <w:pStyle w:val="110"/>
        <w:spacing w:line="420" w:lineRule="exact"/>
        <w:rPr>
          <w:rFonts w:hint="eastAsia" w:ascii="宋体" w:hAnsi="宋体" w:eastAsia="宋体" w:cs="宋体"/>
          <w:spacing w:val="6"/>
          <w:szCs w:val="21"/>
          <w:highlight w:val="none"/>
        </w:rPr>
      </w:pPr>
      <w:r>
        <w:rPr>
          <w:rFonts w:hint="eastAsia" w:ascii="宋体" w:hAnsi="宋体" w:eastAsia="宋体" w:cs="宋体"/>
          <w:spacing w:val="6"/>
          <w:szCs w:val="21"/>
          <w:highlight w:val="none"/>
        </w:rPr>
        <w:t>（</w:t>
      </w:r>
      <w:r>
        <w:rPr>
          <w:rFonts w:hint="eastAsia" w:ascii="宋体" w:hAnsi="宋体" w:eastAsia="宋体" w:cs="宋体"/>
          <w:spacing w:val="6"/>
          <w:szCs w:val="21"/>
          <w:highlight w:val="none"/>
          <w:lang w:val="en-US" w:eastAsia="zh-CN"/>
        </w:rPr>
        <w:t>5</w:t>
      </w:r>
      <w:r>
        <w:rPr>
          <w:rFonts w:hint="eastAsia" w:ascii="宋体" w:hAnsi="宋体" w:eastAsia="宋体" w:cs="宋体"/>
          <w:spacing w:val="6"/>
          <w:szCs w:val="21"/>
          <w:highlight w:val="none"/>
        </w:rPr>
        <w:t xml:space="preserve">）有弄虚作假、串通、行贿等违法行为的； </w:t>
      </w:r>
    </w:p>
    <w:p w14:paraId="78026450">
      <w:pPr>
        <w:pStyle w:val="110"/>
        <w:spacing w:line="420" w:lineRule="exact"/>
        <w:rPr>
          <w:rFonts w:hint="eastAsia" w:ascii="宋体" w:hAnsi="宋体" w:eastAsia="宋体" w:cs="宋体"/>
          <w:spacing w:val="6"/>
          <w:szCs w:val="21"/>
          <w:highlight w:val="none"/>
        </w:rPr>
      </w:pPr>
      <w:r>
        <w:rPr>
          <w:rFonts w:hint="eastAsia" w:ascii="宋体" w:hAnsi="宋体" w:eastAsia="宋体" w:cs="宋体"/>
          <w:spacing w:val="6"/>
          <w:szCs w:val="21"/>
          <w:highlight w:val="none"/>
        </w:rPr>
        <w:t>（</w:t>
      </w:r>
      <w:r>
        <w:rPr>
          <w:rFonts w:hint="eastAsia" w:ascii="宋体" w:hAnsi="宋体" w:eastAsia="宋体" w:cs="宋体"/>
          <w:spacing w:val="6"/>
          <w:szCs w:val="21"/>
          <w:highlight w:val="none"/>
          <w:lang w:val="en-US" w:eastAsia="zh-CN"/>
        </w:rPr>
        <w:t>6</w:t>
      </w:r>
      <w:r>
        <w:rPr>
          <w:rFonts w:hint="eastAsia" w:ascii="宋体" w:hAnsi="宋体" w:eastAsia="宋体" w:cs="宋体"/>
          <w:spacing w:val="6"/>
          <w:szCs w:val="21"/>
          <w:highlight w:val="none"/>
        </w:rPr>
        <w:t>）同一投标供应商提交两个以上不同报价的；</w:t>
      </w:r>
    </w:p>
    <w:p w14:paraId="3F548FC1">
      <w:pPr>
        <w:pStyle w:val="110"/>
        <w:spacing w:line="420" w:lineRule="exact"/>
        <w:rPr>
          <w:rFonts w:hint="eastAsia" w:ascii="宋体" w:hAnsi="宋体" w:eastAsia="宋体" w:cs="宋体"/>
          <w:spacing w:val="6"/>
          <w:szCs w:val="21"/>
          <w:highlight w:val="none"/>
        </w:rPr>
      </w:pPr>
      <w:r>
        <w:rPr>
          <w:rFonts w:hint="eastAsia" w:ascii="宋体" w:hAnsi="宋体" w:eastAsia="宋体" w:cs="宋体"/>
          <w:spacing w:val="6"/>
          <w:szCs w:val="21"/>
          <w:highlight w:val="none"/>
        </w:rPr>
        <w:t>（</w:t>
      </w:r>
      <w:r>
        <w:rPr>
          <w:rFonts w:hint="eastAsia" w:ascii="宋体" w:hAnsi="宋体" w:eastAsia="宋体" w:cs="宋体"/>
          <w:spacing w:val="6"/>
          <w:szCs w:val="21"/>
          <w:highlight w:val="none"/>
          <w:lang w:val="en-US" w:eastAsia="zh-CN"/>
        </w:rPr>
        <w:t>7</w:t>
      </w:r>
      <w:r>
        <w:rPr>
          <w:rFonts w:hint="eastAsia" w:ascii="宋体" w:hAnsi="宋体" w:eastAsia="宋体" w:cs="宋体"/>
          <w:spacing w:val="6"/>
          <w:szCs w:val="21"/>
          <w:highlight w:val="none"/>
        </w:rPr>
        <w:t>）恶意提高（压低）报价或报价超过预算控制金额的；</w:t>
      </w:r>
    </w:p>
    <w:p w14:paraId="381EB609">
      <w:pPr>
        <w:pStyle w:val="110"/>
        <w:spacing w:line="420" w:lineRule="exact"/>
        <w:rPr>
          <w:rFonts w:hint="eastAsia" w:ascii="宋体" w:hAnsi="宋体" w:eastAsia="宋体" w:cs="宋体"/>
          <w:spacing w:val="6"/>
          <w:szCs w:val="21"/>
          <w:highlight w:val="none"/>
        </w:rPr>
      </w:pPr>
      <w:r>
        <w:rPr>
          <w:rFonts w:hint="eastAsia" w:ascii="宋体" w:hAnsi="宋体" w:eastAsia="宋体" w:cs="宋体"/>
          <w:spacing w:val="6"/>
          <w:szCs w:val="21"/>
          <w:highlight w:val="none"/>
        </w:rPr>
        <w:t>（</w:t>
      </w:r>
      <w:r>
        <w:rPr>
          <w:rFonts w:hint="eastAsia" w:ascii="宋体" w:hAnsi="宋体" w:eastAsia="宋体" w:cs="宋体"/>
          <w:spacing w:val="6"/>
          <w:szCs w:val="21"/>
          <w:highlight w:val="none"/>
          <w:lang w:val="en-US" w:eastAsia="zh-CN"/>
        </w:rPr>
        <w:t>8</w:t>
      </w:r>
      <w:r>
        <w:rPr>
          <w:rFonts w:hint="eastAsia" w:ascii="宋体" w:hAnsi="宋体" w:eastAsia="宋体" w:cs="宋体"/>
          <w:spacing w:val="6"/>
          <w:szCs w:val="21"/>
          <w:highlight w:val="none"/>
        </w:rPr>
        <w:t>）资格证明不全或者不具备</w:t>
      </w:r>
      <w:r>
        <w:rPr>
          <w:rFonts w:hint="eastAsia" w:ascii="宋体" w:hAnsi="宋体" w:eastAsia="宋体" w:cs="宋体"/>
          <w:spacing w:val="6"/>
          <w:szCs w:val="21"/>
          <w:highlight w:val="none"/>
          <w:lang w:val="en-US" w:eastAsia="zh-CN"/>
        </w:rPr>
        <w:t>招标文件</w:t>
      </w:r>
      <w:r>
        <w:rPr>
          <w:rFonts w:hint="eastAsia" w:ascii="宋体" w:hAnsi="宋体" w:eastAsia="宋体" w:cs="宋体"/>
          <w:spacing w:val="6"/>
          <w:szCs w:val="21"/>
          <w:highlight w:val="none"/>
        </w:rPr>
        <w:t>中规定的投标供应商资格要求的；</w:t>
      </w:r>
    </w:p>
    <w:p w14:paraId="1A4C22F1">
      <w:pPr>
        <w:pStyle w:val="110"/>
        <w:spacing w:line="420" w:lineRule="exact"/>
        <w:rPr>
          <w:rFonts w:hint="eastAsia" w:ascii="宋体" w:hAnsi="宋体" w:eastAsia="宋体" w:cs="宋体"/>
          <w:color w:val="auto"/>
          <w:spacing w:val="6"/>
          <w:szCs w:val="21"/>
          <w:highlight w:val="none"/>
          <w:lang w:val="en-US"/>
        </w:rPr>
      </w:pPr>
      <w:r>
        <w:rPr>
          <w:rFonts w:hint="eastAsia" w:ascii="宋体" w:hAnsi="宋体" w:eastAsia="宋体" w:cs="宋体"/>
          <w:spacing w:val="6"/>
          <w:szCs w:val="21"/>
          <w:highlight w:val="none"/>
        </w:rPr>
        <w:t>（</w:t>
      </w:r>
      <w:r>
        <w:rPr>
          <w:rFonts w:hint="eastAsia" w:ascii="宋体" w:hAnsi="宋体" w:eastAsia="宋体" w:cs="宋体"/>
          <w:spacing w:val="6"/>
          <w:szCs w:val="21"/>
          <w:highlight w:val="none"/>
          <w:lang w:val="en-US" w:eastAsia="zh-CN"/>
        </w:rPr>
        <w:t>9</w:t>
      </w:r>
      <w:r>
        <w:rPr>
          <w:rFonts w:hint="eastAsia" w:ascii="宋体" w:hAnsi="宋体" w:eastAsia="宋体" w:cs="宋体"/>
          <w:spacing w:val="6"/>
          <w:szCs w:val="21"/>
          <w:highlight w:val="none"/>
        </w:rPr>
        <w:t>）不符合法律、法规和</w:t>
      </w:r>
      <w:r>
        <w:rPr>
          <w:rFonts w:hint="eastAsia" w:ascii="宋体" w:hAnsi="宋体" w:eastAsia="宋体" w:cs="宋体"/>
          <w:spacing w:val="6"/>
          <w:szCs w:val="21"/>
          <w:highlight w:val="none"/>
          <w:lang w:eastAsia="zh-CN"/>
        </w:rPr>
        <w:t>招标文件</w:t>
      </w:r>
      <w:r>
        <w:rPr>
          <w:rFonts w:hint="eastAsia" w:ascii="宋体" w:hAnsi="宋体" w:eastAsia="宋体" w:cs="宋体"/>
          <w:spacing w:val="6"/>
          <w:szCs w:val="21"/>
          <w:highlight w:val="none"/>
        </w:rPr>
        <w:t>中规定的其他实质性要求的。</w:t>
      </w:r>
    </w:p>
    <w:p w14:paraId="744CBB46">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3.1.3</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有下列情形之一的，视为投标人串通投标，其投标无效：</w:t>
      </w:r>
    </w:p>
    <w:p w14:paraId="0A03152A">
      <w:pPr>
        <w:pStyle w:val="110"/>
        <w:spacing w:line="420" w:lineRule="exact"/>
        <w:rPr>
          <w:rFonts w:hint="eastAsia" w:ascii="宋体" w:hAnsi="宋体" w:eastAsia="宋体" w:cs="宋体"/>
          <w:spacing w:val="6"/>
          <w:szCs w:val="21"/>
          <w:highlight w:val="none"/>
        </w:rPr>
      </w:pPr>
      <w:r>
        <w:rPr>
          <w:rFonts w:hint="eastAsia" w:ascii="宋体" w:hAnsi="宋体" w:eastAsia="宋体" w:cs="宋体"/>
          <w:spacing w:val="6"/>
          <w:szCs w:val="21"/>
          <w:highlight w:val="none"/>
        </w:rPr>
        <w:t>（1）投标供应商之间协商投标报价等投标文件的实质性内容；</w:t>
      </w:r>
    </w:p>
    <w:p w14:paraId="0A9F2869">
      <w:pPr>
        <w:pStyle w:val="110"/>
        <w:spacing w:line="420" w:lineRule="exact"/>
        <w:rPr>
          <w:rFonts w:hint="eastAsia" w:ascii="宋体" w:hAnsi="宋体" w:eastAsia="宋体" w:cs="宋体"/>
          <w:spacing w:val="6"/>
          <w:szCs w:val="21"/>
          <w:highlight w:val="none"/>
        </w:rPr>
      </w:pPr>
      <w:r>
        <w:rPr>
          <w:rFonts w:hint="eastAsia" w:ascii="宋体" w:hAnsi="宋体" w:eastAsia="宋体" w:cs="宋体"/>
          <w:spacing w:val="6"/>
          <w:szCs w:val="21"/>
          <w:highlight w:val="none"/>
        </w:rPr>
        <w:t>（2）投标供应商之间约定中标供应商；</w:t>
      </w:r>
    </w:p>
    <w:p w14:paraId="5E2A602A">
      <w:pPr>
        <w:pStyle w:val="110"/>
        <w:spacing w:line="420" w:lineRule="exact"/>
        <w:rPr>
          <w:rFonts w:hint="eastAsia" w:ascii="宋体" w:hAnsi="宋体" w:eastAsia="宋体" w:cs="宋体"/>
          <w:spacing w:val="6"/>
          <w:szCs w:val="21"/>
          <w:highlight w:val="none"/>
        </w:rPr>
      </w:pPr>
      <w:r>
        <w:rPr>
          <w:rFonts w:hint="eastAsia" w:ascii="宋体" w:hAnsi="宋体" w:eastAsia="宋体" w:cs="宋体"/>
          <w:spacing w:val="6"/>
          <w:szCs w:val="21"/>
          <w:highlight w:val="none"/>
        </w:rPr>
        <w:t>（3）投标供应商之间约定部分投标供应商放弃投标或者中标；</w:t>
      </w:r>
    </w:p>
    <w:p w14:paraId="42C74D41">
      <w:pPr>
        <w:pStyle w:val="110"/>
        <w:spacing w:line="420" w:lineRule="exact"/>
        <w:rPr>
          <w:rFonts w:hint="eastAsia" w:ascii="宋体" w:hAnsi="宋体" w:eastAsia="宋体" w:cs="宋体"/>
          <w:spacing w:val="6"/>
          <w:szCs w:val="21"/>
          <w:highlight w:val="none"/>
        </w:rPr>
      </w:pPr>
      <w:r>
        <w:rPr>
          <w:rFonts w:hint="eastAsia" w:ascii="宋体" w:hAnsi="宋体" w:eastAsia="宋体" w:cs="宋体"/>
          <w:spacing w:val="6"/>
          <w:szCs w:val="21"/>
          <w:highlight w:val="none"/>
        </w:rPr>
        <w:t>（4）属于同一集团、协会、商会等组织成员的投标供应商按照该组织要求协同投标；</w:t>
      </w:r>
    </w:p>
    <w:p w14:paraId="0FC3BCFB">
      <w:pPr>
        <w:pStyle w:val="110"/>
        <w:spacing w:line="420" w:lineRule="exact"/>
        <w:rPr>
          <w:rFonts w:hint="eastAsia" w:ascii="宋体" w:hAnsi="宋体" w:eastAsia="宋体" w:cs="宋体"/>
          <w:spacing w:val="6"/>
          <w:szCs w:val="21"/>
          <w:highlight w:val="none"/>
        </w:rPr>
      </w:pPr>
      <w:r>
        <w:rPr>
          <w:rFonts w:hint="eastAsia" w:ascii="宋体" w:hAnsi="宋体" w:eastAsia="宋体" w:cs="宋体"/>
          <w:spacing w:val="6"/>
          <w:szCs w:val="21"/>
          <w:highlight w:val="none"/>
        </w:rPr>
        <w:t>（5）投标供应商之间为谋取中标或者排斥特定投标供应商而采取的其他联合行动。</w:t>
      </w:r>
    </w:p>
    <w:p w14:paraId="62ACAF5A">
      <w:pPr>
        <w:pStyle w:val="110"/>
        <w:spacing w:line="420" w:lineRule="exact"/>
        <w:rPr>
          <w:rFonts w:hint="eastAsia" w:ascii="宋体" w:hAnsi="宋体" w:eastAsia="宋体" w:cs="宋体"/>
          <w:spacing w:val="6"/>
          <w:szCs w:val="21"/>
          <w:highlight w:val="none"/>
        </w:rPr>
      </w:pPr>
      <w:r>
        <w:rPr>
          <w:rFonts w:hint="eastAsia" w:ascii="宋体" w:hAnsi="宋体" w:eastAsia="宋体" w:cs="宋体"/>
          <w:spacing w:val="6"/>
          <w:szCs w:val="21"/>
          <w:highlight w:val="none"/>
        </w:rPr>
        <w:t>（</w:t>
      </w:r>
      <w:r>
        <w:rPr>
          <w:rFonts w:hint="eastAsia" w:ascii="宋体" w:hAnsi="宋体" w:eastAsia="宋体" w:cs="宋体"/>
          <w:spacing w:val="6"/>
          <w:szCs w:val="21"/>
          <w:highlight w:val="none"/>
          <w:lang w:val="en-US"/>
        </w:rPr>
        <w:t>6</w:t>
      </w:r>
      <w:r>
        <w:rPr>
          <w:rFonts w:hint="eastAsia" w:ascii="宋体" w:hAnsi="宋体" w:eastAsia="宋体" w:cs="宋体"/>
          <w:spacing w:val="6"/>
          <w:szCs w:val="21"/>
          <w:highlight w:val="none"/>
        </w:rPr>
        <w:t>）不同投标供应商的投标文件由同一单位或者个人编制；</w:t>
      </w:r>
    </w:p>
    <w:p w14:paraId="2D9C87AB">
      <w:pPr>
        <w:pStyle w:val="110"/>
        <w:spacing w:line="420" w:lineRule="exact"/>
        <w:rPr>
          <w:rFonts w:hint="eastAsia" w:ascii="宋体" w:hAnsi="宋体" w:eastAsia="宋体" w:cs="宋体"/>
          <w:spacing w:val="6"/>
          <w:szCs w:val="21"/>
          <w:highlight w:val="none"/>
        </w:rPr>
      </w:pPr>
      <w:r>
        <w:rPr>
          <w:rFonts w:hint="eastAsia" w:ascii="宋体" w:hAnsi="宋体" w:eastAsia="宋体" w:cs="宋体"/>
          <w:spacing w:val="6"/>
          <w:szCs w:val="21"/>
          <w:highlight w:val="none"/>
        </w:rPr>
        <w:t>（</w:t>
      </w:r>
      <w:r>
        <w:rPr>
          <w:rFonts w:hint="eastAsia" w:ascii="宋体" w:hAnsi="宋体" w:eastAsia="宋体" w:cs="宋体"/>
          <w:spacing w:val="6"/>
          <w:szCs w:val="21"/>
          <w:highlight w:val="none"/>
          <w:lang w:val="en-US"/>
        </w:rPr>
        <w:t>7</w:t>
      </w:r>
      <w:r>
        <w:rPr>
          <w:rFonts w:hint="eastAsia" w:ascii="宋体" w:hAnsi="宋体" w:eastAsia="宋体" w:cs="宋体"/>
          <w:spacing w:val="6"/>
          <w:szCs w:val="21"/>
          <w:highlight w:val="none"/>
        </w:rPr>
        <w:t>）不同投标供应商委托同一单位或者个人办理投标事宜；</w:t>
      </w:r>
    </w:p>
    <w:p w14:paraId="2BA649B0">
      <w:pPr>
        <w:pStyle w:val="110"/>
        <w:spacing w:line="420" w:lineRule="exact"/>
        <w:rPr>
          <w:rFonts w:hint="eastAsia" w:ascii="宋体" w:hAnsi="宋体" w:eastAsia="宋体" w:cs="宋体"/>
          <w:spacing w:val="6"/>
          <w:szCs w:val="21"/>
          <w:highlight w:val="none"/>
        </w:rPr>
      </w:pPr>
      <w:r>
        <w:rPr>
          <w:rFonts w:hint="eastAsia" w:ascii="宋体" w:hAnsi="宋体" w:eastAsia="宋体" w:cs="宋体"/>
          <w:spacing w:val="6"/>
          <w:szCs w:val="21"/>
          <w:highlight w:val="none"/>
        </w:rPr>
        <w:t>（</w:t>
      </w:r>
      <w:r>
        <w:rPr>
          <w:rFonts w:hint="eastAsia" w:ascii="宋体" w:hAnsi="宋体" w:eastAsia="宋体" w:cs="宋体"/>
          <w:spacing w:val="6"/>
          <w:szCs w:val="21"/>
          <w:highlight w:val="none"/>
          <w:lang w:val="en-US"/>
        </w:rPr>
        <w:t>8</w:t>
      </w:r>
      <w:r>
        <w:rPr>
          <w:rFonts w:hint="eastAsia" w:ascii="宋体" w:hAnsi="宋体" w:eastAsia="宋体" w:cs="宋体"/>
          <w:spacing w:val="6"/>
          <w:szCs w:val="21"/>
          <w:highlight w:val="none"/>
        </w:rPr>
        <w:t>）不同投标供应商的投标文件载明的项目管理成员为同一人；</w:t>
      </w:r>
    </w:p>
    <w:p w14:paraId="06EEA4FF">
      <w:pPr>
        <w:pStyle w:val="110"/>
        <w:spacing w:line="420" w:lineRule="exact"/>
        <w:rPr>
          <w:rFonts w:hint="eastAsia" w:ascii="宋体" w:hAnsi="宋体" w:eastAsia="宋体" w:cs="宋体"/>
          <w:spacing w:val="6"/>
          <w:szCs w:val="21"/>
          <w:highlight w:val="none"/>
        </w:rPr>
      </w:pPr>
      <w:r>
        <w:rPr>
          <w:rFonts w:hint="eastAsia" w:ascii="宋体" w:hAnsi="宋体" w:eastAsia="宋体" w:cs="宋体"/>
          <w:spacing w:val="6"/>
          <w:szCs w:val="21"/>
          <w:highlight w:val="none"/>
        </w:rPr>
        <w:t>（</w:t>
      </w:r>
      <w:r>
        <w:rPr>
          <w:rFonts w:hint="eastAsia" w:ascii="宋体" w:hAnsi="宋体" w:eastAsia="宋体" w:cs="宋体"/>
          <w:spacing w:val="6"/>
          <w:szCs w:val="21"/>
          <w:highlight w:val="none"/>
          <w:lang w:val="en-US"/>
        </w:rPr>
        <w:t>9</w:t>
      </w:r>
      <w:r>
        <w:rPr>
          <w:rFonts w:hint="eastAsia" w:ascii="宋体" w:hAnsi="宋体" w:eastAsia="宋体" w:cs="宋体"/>
          <w:spacing w:val="6"/>
          <w:szCs w:val="21"/>
          <w:highlight w:val="none"/>
        </w:rPr>
        <w:t>）不同投标供应商的投标文件异常一致或者投标报价呈规律性差异；</w:t>
      </w:r>
    </w:p>
    <w:p w14:paraId="690B60D5">
      <w:pPr>
        <w:pStyle w:val="110"/>
        <w:spacing w:line="420" w:lineRule="exact"/>
        <w:rPr>
          <w:rFonts w:hint="eastAsia" w:ascii="宋体" w:hAnsi="宋体" w:eastAsia="宋体" w:cs="宋体"/>
          <w:spacing w:val="6"/>
          <w:szCs w:val="21"/>
          <w:highlight w:val="none"/>
        </w:rPr>
      </w:pPr>
      <w:r>
        <w:rPr>
          <w:rFonts w:hint="eastAsia" w:ascii="宋体" w:hAnsi="宋体" w:eastAsia="宋体" w:cs="宋体"/>
          <w:spacing w:val="6"/>
          <w:szCs w:val="21"/>
          <w:highlight w:val="none"/>
        </w:rPr>
        <w:t>（</w:t>
      </w:r>
      <w:r>
        <w:rPr>
          <w:rFonts w:hint="eastAsia" w:ascii="宋体" w:hAnsi="宋体" w:eastAsia="宋体" w:cs="宋体"/>
          <w:spacing w:val="6"/>
          <w:szCs w:val="21"/>
          <w:highlight w:val="none"/>
          <w:lang w:val="en-US"/>
        </w:rPr>
        <w:t>10</w:t>
      </w:r>
      <w:r>
        <w:rPr>
          <w:rFonts w:hint="eastAsia" w:ascii="宋体" w:hAnsi="宋体" w:eastAsia="宋体" w:cs="宋体"/>
          <w:spacing w:val="6"/>
          <w:szCs w:val="21"/>
          <w:highlight w:val="none"/>
        </w:rPr>
        <w:t>）不同投标供应商的投标文件相互混装；</w:t>
      </w:r>
    </w:p>
    <w:p w14:paraId="00089982">
      <w:pPr>
        <w:pStyle w:val="110"/>
        <w:spacing w:line="420" w:lineRule="exact"/>
        <w:rPr>
          <w:rFonts w:hint="eastAsia" w:ascii="宋体" w:hAnsi="宋体" w:eastAsia="宋体" w:cs="宋体"/>
          <w:spacing w:val="6"/>
          <w:szCs w:val="21"/>
          <w:highlight w:val="none"/>
        </w:rPr>
      </w:pPr>
      <w:bookmarkStart w:id="510" w:name="_Hlk19030406"/>
      <w:r>
        <w:rPr>
          <w:rFonts w:hint="eastAsia" w:ascii="宋体" w:hAnsi="宋体" w:eastAsia="宋体" w:cs="宋体"/>
          <w:spacing w:val="6"/>
          <w:szCs w:val="21"/>
          <w:highlight w:val="none"/>
        </w:rPr>
        <w:t>（</w:t>
      </w:r>
      <w:r>
        <w:rPr>
          <w:rFonts w:hint="eastAsia" w:ascii="宋体" w:hAnsi="宋体" w:eastAsia="宋体" w:cs="宋体"/>
          <w:spacing w:val="6"/>
          <w:szCs w:val="21"/>
          <w:highlight w:val="none"/>
          <w:lang w:val="en-US"/>
        </w:rPr>
        <w:t>11</w:t>
      </w:r>
      <w:r>
        <w:rPr>
          <w:rFonts w:hint="eastAsia" w:ascii="宋体" w:hAnsi="宋体" w:eastAsia="宋体" w:cs="宋体"/>
          <w:spacing w:val="6"/>
          <w:szCs w:val="21"/>
          <w:highlight w:val="none"/>
        </w:rPr>
        <w:t>）不同投标供应商的投标文件制作机器码一致；</w:t>
      </w:r>
    </w:p>
    <w:p w14:paraId="551973DC">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spacing w:val="6"/>
          <w:szCs w:val="21"/>
          <w:highlight w:val="none"/>
        </w:rPr>
        <w:t>（</w:t>
      </w:r>
      <w:r>
        <w:rPr>
          <w:rFonts w:hint="eastAsia" w:ascii="宋体" w:hAnsi="宋体" w:eastAsia="宋体" w:cs="宋体"/>
          <w:spacing w:val="6"/>
          <w:szCs w:val="21"/>
          <w:highlight w:val="none"/>
          <w:lang w:val="en-US"/>
        </w:rPr>
        <w:t>12</w:t>
      </w:r>
      <w:r>
        <w:rPr>
          <w:rFonts w:hint="eastAsia" w:ascii="宋体" w:hAnsi="宋体" w:eastAsia="宋体" w:cs="宋体"/>
          <w:spacing w:val="6"/>
          <w:szCs w:val="21"/>
          <w:highlight w:val="none"/>
        </w:rPr>
        <w:t>）不同投标人的报名或投标IP地址一致</w:t>
      </w:r>
      <w:r>
        <w:rPr>
          <w:rFonts w:hint="eastAsia" w:ascii="宋体" w:hAnsi="宋体" w:eastAsia="宋体" w:cs="宋体"/>
          <w:spacing w:val="6"/>
          <w:szCs w:val="21"/>
          <w:highlight w:val="none"/>
          <w:lang w:val="en-US"/>
        </w:rPr>
        <w:t>。</w:t>
      </w:r>
      <w:bookmarkEnd w:id="510"/>
    </w:p>
    <w:p w14:paraId="520769EF">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3.1.4</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投标文件报价出现前后不一致的，评标委员会按以下原则要求投标人对投标报价进行修正，并要求投标人书面澄清确认。投标人拒不澄清确认的，评标委员会应当否决其投标：</w:t>
      </w:r>
    </w:p>
    <w:p w14:paraId="4D1721AF">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（1）投标文件中开标一览表内容与投标文件中相应内容不一致的，以开标一览表为准；</w:t>
      </w:r>
    </w:p>
    <w:p w14:paraId="7C3A0636">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（2）大写金额和小写金额不一致的，以大写金额为准；</w:t>
      </w:r>
    </w:p>
    <w:p w14:paraId="393F1BFC">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（3）单价金额小数点或者百分比有明显错位的，以开标一览表的总价为准，并修改单价；</w:t>
      </w:r>
    </w:p>
    <w:p w14:paraId="453FE582">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（4）总价金额与按单价汇总金额不一致的，以单价金额计算结果为准。</w:t>
      </w:r>
    </w:p>
    <w:p w14:paraId="3BD04F2C">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同时出现两种以上不一致的，按照前款规定的顺序修正。</w:t>
      </w:r>
    </w:p>
    <w:p w14:paraId="3177F0C3">
      <w:pPr>
        <w:pStyle w:val="4"/>
        <w:spacing w:line="420" w:lineRule="exact"/>
        <w:rPr>
          <w:rFonts w:hint="eastAsia" w:ascii="宋体" w:hAnsi="宋体" w:eastAsia="宋体" w:cs="宋体"/>
          <w:b/>
          <w:bCs/>
          <w:color w:val="auto"/>
          <w:spacing w:val="6"/>
          <w:sz w:val="24"/>
          <w:szCs w:val="24"/>
          <w:highlight w:val="none"/>
        </w:rPr>
      </w:pPr>
      <w:bookmarkStart w:id="511" w:name="_Toc1660848"/>
      <w:bookmarkStart w:id="512" w:name="_Toc30666"/>
      <w:r>
        <w:rPr>
          <w:rFonts w:hint="eastAsia" w:ascii="宋体" w:hAnsi="宋体" w:eastAsia="宋体" w:cs="宋体"/>
          <w:b/>
          <w:bCs/>
          <w:color w:val="auto"/>
          <w:spacing w:val="6"/>
          <w:sz w:val="24"/>
          <w:szCs w:val="24"/>
          <w:highlight w:val="none"/>
        </w:rPr>
        <w:t>3.2 详细评审</w:t>
      </w:r>
      <w:bookmarkEnd w:id="511"/>
      <w:bookmarkEnd w:id="512"/>
    </w:p>
    <w:p w14:paraId="7539921F">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3.2.1 评标委员会按本章第2.2款规定的量化因素和分值进行打分，取所有评委打分分数的算术平均值作为该投标人的各项得分。</w:t>
      </w:r>
    </w:p>
    <w:p w14:paraId="362098BB">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3.2.2 评分分值计算保留小数点后两位，小数点后第三位“四舍五入”。</w:t>
      </w:r>
    </w:p>
    <w:p w14:paraId="0116011B">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3.2.3</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评标委员会汇总投标人的各项得分，相加后为投标人最终得分。</w:t>
      </w:r>
    </w:p>
    <w:p w14:paraId="730121E9">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3.2.4</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若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4A97093">
      <w:pPr>
        <w:pStyle w:val="110"/>
        <w:spacing w:line="420" w:lineRule="exact"/>
        <w:rPr>
          <w:rFonts w:hint="eastAsia" w:ascii="宋体" w:hAnsi="宋体" w:eastAsia="宋体" w:cs="宋体"/>
          <w:color w:val="auto"/>
          <w:spacing w:val="6"/>
          <w:szCs w:val="21"/>
          <w:highlight w:val="none"/>
        </w:rPr>
      </w:pPr>
      <w:bookmarkStart w:id="513" w:name="_Hlk89956548"/>
      <w:r>
        <w:rPr>
          <w:rFonts w:hint="eastAsia" w:ascii="宋体" w:hAnsi="宋体" w:eastAsia="宋体" w:cs="宋体"/>
          <w:color w:val="auto"/>
          <w:spacing w:val="6"/>
          <w:szCs w:val="21"/>
          <w:highlight w:val="none"/>
        </w:rPr>
        <w:t>3.2.5</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评标委员会按第二章“投标人须知”第1.1.5项的规定对相关投标人进行价格扣除，扣除后的价格为评标报价。</w:t>
      </w:r>
    </w:p>
    <w:bookmarkEnd w:id="513"/>
    <w:p w14:paraId="0427B6D2">
      <w:pPr>
        <w:pStyle w:val="4"/>
        <w:spacing w:line="420" w:lineRule="exact"/>
        <w:rPr>
          <w:rFonts w:hint="eastAsia" w:ascii="宋体" w:hAnsi="宋体" w:eastAsia="宋体" w:cs="宋体"/>
          <w:b/>
          <w:bCs/>
          <w:color w:val="auto"/>
          <w:spacing w:val="6"/>
          <w:sz w:val="24"/>
          <w:szCs w:val="24"/>
          <w:highlight w:val="none"/>
        </w:rPr>
      </w:pPr>
      <w:bookmarkStart w:id="514" w:name="_Toc1660849"/>
      <w:bookmarkStart w:id="515" w:name="_Toc28455"/>
      <w:r>
        <w:rPr>
          <w:rFonts w:hint="eastAsia" w:ascii="宋体" w:hAnsi="宋体" w:eastAsia="宋体" w:cs="宋体"/>
          <w:b/>
          <w:bCs/>
          <w:color w:val="auto"/>
          <w:spacing w:val="6"/>
          <w:sz w:val="24"/>
          <w:szCs w:val="24"/>
          <w:highlight w:val="none"/>
        </w:rPr>
        <w:t>3.3 投标文件的澄清</w:t>
      </w:r>
      <w:bookmarkEnd w:id="514"/>
      <w:bookmarkEnd w:id="515"/>
    </w:p>
    <w:p w14:paraId="4A4771B8">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507B6C9E">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3.3.2 澄清、说明或补正不得超出投标文件的范围且不得改变投标文件的实质性内容，并构成投标文件的组成部分。</w:t>
      </w:r>
    </w:p>
    <w:p w14:paraId="78B487FD">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3.3.3 评标委员会对投标人提交的澄清、说明或补正有疑问的，可以要求投标人进一步澄清、说明或补正，直至满足评标委员会的要求。</w:t>
      </w:r>
    </w:p>
    <w:p w14:paraId="7CD936A7">
      <w:pPr>
        <w:pStyle w:val="4"/>
        <w:spacing w:line="420" w:lineRule="exact"/>
        <w:rPr>
          <w:rFonts w:hint="eastAsia" w:ascii="宋体" w:hAnsi="宋体" w:eastAsia="宋体" w:cs="宋体"/>
          <w:b/>
          <w:bCs/>
          <w:color w:val="auto"/>
          <w:spacing w:val="6"/>
          <w:sz w:val="24"/>
          <w:szCs w:val="24"/>
          <w:highlight w:val="none"/>
        </w:rPr>
      </w:pPr>
      <w:bookmarkStart w:id="516" w:name="_Toc9968"/>
      <w:bookmarkStart w:id="517" w:name="_Toc1660850"/>
      <w:r>
        <w:rPr>
          <w:rFonts w:hint="eastAsia" w:ascii="宋体" w:hAnsi="宋体" w:eastAsia="宋体" w:cs="宋体"/>
          <w:b/>
          <w:bCs/>
          <w:color w:val="auto"/>
          <w:spacing w:val="6"/>
          <w:sz w:val="24"/>
          <w:szCs w:val="24"/>
          <w:highlight w:val="none"/>
        </w:rPr>
        <w:t>3.4 评标结果</w:t>
      </w:r>
      <w:bookmarkEnd w:id="516"/>
      <w:bookmarkEnd w:id="517"/>
    </w:p>
    <w:p w14:paraId="189E68E2">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3.4.1</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评标委员会严格按照招标文件的要求和条件进行评标和打分，评标结果按评审后得分由高到低的顺序排列。</w:t>
      </w:r>
    </w:p>
    <w:p w14:paraId="56143995">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3.4.2</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评标委员会完成评标后，应当向采购人提交书面评标报告和中标候选人名单。</w:t>
      </w:r>
    </w:p>
    <w:p w14:paraId="555BFCF6">
      <w:pPr>
        <w:pStyle w:val="4"/>
        <w:spacing w:line="420" w:lineRule="exact"/>
        <w:rPr>
          <w:rFonts w:hint="eastAsia" w:ascii="宋体" w:hAnsi="宋体" w:eastAsia="宋体" w:cs="宋体"/>
          <w:b/>
          <w:bCs/>
          <w:color w:val="auto"/>
          <w:spacing w:val="6"/>
          <w:sz w:val="24"/>
          <w:szCs w:val="24"/>
          <w:highlight w:val="none"/>
          <w:lang w:val="en-US"/>
        </w:rPr>
      </w:pPr>
      <w:bookmarkStart w:id="518" w:name="_Toc27754"/>
      <w:r>
        <w:rPr>
          <w:rFonts w:hint="eastAsia" w:ascii="宋体" w:hAnsi="宋体" w:eastAsia="宋体" w:cs="宋体"/>
          <w:b/>
          <w:bCs/>
          <w:color w:val="auto"/>
          <w:spacing w:val="6"/>
          <w:sz w:val="24"/>
          <w:szCs w:val="24"/>
          <w:highlight w:val="none"/>
          <w:lang w:val="en-US"/>
        </w:rPr>
        <w:t>3.5废标</w:t>
      </w:r>
      <w:bookmarkEnd w:id="518"/>
    </w:p>
    <w:p w14:paraId="676873F5">
      <w:pPr>
        <w:pStyle w:val="110"/>
        <w:spacing w:line="420" w:lineRule="exact"/>
        <w:rPr>
          <w:rFonts w:hint="eastAsia" w:ascii="宋体" w:hAnsi="宋体" w:eastAsia="宋体" w:cs="宋体"/>
          <w:spacing w:val="6"/>
          <w:szCs w:val="21"/>
          <w:highlight w:val="none"/>
          <w:lang w:val="en-US"/>
        </w:rPr>
      </w:pPr>
      <w:r>
        <w:rPr>
          <w:rFonts w:hint="eastAsia" w:ascii="宋体" w:hAnsi="宋体" w:eastAsia="宋体" w:cs="宋体"/>
          <w:spacing w:val="6"/>
          <w:szCs w:val="21"/>
          <w:highlight w:val="none"/>
          <w:lang w:val="en-US"/>
        </w:rPr>
        <w:t xml:space="preserve">3.5.1出现下列情形之一的，本项目废标： </w:t>
      </w:r>
    </w:p>
    <w:p w14:paraId="46741E1B">
      <w:pPr>
        <w:pStyle w:val="110"/>
        <w:spacing w:line="420" w:lineRule="exact"/>
        <w:rPr>
          <w:rFonts w:hint="eastAsia" w:ascii="宋体" w:hAnsi="宋体" w:eastAsia="宋体" w:cs="宋体"/>
          <w:spacing w:val="6"/>
          <w:szCs w:val="21"/>
          <w:highlight w:val="none"/>
          <w:lang w:val="en-US"/>
        </w:rPr>
      </w:pPr>
      <w:r>
        <w:rPr>
          <w:rFonts w:hint="eastAsia" w:ascii="宋体" w:hAnsi="宋体" w:eastAsia="宋体" w:cs="宋体"/>
          <w:spacing w:val="6"/>
          <w:szCs w:val="21"/>
          <w:highlight w:val="none"/>
          <w:lang w:val="en-US"/>
        </w:rPr>
        <w:t>（1）符合专业条件的供应商或者对招标文件</w:t>
      </w:r>
      <w:r>
        <w:rPr>
          <w:rFonts w:hint="eastAsia" w:ascii="宋体" w:hAnsi="宋体" w:eastAsia="宋体" w:cs="宋体"/>
          <w:spacing w:val="6"/>
          <w:szCs w:val="21"/>
          <w:highlight w:val="none"/>
          <w:lang w:val="en-US" w:eastAsia="zh-CN"/>
        </w:rPr>
        <w:t>做</w:t>
      </w:r>
      <w:r>
        <w:rPr>
          <w:rFonts w:hint="eastAsia" w:ascii="宋体" w:hAnsi="宋体" w:eastAsia="宋体" w:cs="宋体"/>
          <w:spacing w:val="6"/>
          <w:szCs w:val="21"/>
          <w:highlight w:val="none"/>
          <w:lang w:val="en-US"/>
        </w:rPr>
        <w:t xml:space="preserve">实质响应的供应商不足三家的； </w:t>
      </w:r>
    </w:p>
    <w:p w14:paraId="67EFC0A8">
      <w:pPr>
        <w:pStyle w:val="110"/>
        <w:spacing w:line="420" w:lineRule="exact"/>
        <w:rPr>
          <w:rFonts w:hint="eastAsia" w:ascii="宋体" w:hAnsi="宋体" w:eastAsia="宋体" w:cs="宋体"/>
          <w:spacing w:val="6"/>
          <w:szCs w:val="21"/>
          <w:highlight w:val="none"/>
          <w:lang w:val="en-US"/>
        </w:rPr>
      </w:pPr>
      <w:r>
        <w:rPr>
          <w:rFonts w:hint="eastAsia" w:ascii="宋体" w:hAnsi="宋体" w:eastAsia="宋体" w:cs="宋体"/>
          <w:spacing w:val="6"/>
          <w:szCs w:val="21"/>
          <w:highlight w:val="none"/>
          <w:lang w:val="en-US"/>
        </w:rPr>
        <w:t xml:space="preserve">（2）出现影响采购公正的违法、违规行为的； </w:t>
      </w:r>
    </w:p>
    <w:p w14:paraId="7000FA6D">
      <w:pPr>
        <w:pStyle w:val="110"/>
        <w:spacing w:line="420" w:lineRule="exact"/>
        <w:rPr>
          <w:rFonts w:hint="eastAsia" w:ascii="宋体" w:hAnsi="宋体" w:eastAsia="宋体" w:cs="宋体"/>
          <w:spacing w:val="6"/>
          <w:szCs w:val="21"/>
          <w:highlight w:val="none"/>
          <w:lang w:val="en-US"/>
        </w:rPr>
      </w:pPr>
      <w:r>
        <w:rPr>
          <w:rFonts w:hint="eastAsia" w:ascii="宋体" w:hAnsi="宋体" w:eastAsia="宋体" w:cs="宋体"/>
          <w:spacing w:val="6"/>
          <w:szCs w:val="21"/>
          <w:highlight w:val="none"/>
          <w:lang w:val="en-US"/>
        </w:rPr>
        <w:t xml:space="preserve">（3）投标人的报价均超过了采购预算，采购人不能支付的； </w:t>
      </w:r>
    </w:p>
    <w:p w14:paraId="424481D5">
      <w:pPr>
        <w:pStyle w:val="110"/>
        <w:spacing w:line="420" w:lineRule="exact"/>
        <w:rPr>
          <w:rFonts w:hint="eastAsia" w:ascii="宋体" w:hAnsi="宋体" w:eastAsia="宋体" w:cs="宋体"/>
          <w:spacing w:val="6"/>
          <w:szCs w:val="21"/>
          <w:highlight w:val="none"/>
          <w:lang w:val="en-US"/>
        </w:rPr>
      </w:pPr>
      <w:r>
        <w:rPr>
          <w:rFonts w:hint="eastAsia" w:ascii="宋体" w:hAnsi="宋体" w:eastAsia="宋体" w:cs="宋体"/>
          <w:spacing w:val="6"/>
          <w:szCs w:val="21"/>
          <w:highlight w:val="none"/>
          <w:lang w:val="en-US"/>
        </w:rPr>
        <w:t>（4）因重大变故，采购任务取消的。</w:t>
      </w:r>
    </w:p>
    <w:p w14:paraId="1D174F03">
      <w:pP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br w:type="page"/>
      </w:r>
    </w:p>
    <w:bookmarkEnd w:id="490"/>
    <w:p w14:paraId="0D699B2B">
      <w:pPr>
        <w:pStyle w:val="23"/>
        <w:rPr>
          <w:rFonts w:hint="eastAsia" w:ascii="宋体" w:hAnsi="宋体" w:eastAsia="宋体" w:cs="宋体"/>
          <w:b w:val="0"/>
          <w:bCs w:val="0"/>
          <w:color w:val="auto"/>
          <w:spacing w:val="6"/>
          <w:sz w:val="32"/>
          <w:szCs w:val="32"/>
          <w:highlight w:val="none"/>
          <w:lang w:eastAsia="zh-CN"/>
        </w:rPr>
      </w:pPr>
      <w:bookmarkStart w:id="519" w:name="_Toc738"/>
      <w:bookmarkStart w:id="520" w:name="_Toc14524"/>
      <w:bookmarkStart w:id="521" w:name="_Toc28618"/>
      <w:bookmarkStart w:id="522" w:name="_Toc16945"/>
      <w:bookmarkStart w:id="523" w:name="_Toc20913"/>
      <w:r>
        <w:rPr>
          <w:rFonts w:hint="eastAsia" w:ascii="宋体" w:hAnsi="宋体" w:eastAsia="宋体" w:cs="宋体"/>
          <w:b/>
          <w:bCs/>
          <w:color w:val="auto"/>
          <w:spacing w:val="6"/>
          <w:sz w:val="32"/>
          <w:szCs w:val="32"/>
          <w:highlight w:val="none"/>
          <w:lang w:eastAsia="zh-CN"/>
        </w:rPr>
        <w:t xml:space="preserve">第六章 </w:t>
      </w:r>
      <w:bookmarkStart w:id="524" w:name="_Toc1660855"/>
      <w:bookmarkStart w:id="525" w:name="_Toc504741951"/>
      <w:r>
        <w:rPr>
          <w:rFonts w:hint="eastAsia" w:ascii="宋体" w:hAnsi="宋体" w:eastAsia="宋体" w:cs="宋体"/>
          <w:b/>
          <w:bCs/>
          <w:color w:val="auto"/>
          <w:spacing w:val="6"/>
          <w:sz w:val="32"/>
          <w:szCs w:val="32"/>
          <w:highlight w:val="none"/>
          <w:lang w:eastAsia="zh-CN"/>
        </w:rPr>
        <w:t>投标文件格式</w:t>
      </w:r>
      <w:bookmarkEnd w:id="519"/>
      <w:bookmarkEnd w:id="520"/>
      <w:bookmarkEnd w:id="521"/>
      <w:bookmarkEnd w:id="522"/>
      <w:bookmarkEnd w:id="523"/>
      <w:bookmarkEnd w:id="524"/>
      <w:bookmarkEnd w:id="525"/>
    </w:p>
    <w:p w14:paraId="528F5DBB">
      <w:pPr>
        <w:rPr>
          <w:rFonts w:hint="eastAsia" w:ascii="宋体" w:hAnsi="宋体" w:eastAsia="宋体" w:cs="宋体"/>
          <w:color w:val="auto"/>
          <w:spacing w:val="6"/>
          <w:highlight w:val="none"/>
          <w:lang w:val="zh-CN"/>
        </w:rPr>
      </w:pPr>
    </w:p>
    <w:p w14:paraId="5F0281B3">
      <w:pPr>
        <w:rPr>
          <w:rFonts w:hint="eastAsia" w:ascii="宋体" w:hAnsi="宋体" w:eastAsia="宋体" w:cs="宋体"/>
          <w:color w:val="auto"/>
          <w:spacing w:val="6"/>
          <w:sz w:val="28"/>
          <w:szCs w:val="28"/>
          <w:highlight w:val="none"/>
          <w:u w:val="single"/>
        </w:rPr>
      </w:pPr>
      <w:r>
        <w:rPr>
          <w:rFonts w:hint="eastAsia" w:ascii="宋体" w:hAnsi="宋体" w:eastAsia="宋体" w:cs="宋体"/>
          <w:color w:val="auto"/>
          <w:spacing w:val="6"/>
          <w:highlight w:val="none"/>
          <w:lang w:val="zh-CN"/>
        </w:rPr>
        <w:br w:type="page"/>
      </w:r>
    </w:p>
    <w:p w14:paraId="729D3B39">
      <w:pPr>
        <w:jc w:val="center"/>
        <w:rPr>
          <w:rFonts w:hint="eastAsia" w:ascii="宋体" w:hAnsi="宋体" w:eastAsia="宋体" w:cs="宋体"/>
          <w:color w:val="auto"/>
          <w:spacing w:val="6"/>
          <w:highlight w:val="none"/>
          <w:lang w:val="en-US" w:eastAsia="zh-CN"/>
        </w:rPr>
      </w:pPr>
      <w:r>
        <w:rPr>
          <w:rFonts w:hint="eastAsia" w:ascii="宋体" w:hAnsi="宋体" w:eastAsia="宋体" w:cs="宋体"/>
          <w:color w:val="auto"/>
          <w:spacing w:val="6"/>
          <w:sz w:val="28"/>
          <w:szCs w:val="28"/>
          <w:highlight w:val="none"/>
          <w:u w:val="single"/>
        </w:rPr>
        <w:t xml:space="preserve">                         </w:t>
      </w:r>
      <w:r>
        <w:rPr>
          <w:rFonts w:hint="eastAsia" w:ascii="宋体" w:hAnsi="宋体" w:eastAsia="宋体" w:cs="宋体"/>
          <w:color w:val="auto"/>
          <w:spacing w:val="6"/>
          <w:sz w:val="28"/>
          <w:szCs w:val="28"/>
          <w:highlight w:val="none"/>
        </w:rPr>
        <w:t>（项目名称）</w:t>
      </w:r>
    </w:p>
    <w:p w14:paraId="4979065D">
      <w:pPr>
        <w:jc w:val="center"/>
        <w:rPr>
          <w:rFonts w:hint="eastAsia" w:ascii="宋体" w:hAnsi="宋体" w:eastAsia="宋体" w:cs="宋体"/>
          <w:color w:val="auto"/>
          <w:spacing w:val="6"/>
          <w:highlight w:val="none"/>
        </w:rPr>
      </w:pPr>
    </w:p>
    <w:p w14:paraId="168F6DAB">
      <w:pPr>
        <w:rPr>
          <w:rFonts w:hint="eastAsia" w:ascii="宋体" w:hAnsi="宋体" w:eastAsia="宋体" w:cs="宋体"/>
          <w:color w:val="auto"/>
          <w:spacing w:val="6"/>
          <w:highlight w:val="none"/>
        </w:rPr>
      </w:pPr>
    </w:p>
    <w:p w14:paraId="55B6B267">
      <w:pPr>
        <w:jc w:val="center"/>
        <w:rPr>
          <w:rFonts w:hint="eastAsia" w:ascii="宋体" w:hAnsi="宋体" w:eastAsia="宋体" w:cs="宋体"/>
          <w:color w:val="auto"/>
          <w:spacing w:val="6"/>
          <w:sz w:val="44"/>
          <w:szCs w:val="44"/>
          <w:highlight w:val="none"/>
        </w:rPr>
      </w:pPr>
      <w:r>
        <w:rPr>
          <w:rFonts w:hint="eastAsia" w:ascii="宋体" w:hAnsi="宋体" w:eastAsia="宋体" w:cs="宋体"/>
          <w:color w:val="auto"/>
          <w:spacing w:val="6"/>
          <w:sz w:val="44"/>
          <w:szCs w:val="44"/>
          <w:highlight w:val="none"/>
        </w:rPr>
        <w:t>投  标  文  件</w:t>
      </w:r>
    </w:p>
    <w:p w14:paraId="5756A6E0">
      <w:pPr>
        <w:pStyle w:val="52"/>
        <w:jc w:val="center"/>
        <w:rPr>
          <w:rFonts w:hint="eastAsia" w:ascii="宋体" w:hAnsi="宋体" w:eastAsia="宋体" w:cs="宋体"/>
          <w:bCs/>
          <w:color w:val="auto"/>
          <w:spacing w:val="6"/>
          <w:sz w:val="24"/>
          <w:szCs w:val="24"/>
          <w:highlight w:val="none"/>
          <w:lang w:val="en-US" w:eastAsia="zh-CN"/>
        </w:rPr>
      </w:pPr>
      <w:r>
        <w:rPr>
          <w:rFonts w:hint="eastAsia" w:ascii="宋体" w:hAnsi="宋体" w:eastAsia="宋体" w:cs="宋体"/>
          <w:bCs/>
          <w:color w:val="auto"/>
          <w:spacing w:val="6"/>
          <w:sz w:val="24"/>
          <w:szCs w:val="24"/>
          <w:highlight w:val="none"/>
          <w:lang w:val="en-US" w:eastAsia="zh-CN"/>
        </w:rPr>
        <w:t xml:space="preserve">项目编号： </w:t>
      </w:r>
    </w:p>
    <w:p w14:paraId="637584CC">
      <w:pPr>
        <w:pStyle w:val="52"/>
        <w:jc w:val="center"/>
        <w:rPr>
          <w:rFonts w:hint="eastAsia" w:ascii="宋体" w:hAnsi="宋体" w:eastAsia="宋体" w:cs="宋体"/>
          <w:bCs/>
          <w:color w:val="auto"/>
          <w:spacing w:val="6"/>
          <w:sz w:val="24"/>
          <w:szCs w:val="24"/>
          <w:highlight w:val="none"/>
          <w:lang w:eastAsia="zh-CN"/>
        </w:rPr>
      </w:pPr>
      <w:r>
        <w:rPr>
          <w:rFonts w:hint="eastAsia" w:ascii="宋体" w:hAnsi="宋体" w:eastAsia="宋体" w:cs="宋体"/>
          <w:bCs/>
          <w:color w:val="auto"/>
          <w:spacing w:val="6"/>
          <w:sz w:val="24"/>
          <w:szCs w:val="24"/>
          <w:highlight w:val="none"/>
          <w:lang w:val="en-US" w:eastAsia="zh-CN"/>
        </w:rPr>
        <w:t xml:space="preserve"> </w:t>
      </w:r>
    </w:p>
    <w:p w14:paraId="6B1646DE">
      <w:pPr>
        <w:rPr>
          <w:rFonts w:hint="eastAsia" w:ascii="宋体" w:hAnsi="宋体" w:eastAsia="宋体" w:cs="宋体"/>
          <w:color w:val="auto"/>
          <w:spacing w:val="6"/>
          <w:highlight w:val="none"/>
        </w:rPr>
      </w:pPr>
    </w:p>
    <w:p w14:paraId="5F79189D">
      <w:pPr>
        <w:rPr>
          <w:rFonts w:hint="eastAsia" w:ascii="宋体" w:hAnsi="宋体" w:eastAsia="宋体" w:cs="宋体"/>
          <w:color w:val="auto"/>
          <w:spacing w:val="6"/>
          <w:highlight w:val="none"/>
        </w:rPr>
      </w:pPr>
    </w:p>
    <w:p w14:paraId="3E09C505">
      <w:pPr>
        <w:rPr>
          <w:rFonts w:hint="eastAsia" w:ascii="宋体" w:hAnsi="宋体" w:eastAsia="宋体" w:cs="宋体"/>
          <w:color w:val="auto"/>
          <w:spacing w:val="6"/>
          <w:highlight w:val="none"/>
        </w:rPr>
      </w:pPr>
    </w:p>
    <w:p w14:paraId="35C1B2CC">
      <w:pPr>
        <w:rPr>
          <w:rFonts w:hint="eastAsia" w:ascii="宋体" w:hAnsi="宋体" w:eastAsia="宋体" w:cs="宋体"/>
          <w:color w:val="auto"/>
          <w:spacing w:val="6"/>
          <w:highlight w:val="none"/>
        </w:rPr>
      </w:pPr>
    </w:p>
    <w:p w14:paraId="655665C7">
      <w:pPr>
        <w:rPr>
          <w:rFonts w:hint="eastAsia" w:ascii="宋体" w:hAnsi="宋体" w:eastAsia="宋体" w:cs="宋体"/>
          <w:color w:val="auto"/>
          <w:spacing w:val="6"/>
          <w:highlight w:val="none"/>
        </w:rPr>
      </w:pPr>
    </w:p>
    <w:p w14:paraId="386921F1">
      <w:pPr>
        <w:rPr>
          <w:rFonts w:hint="eastAsia" w:ascii="宋体" w:hAnsi="宋体" w:eastAsia="宋体" w:cs="宋体"/>
          <w:color w:val="auto"/>
          <w:spacing w:val="6"/>
          <w:highlight w:val="none"/>
        </w:rPr>
      </w:pPr>
    </w:p>
    <w:p w14:paraId="1043ACCD">
      <w:pPr>
        <w:rPr>
          <w:rFonts w:hint="eastAsia" w:ascii="宋体" w:hAnsi="宋体" w:eastAsia="宋体" w:cs="宋体"/>
          <w:color w:val="auto"/>
          <w:spacing w:val="6"/>
          <w:highlight w:val="none"/>
        </w:rPr>
      </w:pPr>
    </w:p>
    <w:p w14:paraId="14B42748">
      <w:pPr>
        <w:rPr>
          <w:rFonts w:hint="eastAsia" w:ascii="宋体" w:hAnsi="宋体" w:eastAsia="宋体" w:cs="宋体"/>
          <w:color w:val="auto"/>
          <w:spacing w:val="6"/>
          <w:highlight w:val="none"/>
        </w:rPr>
      </w:pPr>
    </w:p>
    <w:p w14:paraId="2A7AA972">
      <w:pPr>
        <w:rPr>
          <w:rFonts w:hint="eastAsia" w:ascii="宋体" w:hAnsi="宋体" w:eastAsia="宋体" w:cs="宋体"/>
          <w:color w:val="auto"/>
          <w:spacing w:val="6"/>
          <w:highlight w:val="none"/>
        </w:rPr>
      </w:pPr>
    </w:p>
    <w:p w14:paraId="1CB9FD89">
      <w:pPr>
        <w:rPr>
          <w:rFonts w:hint="eastAsia" w:ascii="宋体" w:hAnsi="宋体" w:eastAsia="宋体" w:cs="宋体"/>
          <w:color w:val="auto"/>
          <w:spacing w:val="6"/>
          <w:highlight w:val="none"/>
        </w:rPr>
      </w:pPr>
    </w:p>
    <w:p w14:paraId="46D3B02B">
      <w:pPr>
        <w:rPr>
          <w:rFonts w:hint="eastAsia" w:ascii="宋体" w:hAnsi="宋体" w:eastAsia="宋体" w:cs="宋体"/>
          <w:color w:val="auto"/>
          <w:spacing w:val="6"/>
          <w:highlight w:val="none"/>
        </w:rPr>
      </w:pPr>
    </w:p>
    <w:p w14:paraId="31ECBA5B">
      <w:pPr>
        <w:rPr>
          <w:rFonts w:hint="eastAsia" w:ascii="宋体" w:hAnsi="宋体" w:eastAsia="宋体" w:cs="宋体"/>
          <w:color w:val="auto"/>
          <w:spacing w:val="6"/>
          <w:sz w:val="28"/>
          <w:szCs w:val="28"/>
          <w:highlight w:val="none"/>
        </w:rPr>
      </w:pPr>
    </w:p>
    <w:p w14:paraId="0C917506">
      <w:pPr>
        <w:spacing w:line="360" w:lineRule="auto"/>
        <w:ind w:firstLine="1967" w:firstLineChars="700"/>
        <w:rPr>
          <w:rFonts w:hint="eastAsia" w:ascii="宋体" w:hAnsi="宋体" w:eastAsia="宋体" w:cs="宋体"/>
          <w:color w:val="auto"/>
          <w:spacing w:val="6"/>
          <w:sz w:val="28"/>
          <w:szCs w:val="28"/>
          <w:highlight w:val="none"/>
          <w:u w:val="single"/>
        </w:rPr>
      </w:pPr>
      <w:r>
        <w:rPr>
          <w:rFonts w:hint="eastAsia" w:ascii="宋体" w:hAnsi="宋体" w:eastAsia="宋体" w:cs="宋体"/>
          <w:color w:val="auto"/>
          <w:spacing w:val="6"/>
          <w:sz w:val="28"/>
          <w:szCs w:val="28"/>
          <w:highlight w:val="none"/>
        </w:rPr>
        <w:t>投标人：</w:t>
      </w:r>
      <w:r>
        <w:rPr>
          <w:rFonts w:hint="eastAsia" w:ascii="宋体" w:hAnsi="宋体" w:eastAsia="宋体" w:cs="宋体"/>
          <w:color w:val="auto"/>
          <w:spacing w:val="6"/>
          <w:sz w:val="28"/>
          <w:szCs w:val="28"/>
          <w:highlight w:val="none"/>
          <w:u w:val="single"/>
        </w:rPr>
        <w:t xml:space="preserve">                        </w:t>
      </w:r>
      <w:r>
        <w:rPr>
          <w:rFonts w:hint="eastAsia" w:ascii="宋体" w:hAnsi="宋体" w:eastAsia="宋体" w:cs="宋体"/>
          <w:color w:val="auto"/>
          <w:spacing w:val="6"/>
          <w:sz w:val="28"/>
          <w:szCs w:val="28"/>
          <w:highlight w:val="none"/>
        </w:rPr>
        <w:t>（盖单位章）</w:t>
      </w:r>
    </w:p>
    <w:p w14:paraId="2D014C88">
      <w:pPr>
        <w:spacing w:line="360" w:lineRule="auto"/>
        <w:ind w:firstLine="1967" w:firstLineChars="700"/>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法定代表人或其委托代理人：</w:t>
      </w:r>
      <w:r>
        <w:rPr>
          <w:rFonts w:hint="eastAsia" w:ascii="宋体" w:hAnsi="宋体" w:eastAsia="宋体" w:cs="宋体"/>
          <w:color w:val="auto"/>
          <w:spacing w:val="6"/>
          <w:sz w:val="28"/>
          <w:szCs w:val="28"/>
          <w:highlight w:val="none"/>
          <w:u w:val="single"/>
        </w:rPr>
        <w:t xml:space="preserve">           </w:t>
      </w:r>
      <w:r>
        <w:rPr>
          <w:rFonts w:hint="eastAsia" w:ascii="宋体" w:hAnsi="宋体" w:eastAsia="宋体" w:cs="宋体"/>
          <w:color w:val="auto"/>
          <w:spacing w:val="6"/>
          <w:sz w:val="28"/>
          <w:szCs w:val="28"/>
          <w:highlight w:val="none"/>
        </w:rPr>
        <w:t>（签字</w:t>
      </w:r>
      <w:r>
        <w:rPr>
          <w:rFonts w:hint="eastAsia" w:ascii="宋体" w:hAnsi="宋体" w:cs="宋体"/>
          <w:color w:val="auto"/>
          <w:spacing w:val="6"/>
          <w:sz w:val="28"/>
          <w:szCs w:val="28"/>
          <w:highlight w:val="none"/>
          <w:lang w:val="en-US" w:eastAsia="zh-CN"/>
        </w:rPr>
        <w:t>或盖章</w:t>
      </w:r>
      <w:r>
        <w:rPr>
          <w:rFonts w:hint="eastAsia" w:ascii="宋体" w:hAnsi="宋体" w:eastAsia="宋体" w:cs="宋体"/>
          <w:color w:val="auto"/>
          <w:spacing w:val="6"/>
          <w:sz w:val="28"/>
          <w:szCs w:val="28"/>
          <w:highlight w:val="none"/>
        </w:rPr>
        <w:t>）</w:t>
      </w:r>
    </w:p>
    <w:p w14:paraId="1994E76E">
      <w:pPr>
        <w:spacing w:line="360" w:lineRule="auto"/>
        <w:jc w:val="center"/>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u w:val="single"/>
        </w:rPr>
        <w:t xml:space="preserve">         </w:t>
      </w:r>
      <w:r>
        <w:rPr>
          <w:rFonts w:hint="eastAsia" w:ascii="宋体" w:hAnsi="宋体" w:eastAsia="宋体" w:cs="宋体"/>
          <w:color w:val="auto"/>
          <w:spacing w:val="6"/>
          <w:sz w:val="28"/>
          <w:szCs w:val="28"/>
          <w:highlight w:val="none"/>
        </w:rPr>
        <w:t>年</w:t>
      </w:r>
      <w:r>
        <w:rPr>
          <w:rFonts w:hint="eastAsia" w:ascii="宋体" w:hAnsi="宋体" w:eastAsia="宋体" w:cs="宋体"/>
          <w:color w:val="auto"/>
          <w:spacing w:val="6"/>
          <w:sz w:val="28"/>
          <w:szCs w:val="28"/>
          <w:highlight w:val="none"/>
          <w:u w:val="single"/>
        </w:rPr>
        <w:t xml:space="preserve">      </w:t>
      </w:r>
      <w:r>
        <w:rPr>
          <w:rFonts w:hint="eastAsia" w:ascii="宋体" w:hAnsi="宋体" w:eastAsia="宋体" w:cs="宋体"/>
          <w:color w:val="auto"/>
          <w:spacing w:val="6"/>
          <w:sz w:val="28"/>
          <w:szCs w:val="28"/>
          <w:highlight w:val="none"/>
        </w:rPr>
        <w:t>月</w:t>
      </w:r>
      <w:r>
        <w:rPr>
          <w:rFonts w:hint="eastAsia" w:ascii="宋体" w:hAnsi="宋体" w:eastAsia="宋体" w:cs="宋体"/>
          <w:color w:val="auto"/>
          <w:spacing w:val="6"/>
          <w:sz w:val="28"/>
          <w:szCs w:val="28"/>
          <w:highlight w:val="none"/>
          <w:u w:val="single"/>
        </w:rPr>
        <w:t xml:space="preserve">     </w:t>
      </w:r>
      <w:r>
        <w:rPr>
          <w:rFonts w:hint="eastAsia" w:ascii="宋体" w:hAnsi="宋体" w:eastAsia="宋体" w:cs="宋体"/>
          <w:color w:val="auto"/>
          <w:spacing w:val="6"/>
          <w:sz w:val="28"/>
          <w:szCs w:val="28"/>
          <w:highlight w:val="none"/>
        </w:rPr>
        <w:t>日</w:t>
      </w:r>
    </w:p>
    <w:p w14:paraId="2DEA137D">
      <w:pP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br w:type="page"/>
      </w:r>
    </w:p>
    <w:p w14:paraId="7E062224">
      <w:pPr>
        <w:jc w:val="center"/>
        <w:outlineLvl w:val="9"/>
        <w:rPr>
          <w:rFonts w:hint="eastAsia" w:ascii="宋体" w:hAnsi="宋体" w:eastAsia="宋体" w:cs="宋体"/>
          <w:b/>
          <w:bCs/>
          <w:color w:val="auto"/>
          <w:spacing w:val="6"/>
          <w:sz w:val="28"/>
          <w:szCs w:val="28"/>
          <w:highlight w:val="none"/>
        </w:rPr>
      </w:pPr>
      <w:bookmarkStart w:id="526" w:name="_Toc247085873"/>
      <w:bookmarkStart w:id="527" w:name="_Toc296602601"/>
      <w:bookmarkStart w:id="528" w:name="_Toc246996355"/>
      <w:bookmarkStart w:id="529" w:name="_Toc144974856"/>
      <w:bookmarkStart w:id="530" w:name="_Toc246997098"/>
      <w:bookmarkStart w:id="531" w:name="_Toc179632807"/>
      <w:bookmarkStart w:id="532" w:name="_Toc152042576"/>
      <w:bookmarkStart w:id="533" w:name="_Toc152045787"/>
      <w:r>
        <w:rPr>
          <w:rFonts w:hint="eastAsia" w:ascii="宋体" w:hAnsi="宋体" w:eastAsia="宋体" w:cs="宋体"/>
          <w:b/>
          <w:bCs/>
          <w:color w:val="auto"/>
          <w:spacing w:val="6"/>
          <w:sz w:val="28"/>
          <w:szCs w:val="28"/>
          <w:highlight w:val="none"/>
        </w:rPr>
        <w:t>目    录</w:t>
      </w:r>
      <w:bookmarkEnd w:id="526"/>
      <w:bookmarkEnd w:id="527"/>
      <w:bookmarkEnd w:id="528"/>
      <w:bookmarkEnd w:id="529"/>
      <w:bookmarkEnd w:id="530"/>
      <w:bookmarkEnd w:id="531"/>
      <w:bookmarkEnd w:id="532"/>
      <w:bookmarkEnd w:id="533"/>
    </w:p>
    <w:p w14:paraId="37889CB8">
      <w:pPr>
        <w:spacing w:line="540" w:lineRule="exact"/>
        <w:rPr>
          <w:rFonts w:hint="eastAsia" w:ascii="宋体" w:hAnsi="宋体" w:eastAsia="宋体" w:cs="宋体"/>
          <w:color w:val="auto"/>
          <w:spacing w:val="6"/>
          <w:sz w:val="21"/>
          <w:szCs w:val="21"/>
          <w:highlight w:val="none"/>
        </w:rPr>
      </w:pPr>
      <w:r>
        <w:rPr>
          <w:rFonts w:hint="eastAsia" w:ascii="宋体" w:hAnsi="宋体" w:cs="宋体"/>
          <w:color w:val="auto"/>
          <w:spacing w:val="6"/>
          <w:sz w:val="21"/>
          <w:szCs w:val="21"/>
          <w:highlight w:val="none"/>
          <w:lang w:val="en-US" w:eastAsia="zh-CN"/>
        </w:rPr>
        <w:t>一、</w:t>
      </w:r>
      <w:r>
        <w:rPr>
          <w:rFonts w:hint="eastAsia" w:ascii="宋体" w:hAnsi="宋体" w:eastAsia="宋体" w:cs="宋体"/>
          <w:color w:val="auto"/>
          <w:spacing w:val="6"/>
          <w:sz w:val="21"/>
          <w:szCs w:val="21"/>
          <w:highlight w:val="none"/>
        </w:rPr>
        <w:t>投标函</w:t>
      </w:r>
    </w:p>
    <w:p w14:paraId="1DAE1D70">
      <w:pPr>
        <w:spacing w:line="540" w:lineRule="exact"/>
        <w:rPr>
          <w:rFonts w:hint="eastAsia" w:ascii="宋体" w:hAnsi="宋体" w:eastAsia="宋体" w:cs="宋体"/>
          <w:color w:val="auto"/>
          <w:spacing w:val="6"/>
          <w:sz w:val="21"/>
          <w:szCs w:val="21"/>
          <w:highlight w:val="none"/>
        </w:rPr>
      </w:pPr>
      <w:r>
        <w:rPr>
          <w:rFonts w:hint="eastAsia" w:ascii="宋体" w:hAnsi="宋体" w:cs="宋体"/>
          <w:color w:val="auto"/>
          <w:spacing w:val="6"/>
          <w:sz w:val="21"/>
          <w:szCs w:val="21"/>
          <w:highlight w:val="none"/>
          <w:lang w:val="en-US" w:eastAsia="zh-CN"/>
        </w:rPr>
        <w:t>二、</w:t>
      </w:r>
      <w:r>
        <w:rPr>
          <w:rFonts w:hint="eastAsia" w:ascii="宋体" w:hAnsi="宋体" w:eastAsia="宋体" w:cs="宋体"/>
          <w:color w:val="auto"/>
          <w:spacing w:val="6"/>
          <w:sz w:val="21"/>
          <w:szCs w:val="21"/>
          <w:highlight w:val="none"/>
        </w:rPr>
        <w:t>开标一览表</w:t>
      </w:r>
    </w:p>
    <w:p w14:paraId="26F5C210">
      <w:pPr>
        <w:spacing w:line="540" w:lineRule="exact"/>
        <w:rPr>
          <w:rFonts w:hint="eastAsia" w:ascii="宋体" w:hAnsi="宋体" w:eastAsia="宋体" w:cs="宋体"/>
          <w:color w:val="auto"/>
          <w:spacing w:val="6"/>
          <w:sz w:val="21"/>
          <w:szCs w:val="21"/>
          <w:highlight w:val="none"/>
        </w:rPr>
      </w:pPr>
      <w:r>
        <w:rPr>
          <w:rFonts w:hint="eastAsia" w:ascii="宋体" w:hAnsi="宋体" w:cs="宋体"/>
          <w:color w:val="auto"/>
          <w:spacing w:val="6"/>
          <w:sz w:val="21"/>
          <w:szCs w:val="21"/>
          <w:highlight w:val="none"/>
          <w:lang w:val="en-US" w:eastAsia="zh-CN"/>
        </w:rPr>
        <w:t>三、</w:t>
      </w:r>
      <w:r>
        <w:rPr>
          <w:rFonts w:hint="eastAsia" w:ascii="宋体" w:hAnsi="宋体" w:eastAsia="宋体" w:cs="宋体"/>
          <w:color w:val="auto"/>
          <w:spacing w:val="6"/>
          <w:sz w:val="21"/>
          <w:szCs w:val="21"/>
          <w:highlight w:val="none"/>
        </w:rPr>
        <w:t>报价明细表</w:t>
      </w:r>
    </w:p>
    <w:p w14:paraId="42B0BF33">
      <w:pPr>
        <w:spacing w:line="540" w:lineRule="exact"/>
        <w:rPr>
          <w:rFonts w:hint="eastAsia" w:ascii="宋体" w:hAnsi="宋体" w:eastAsia="宋体" w:cs="宋体"/>
          <w:color w:val="auto"/>
          <w:spacing w:val="6"/>
          <w:sz w:val="21"/>
          <w:szCs w:val="21"/>
          <w:highlight w:val="none"/>
        </w:rPr>
      </w:pPr>
      <w:r>
        <w:rPr>
          <w:rFonts w:hint="eastAsia" w:ascii="宋体" w:hAnsi="宋体" w:cs="宋体"/>
          <w:color w:val="auto"/>
          <w:spacing w:val="6"/>
          <w:sz w:val="21"/>
          <w:szCs w:val="21"/>
          <w:highlight w:val="none"/>
          <w:lang w:val="en-US" w:eastAsia="zh-CN"/>
        </w:rPr>
        <w:t>四、</w:t>
      </w:r>
      <w:r>
        <w:rPr>
          <w:rFonts w:hint="eastAsia" w:ascii="宋体" w:hAnsi="宋体" w:eastAsia="宋体" w:cs="宋体"/>
          <w:color w:val="auto"/>
          <w:spacing w:val="6"/>
          <w:sz w:val="21"/>
          <w:szCs w:val="21"/>
          <w:highlight w:val="none"/>
        </w:rPr>
        <w:t>法定代表人授权委托书</w:t>
      </w:r>
    </w:p>
    <w:p w14:paraId="7BED82F1">
      <w:pPr>
        <w:spacing w:line="540" w:lineRule="exact"/>
        <w:rPr>
          <w:rFonts w:hint="eastAsia" w:ascii="宋体" w:hAnsi="宋体" w:eastAsia="宋体" w:cs="宋体"/>
          <w:color w:val="auto"/>
          <w:spacing w:val="6"/>
          <w:sz w:val="21"/>
          <w:szCs w:val="21"/>
          <w:highlight w:val="none"/>
        </w:rPr>
      </w:pPr>
      <w:r>
        <w:rPr>
          <w:rFonts w:hint="eastAsia" w:ascii="宋体" w:hAnsi="宋体" w:cs="宋体"/>
          <w:color w:val="auto"/>
          <w:spacing w:val="6"/>
          <w:sz w:val="21"/>
          <w:szCs w:val="21"/>
          <w:highlight w:val="none"/>
          <w:lang w:val="en-US" w:eastAsia="zh-CN"/>
        </w:rPr>
        <w:t>五、</w:t>
      </w:r>
      <w:r>
        <w:rPr>
          <w:rFonts w:hint="eastAsia" w:ascii="宋体" w:hAnsi="宋体" w:eastAsia="宋体" w:cs="宋体"/>
          <w:color w:val="auto"/>
          <w:spacing w:val="6"/>
          <w:sz w:val="21"/>
          <w:szCs w:val="21"/>
          <w:highlight w:val="none"/>
        </w:rPr>
        <w:t>投标承诺函</w:t>
      </w:r>
    </w:p>
    <w:p w14:paraId="323FA552">
      <w:pPr>
        <w:spacing w:line="540" w:lineRule="exact"/>
        <w:rPr>
          <w:rFonts w:hint="eastAsia" w:ascii="宋体" w:hAnsi="宋体" w:eastAsia="宋体" w:cs="宋体"/>
          <w:color w:val="auto"/>
          <w:spacing w:val="6"/>
          <w:sz w:val="21"/>
          <w:szCs w:val="21"/>
          <w:highlight w:val="none"/>
        </w:rPr>
      </w:pPr>
      <w:r>
        <w:rPr>
          <w:rFonts w:hint="eastAsia" w:ascii="宋体" w:hAnsi="宋体" w:cs="宋体"/>
          <w:color w:val="auto"/>
          <w:spacing w:val="6"/>
          <w:sz w:val="21"/>
          <w:szCs w:val="21"/>
          <w:highlight w:val="none"/>
          <w:lang w:val="en-US" w:eastAsia="zh-CN"/>
        </w:rPr>
        <w:t>六、</w:t>
      </w:r>
      <w:r>
        <w:rPr>
          <w:rFonts w:hint="eastAsia" w:ascii="宋体" w:hAnsi="宋体" w:eastAsia="宋体" w:cs="宋体"/>
          <w:color w:val="auto"/>
          <w:spacing w:val="6"/>
          <w:sz w:val="21"/>
          <w:szCs w:val="21"/>
          <w:highlight w:val="none"/>
        </w:rPr>
        <w:t>资格证明材料</w:t>
      </w:r>
    </w:p>
    <w:p w14:paraId="7565B8AB">
      <w:pPr>
        <w:spacing w:line="540" w:lineRule="exact"/>
        <w:rPr>
          <w:rFonts w:hint="eastAsia" w:ascii="宋体" w:hAnsi="宋体" w:eastAsia="宋体" w:cs="宋体"/>
          <w:color w:val="auto"/>
          <w:spacing w:val="6"/>
          <w:sz w:val="21"/>
          <w:szCs w:val="21"/>
          <w:highlight w:val="none"/>
        </w:rPr>
      </w:pPr>
      <w:r>
        <w:rPr>
          <w:rFonts w:hint="eastAsia" w:ascii="宋体" w:hAnsi="宋体" w:cs="宋体"/>
          <w:color w:val="auto"/>
          <w:spacing w:val="6"/>
          <w:sz w:val="21"/>
          <w:szCs w:val="21"/>
          <w:highlight w:val="none"/>
          <w:lang w:val="en-US" w:eastAsia="zh-CN"/>
        </w:rPr>
        <w:t>七、</w:t>
      </w:r>
      <w:r>
        <w:rPr>
          <w:rFonts w:hint="eastAsia" w:ascii="宋体" w:hAnsi="宋体" w:eastAsia="宋体" w:cs="宋体"/>
          <w:color w:val="auto"/>
          <w:spacing w:val="6"/>
          <w:sz w:val="21"/>
          <w:szCs w:val="21"/>
          <w:highlight w:val="none"/>
        </w:rPr>
        <w:t>商务要求响应与偏差表</w:t>
      </w:r>
    </w:p>
    <w:p w14:paraId="6D155A64">
      <w:pPr>
        <w:spacing w:line="540" w:lineRule="exact"/>
        <w:rPr>
          <w:rFonts w:hint="eastAsia" w:ascii="宋体" w:hAnsi="宋体" w:eastAsia="宋体" w:cs="宋体"/>
          <w:color w:val="auto"/>
          <w:spacing w:val="6"/>
          <w:sz w:val="21"/>
          <w:szCs w:val="21"/>
          <w:highlight w:val="none"/>
        </w:rPr>
      </w:pPr>
      <w:r>
        <w:rPr>
          <w:rFonts w:hint="eastAsia" w:ascii="宋体" w:hAnsi="宋体" w:cs="宋体"/>
          <w:color w:val="auto"/>
          <w:spacing w:val="6"/>
          <w:sz w:val="21"/>
          <w:szCs w:val="21"/>
          <w:highlight w:val="none"/>
          <w:lang w:val="en-US" w:eastAsia="zh-CN"/>
        </w:rPr>
        <w:t>八、</w:t>
      </w:r>
      <w:r>
        <w:rPr>
          <w:rFonts w:hint="eastAsia" w:ascii="宋体" w:hAnsi="宋体" w:eastAsia="宋体" w:cs="宋体"/>
          <w:color w:val="auto"/>
          <w:spacing w:val="6"/>
          <w:sz w:val="21"/>
          <w:szCs w:val="21"/>
          <w:highlight w:val="none"/>
        </w:rPr>
        <w:t>技术标评审材料</w:t>
      </w:r>
    </w:p>
    <w:p w14:paraId="33C27CE2">
      <w:pPr>
        <w:spacing w:line="540" w:lineRule="exact"/>
        <w:rPr>
          <w:rFonts w:hint="eastAsia" w:ascii="宋体" w:hAnsi="宋体" w:eastAsia="宋体" w:cs="宋体"/>
          <w:color w:val="auto"/>
          <w:spacing w:val="6"/>
          <w:sz w:val="21"/>
          <w:szCs w:val="21"/>
          <w:highlight w:val="none"/>
        </w:rPr>
      </w:pPr>
      <w:r>
        <w:rPr>
          <w:rFonts w:hint="eastAsia" w:ascii="宋体" w:hAnsi="宋体" w:cs="宋体"/>
          <w:color w:val="auto"/>
          <w:spacing w:val="6"/>
          <w:sz w:val="21"/>
          <w:szCs w:val="21"/>
          <w:highlight w:val="none"/>
          <w:lang w:val="en-US" w:eastAsia="zh-CN"/>
        </w:rPr>
        <w:t>九、</w:t>
      </w:r>
      <w:r>
        <w:rPr>
          <w:rFonts w:hint="eastAsia" w:ascii="宋体" w:hAnsi="宋体" w:eastAsia="宋体" w:cs="宋体"/>
          <w:color w:val="auto"/>
          <w:spacing w:val="6"/>
          <w:sz w:val="21"/>
          <w:szCs w:val="21"/>
          <w:highlight w:val="none"/>
        </w:rPr>
        <w:t>其他需要提供的材料</w:t>
      </w:r>
    </w:p>
    <w:p w14:paraId="172E624A">
      <w:pPr>
        <w:spacing w:line="540" w:lineRule="exact"/>
        <w:rPr>
          <w:rFonts w:hint="eastAsia" w:ascii="宋体" w:hAnsi="宋体" w:eastAsia="宋体" w:cs="宋体"/>
          <w:color w:val="auto"/>
          <w:spacing w:val="6"/>
          <w:sz w:val="21"/>
          <w:szCs w:val="21"/>
          <w:highlight w:val="none"/>
          <w:lang w:val="en-US" w:eastAsia="zh-CN"/>
        </w:rPr>
      </w:pPr>
    </w:p>
    <w:p w14:paraId="53D277A5">
      <w:pPr>
        <w:spacing w:line="540" w:lineRule="exac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br w:type="page"/>
      </w:r>
    </w:p>
    <w:p w14:paraId="7AA23D42">
      <w:pPr>
        <w:pStyle w:val="3"/>
        <w:outlineLvl w:val="1"/>
        <w:rPr>
          <w:rFonts w:hint="eastAsia" w:ascii="宋体" w:hAnsi="宋体" w:eastAsia="宋体" w:cs="宋体"/>
          <w:color w:val="auto"/>
          <w:spacing w:val="6"/>
          <w:highlight w:val="none"/>
        </w:rPr>
      </w:pPr>
      <w:bookmarkStart w:id="534" w:name="_Toc10297"/>
      <w:bookmarkStart w:id="535" w:name="_Toc19119"/>
      <w:bookmarkStart w:id="536" w:name="_Toc1660856"/>
      <w:bookmarkStart w:id="537" w:name="_Toc22383"/>
      <w:bookmarkStart w:id="538" w:name="_Toc18474"/>
      <w:bookmarkStart w:id="539" w:name="_Toc10227"/>
      <w:r>
        <w:rPr>
          <w:rFonts w:hint="eastAsia" w:ascii="宋体" w:hAnsi="宋体" w:eastAsia="宋体" w:cs="宋体"/>
          <w:b w:val="0"/>
          <w:bCs w:val="0"/>
          <w:color w:val="auto"/>
          <w:spacing w:val="6"/>
          <w:sz w:val="28"/>
          <w:szCs w:val="28"/>
          <w:highlight w:val="none"/>
          <w:lang w:val="en-US" w:eastAsia="zh-CN"/>
        </w:rPr>
        <w:t>一、</w:t>
      </w:r>
      <w:r>
        <w:rPr>
          <w:rFonts w:hint="eastAsia" w:ascii="宋体" w:hAnsi="宋体" w:eastAsia="宋体" w:cs="宋体"/>
          <w:b w:val="0"/>
          <w:bCs w:val="0"/>
          <w:color w:val="auto"/>
          <w:spacing w:val="6"/>
          <w:sz w:val="28"/>
          <w:szCs w:val="28"/>
          <w:highlight w:val="none"/>
        </w:rPr>
        <w:t>投标函</w:t>
      </w:r>
      <w:bookmarkEnd w:id="534"/>
      <w:bookmarkEnd w:id="535"/>
      <w:bookmarkEnd w:id="536"/>
      <w:bookmarkEnd w:id="537"/>
      <w:bookmarkEnd w:id="538"/>
      <w:bookmarkEnd w:id="539"/>
    </w:p>
    <w:p w14:paraId="4CCA6BF9">
      <w:pPr>
        <w:pStyle w:val="110"/>
        <w:spacing w:line="420" w:lineRule="exact"/>
        <w:ind w:firstLine="0"/>
        <w:jc w:val="center"/>
        <w:rPr>
          <w:rFonts w:hint="eastAsia" w:ascii="宋体" w:hAnsi="宋体" w:eastAsia="宋体" w:cs="宋体"/>
          <w:b/>
          <w:bCs/>
          <w:color w:val="auto"/>
          <w:spacing w:val="6"/>
          <w:sz w:val="28"/>
          <w:szCs w:val="28"/>
          <w:highlight w:val="none"/>
        </w:rPr>
      </w:pPr>
      <w:r>
        <w:rPr>
          <w:rFonts w:hint="eastAsia" w:ascii="宋体" w:hAnsi="宋体" w:eastAsia="宋体" w:cs="宋体"/>
          <w:b/>
          <w:bCs/>
          <w:color w:val="auto"/>
          <w:spacing w:val="6"/>
          <w:sz w:val="24"/>
          <w:szCs w:val="24"/>
          <w:highlight w:val="none"/>
        </w:rPr>
        <w:t>投标函</w:t>
      </w:r>
    </w:p>
    <w:p w14:paraId="4FAF5349">
      <w:pPr>
        <w:pStyle w:val="125"/>
        <w:spacing w:line="420" w:lineRule="exact"/>
        <w:jc w:val="both"/>
        <w:rPr>
          <w:rFonts w:hint="eastAsia" w:ascii="宋体" w:hAnsi="宋体" w:eastAsia="宋体" w:cs="宋体"/>
          <w:color w:val="auto"/>
          <w:spacing w:val="6"/>
          <w:szCs w:val="21"/>
          <w:highlight w:val="none"/>
        </w:rPr>
      </w:pPr>
      <w:r>
        <w:rPr>
          <w:rFonts w:hint="eastAsia" w:ascii="宋体" w:hAnsi="宋体" w:eastAsia="宋体" w:cs="宋体"/>
          <w:b w:val="0"/>
          <w:color w:val="auto"/>
          <w:spacing w:val="6"/>
          <w:sz w:val="21"/>
          <w:szCs w:val="21"/>
          <w:highlight w:val="none"/>
        </w:rPr>
        <w:t>致</w:t>
      </w:r>
      <w:r>
        <w:rPr>
          <w:rFonts w:hint="eastAsia" w:ascii="宋体" w:hAnsi="宋体" w:eastAsia="宋体" w:cs="宋体"/>
          <w:b w:val="0"/>
          <w:color w:val="auto"/>
          <w:spacing w:val="6"/>
          <w:sz w:val="21"/>
          <w:szCs w:val="21"/>
          <w:highlight w:val="none"/>
          <w:u w:val="single"/>
        </w:rPr>
        <w:t xml:space="preserve">   </w:t>
      </w:r>
      <w:r>
        <w:rPr>
          <w:rFonts w:hint="eastAsia" w:ascii="宋体" w:hAnsi="宋体" w:eastAsia="宋体" w:cs="宋体"/>
          <w:b w:val="0"/>
          <w:i w:val="0"/>
          <w:iCs w:val="0"/>
          <w:color w:val="auto"/>
          <w:spacing w:val="6"/>
          <w:sz w:val="21"/>
          <w:szCs w:val="21"/>
          <w:highlight w:val="none"/>
          <w:u w:val="single"/>
        </w:rPr>
        <w:t>（采购人或采购代理机构）</w:t>
      </w:r>
      <w:r>
        <w:rPr>
          <w:rFonts w:hint="eastAsia" w:ascii="宋体" w:hAnsi="宋体" w:eastAsia="宋体" w:cs="宋体"/>
          <w:b w:val="0"/>
          <w:color w:val="auto"/>
          <w:spacing w:val="6"/>
          <w:sz w:val="21"/>
          <w:szCs w:val="21"/>
          <w:highlight w:val="none"/>
          <w:u w:val="single"/>
        </w:rPr>
        <w:t xml:space="preserve">  </w:t>
      </w:r>
      <w:r>
        <w:rPr>
          <w:rFonts w:hint="eastAsia" w:ascii="宋体" w:hAnsi="宋体" w:eastAsia="宋体" w:cs="宋体"/>
          <w:b w:val="0"/>
          <w:color w:val="auto"/>
          <w:spacing w:val="6"/>
          <w:sz w:val="21"/>
          <w:szCs w:val="21"/>
          <w:highlight w:val="none"/>
        </w:rPr>
        <w:t>：</w:t>
      </w:r>
    </w:p>
    <w:p w14:paraId="3F37C7EE">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根据贵方</w:t>
      </w:r>
      <w:r>
        <w:rPr>
          <w:rFonts w:hint="eastAsia" w:ascii="宋体" w:hAnsi="宋体" w:eastAsia="宋体" w:cs="宋体"/>
          <w:color w:val="auto"/>
          <w:spacing w:val="6"/>
          <w:szCs w:val="21"/>
          <w:highlight w:val="none"/>
          <w:lang w:val="en-US" w:eastAsia="zh-CN"/>
        </w:rPr>
        <w:t>项目编号</w:t>
      </w:r>
      <w:r>
        <w:rPr>
          <w:rFonts w:hint="eastAsia" w:ascii="宋体" w:hAnsi="宋体" w:eastAsia="宋体" w:cs="宋体"/>
          <w:color w:val="auto"/>
          <w:spacing w:val="6"/>
          <w:szCs w:val="21"/>
          <w:highlight w:val="none"/>
        </w:rPr>
        <w:t>为</w:t>
      </w:r>
      <w:r>
        <w:rPr>
          <w:rFonts w:hint="eastAsia" w:ascii="宋体" w:hAnsi="宋体" w:eastAsia="宋体" w:cs="宋体"/>
          <w:color w:val="auto"/>
          <w:spacing w:val="6"/>
          <w:szCs w:val="21"/>
          <w:highlight w:val="none"/>
          <w:u w:val="single" w:color="000000"/>
        </w:rPr>
        <w:t xml:space="preserve">                </w:t>
      </w:r>
      <w:r>
        <w:rPr>
          <w:rFonts w:hint="eastAsia" w:ascii="宋体" w:hAnsi="宋体" w:eastAsia="宋体" w:cs="宋体"/>
          <w:color w:val="auto"/>
          <w:spacing w:val="6"/>
          <w:szCs w:val="21"/>
          <w:highlight w:val="none"/>
        </w:rPr>
        <w:t>的招标公告，我方签字代表经正式授权并代表投标人提交投标文件及相关资料，并对之负法律责任。</w:t>
      </w:r>
    </w:p>
    <w:p w14:paraId="5418B582">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据此函，签字代表宣布同意如下：</w:t>
      </w:r>
    </w:p>
    <w:p w14:paraId="44B4553F">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 依法依规、诚实守信、公平竞争参加本次招标活动。</w:t>
      </w:r>
    </w:p>
    <w:p w14:paraId="2F5C0D0E">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 我方保证投标文件中的所有资料均为真实、准确、完整、有效的，且不具有任何误导性，否则，我方承诺投标文件无效并自愿承担一切法律责任。</w:t>
      </w:r>
    </w:p>
    <w:p w14:paraId="62A2A7F7">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 我方的投标报价详见开标一览表。</w:t>
      </w:r>
    </w:p>
    <w:p w14:paraId="7231FDE7">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4. 我方承诺除</w:t>
      </w:r>
      <w:r>
        <w:rPr>
          <w:rFonts w:hint="eastAsia" w:ascii="宋体" w:hAnsi="宋体" w:eastAsia="宋体" w:cs="宋体"/>
          <w:color w:val="auto"/>
          <w:spacing w:val="6"/>
          <w:szCs w:val="21"/>
          <w:highlight w:val="none"/>
          <w:lang w:val="en-US" w:eastAsia="zh-CN"/>
        </w:rPr>
        <w:t>服务</w:t>
      </w:r>
      <w:r>
        <w:rPr>
          <w:rFonts w:hint="eastAsia" w:ascii="宋体" w:hAnsi="宋体" w:eastAsia="宋体" w:cs="宋体"/>
          <w:color w:val="auto"/>
          <w:spacing w:val="6"/>
          <w:szCs w:val="21"/>
          <w:highlight w:val="none"/>
        </w:rPr>
        <w:t>要求响应与偏差表、商务要求响应与偏差表列出的偏差外，我方响应招标文件的全部要求。</w:t>
      </w:r>
    </w:p>
    <w:p w14:paraId="118F9F85">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5. 我方愿遵守《中华人民共和国政府采购法》及相关的政府采购法律法规，按《中华人民共和国民法典》履行我方的全部责任。</w:t>
      </w:r>
    </w:p>
    <w:p w14:paraId="06898A12">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6. 我方已认真仔细研究招标文件全部内容，包括修改文件以及全部参考资料和有关附件。我们完全理解并同意放弃对这方面有不明及误解的权力。</w:t>
      </w:r>
    </w:p>
    <w:p w14:paraId="41EC424E">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7. 我方承诺投标有效期为提交投标文件截止</w:t>
      </w:r>
      <w:r>
        <w:rPr>
          <w:rFonts w:hint="eastAsia" w:ascii="宋体" w:hAnsi="宋体" w:eastAsia="宋体" w:cs="宋体"/>
          <w:color w:val="auto"/>
          <w:spacing w:val="6"/>
          <w:szCs w:val="21"/>
          <w:highlight w:val="none"/>
          <w:lang w:val="en-US" w:eastAsia="zh-CN"/>
        </w:rPr>
        <w:t>之日起</w:t>
      </w:r>
      <w:r>
        <w:rPr>
          <w:rFonts w:hint="eastAsia" w:ascii="宋体" w:hAnsi="宋体" w:eastAsia="宋体" w:cs="宋体"/>
          <w:color w:val="auto"/>
          <w:spacing w:val="6"/>
          <w:szCs w:val="21"/>
          <w:highlight w:val="none"/>
        </w:rPr>
        <w:t>90天，并在招标文件规定的投标有效期内不撤销投标文件。</w:t>
      </w:r>
    </w:p>
    <w:p w14:paraId="15493F0C">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8. 如果我方的行为符合本招标文件规定的投标保证金不予退还情形的，我方同意不退还我方提交的投标保证金。</w:t>
      </w:r>
    </w:p>
    <w:p w14:paraId="6BE9E5B3">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9. 我方同意按照贵方的要求提供与投标有关的一切数据或资料，理解贵方不一定接受最低报价的投标或收到的任何投标。</w:t>
      </w:r>
    </w:p>
    <w:p w14:paraId="5AF67A84">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10. 我方在此声明，所提交的投标文件及有关资料内容完整、真实和准确，且不存在第二章“投标人须知”第 1.4.3 项规定的任何一种情形。</w:t>
      </w:r>
    </w:p>
    <w:p w14:paraId="5B8B9673">
      <w:pPr>
        <w:pStyle w:val="110"/>
        <w:spacing w:line="420" w:lineRule="exact"/>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11. 如果我方被确定为中标人，我方愿意按招标文件的规定交纳履约保证金。我方如无不可抗力，放弃中标，或者未履行招标文件、投标文件和合同条款的，一经查实，我方愿意赔偿由此而造成的一切损失，并同意接受按相关法律法规和招标文件的相关要求对我方进行的处罚。</w:t>
      </w:r>
    </w:p>
    <w:p w14:paraId="07A0E1ED">
      <w:pPr>
        <w:pStyle w:val="110"/>
        <w:spacing w:line="420" w:lineRule="exact"/>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12. 采购人若需追加采购本项目招标文件所列</w:t>
      </w:r>
      <w:r>
        <w:rPr>
          <w:rFonts w:hint="eastAsia" w:ascii="宋体" w:hAnsi="宋体" w:eastAsia="宋体" w:cs="宋体"/>
          <w:bCs/>
          <w:color w:val="auto"/>
          <w:spacing w:val="6"/>
          <w:szCs w:val="21"/>
          <w:highlight w:val="none"/>
          <w:lang w:val="en-US" w:eastAsia="zh-CN"/>
        </w:rPr>
        <w:t>服务</w:t>
      </w:r>
      <w:r>
        <w:rPr>
          <w:rFonts w:hint="eastAsia" w:ascii="宋体" w:hAnsi="宋体" w:eastAsia="宋体" w:cs="宋体"/>
          <w:bCs/>
          <w:color w:val="auto"/>
          <w:spacing w:val="6"/>
          <w:szCs w:val="21"/>
          <w:highlight w:val="none"/>
        </w:rPr>
        <w:t>及相关伴随服务的，在不改变合同其他实质性条款的前提下，我方将按相同或更优惠的折扣率保证</w:t>
      </w:r>
      <w:r>
        <w:rPr>
          <w:rFonts w:hint="eastAsia" w:ascii="宋体" w:hAnsi="宋体" w:eastAsia="宋体" w:cs="宋体"/>
          <w:bCs/>
          <w:color w:val="auto"/>
          <w:spacing w:val="6"/>
          <w:szCs w:val="21"/>
          <w:highlight w:val="none"/>
          <w:lang w:val="en-US" w:eastAsia="zh-CN"/>
        </w:rPr>
        <w:t>服务</w:t>
      </w:r>
      <w:r>
        <w:rPr>
          <w:rFonts w:hint="eastAsia" w:ascii="宋体" w:hAnsi="宋体" w:eastAsia="宋体" w:cs="宋体"/>
          <w:bCs/>
          <w:color w:val="auto"/>
          <w:spacing w:val="6"/>
          <w:szCs w:val="21"/>
          <w:highlight w:val="none"/>
        </w:rPr>
        <w:t>。</w:t>
      </w:r>
    </w:p>
    <w:p w14:paraId="7FB2A39E">
      <w:pPr>
        <w:pStyle w:val="110"/>
        <w:spacing w:line="420" w:lineRule="exact"/>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13. 我方决不提供虚假资料谋取中标，决不采取不正当手段诋毁、排挤其他投标人，决不与采购人、采购代理机构或者其它投标人恶意串通，决不向采购人、代理机构工作人员和评委进行商业贿赂，决不拒绝相关监管部门的监督检查，不向相关监管部门提供虚假情况，如有违反政府采购法律法规的行为，无条件接受贵方及相关监管部门的依法依规处罚。</w:t>
      </w:r>
    </w:p>
    <w:p w14:paraId="0765EF58">
      <w:pPr>
        <w:pStyle w:val="110"/>
        <w:spacing w:line="420" w:lineRule="exact"/>
        <w:rPr>
          <w:rFonts w:hint="eastAsia" w:ascii="宋体" w:hAnsi="宋体" w:eastAsia="宋体" w:cs="宋体"/>
          <w:color w:val="auto"/>
          <w:spacing w:val="6"/>
          <w:szCs w:val="21"/>
          <w:highlight w:val="none"/>
        </w:rPr>
      </w:pPr>
    </w:p>
    <w:p w14:paraId="108EFD64">
      <w:pPr>
        <w:pStyle w:val="110"/>
        <w:spacing w:line="420" w:lineRule="exact"/>
        <w:rPr>
          <w:rFonts w:hint="eastAsia" w:ascii="宋体" w:hAnsi="宋体" w:eastAsia="宋体" w:cs="宋体"/>
          <w:color w:val="auto"/>
          <w:spacing w:val="6"/>
          <w:szCs w:val="21"/>
          <w:highlight w:val="none"/>
        </w:rPr>
      </w:pPr>
    </w:p>
    <w:p w14:paraId="760D0EB7">
      <w:pPr>
        <w:pStyle w:val="110"/>
        <w:spacing w:line="420" w:lineRule="exact"/>
        <w:ind w:firstLine="4009" w:firstLineChars="19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投标人：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（盖单位章）</w:t>
      </w:r>
    </w:p>
    <w:p w14:paraId="50D02C14">
      <w:pPr>
        <w:pStyle w:val="110"/>
        <w:spacing w:line="420" w:lineRule="exact"/>
        <w:ind w:firstLine="4009" w:firstLineChars="19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法定代表人或其委托代理人：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（签字或盖章）</w:t>
      </w:r>
    </w:p>
    <w:p w14:paraId="23E74B25">
      <w:pPr>
        <w:pStyle w:val="110"/>
        <w:spacing w:line="420" w:lineRule="exact"/>
        <w:ind w:firstLine="4009" w:firstLineChars="19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地址：</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 xml:space="preserve">                        </w:t>
      </w:r>
    </w:p>
    <w:p w14:paraId="5016F3F6">
      <w:pPr>
        <w:pStyle w:val="110"/>
        <w:spacing w:line="420" w:lineRule="exact"/>
        <w:ind w:firstLine="4009" w:firstLineChars="19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电话：</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 xml:space="preserve">                        </w:t>
      </w:r>
    </w:p>
    <w:p w14:paraId="61593074">
      <w:pPr>
        <w:pStyle w:val="110"/>
        <w:spacing w:line="420" w:lineRule="exact"/>
        <w:rPr>
          <w:rStyle w:val="152"/>
          <w:rFonts w:hint="eastAsia" w:ascii="宋体" w:hAnsi="宋体" w:eastAsia="宋体" w:cs="宋体"/>
          <w:b w:val="0"/>
          <w:bCs w:val="0"/>
          <w:color w:val="auto"/>
          <w:spacing w:val="6"/>
          <w:szCs w:val="21"/>
          <w:highlight w:val="none"/>
        </w:rPr>
      </w:pPr>
      <w:r>
        <w:rPr>
          <w:rFonts w:hint="eastAsia" w:ascii="宋体" w:hAnsi="宋体" w:eastAsia="宋体" w:cs="宋体"/>
          <w:color w:val="auto"/>
          <w:spacing w:val="6"/>
          <w:szCs w:val="21"/>
          <w:highlight w:val="none"/>
        </w:rPr>
        <w:t xml:space="preserve">                                   </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 xml:space="preserve"> 年    月    日</w:t>
      </w:r>
    </w:p>
    <w:p w14:paraId="23387EBD">
      <w:pPr>
        <w:pStyle w:val="3"/>
        <w:outlineLvl w:val="1"/>
        <w:rPr>
          <w:rFonts w:hint="eastAsia" w:ascii="宋体" w:hAnsi="宋体" w:eastAsia="宋体" w:cs="宋体"/>
          <w:color w:val="auto"/>
          <w:spacing w:val="6"/>
          <w:highlight w:val="none"/>
        </w:rPr>
      </w:pPr>
      <w:bookmarkStart w:id="540" w:name="_Toc1660857"/>
      <w:r>
        <w:rPr>
          <w:rFonts w:hint="eastAsia" w:ascii="宋体" w:hAnsi="宋体" w:eastAsia="宋体" w:cs="宋体"/>
          <w:color w:val="auto"/>
          <w:spacing w:val="6"/>
          <w:highlight w:val="none"/>
        </w:rPr>
        <w:br w:type="page"/>
      </w:r>
      <w:bookmarkStart w:id="541" w:name="_Toc6550"/>
      <w:bookmarkStart w:id="542" w:name="_Toc27957"/>
      <w:bookmarkStart w:id="543" w:name="_Toc1660861"/>
      <w:bookmarkStart w:id="544" w:name="_Toc29313"/>
      <w:bookmarkStart w:id="545" w:name="_Toc13306"/>
      <w:bookmarkStart w:id="546" w:name="_Toc22404"/>
      <w:r>
        <w:rPr>
          <w:rFonts w:hint="eastAsia" w:ascii="宋体" w:hAnsi="宋体" w:eastAsia="宋体" w:cs="宋体"/>
          <w:b w:val="0"/>
          <w:bCs w:val="0"/>
          <w:color w:val="auto"/>
          <w:spacing w:val="6"/>
          <w:sz w:val="28"/>
          <w:szCs w:val="28"/>
          <w:highlight w:val="none"/>
          <w:lang w:val="en-US" w:eastAsia="zh-CN"/>
        </w:rPr>
        <w:t>二、</w:t>
      </w:r>
      <w:r>
        <w:rPr>
          <w:rFonts w:hint="eastAsia" w:ascii="宋体" w:hAnsi="宋体" w:eastAsia="宋体" w:cs="宋体"/>
          <w:b w:val="0"/>
          <w:bCs w:val="0"/>
          <w:color w:val="auto"/>
          <w:spacing w:val="6"/>
          <w:sz w:val="28"/>
          <w:szCs w:val="28"/>
          <w:highlight w:val="none"/>
        </w:rPr>
        <w:t>开标一览表</w:t>
      </w:r>
      <w:bookmarkEnd w:id="541"/>
      <w:bookmarkEnd w:id="542"/>
      <w:bookmarkEnd w:id="543"/>
      <w:bookmarkEnd w:id="544"/>
      <w:bookmarkEnd w:id="545"/>
      <w:bookmarkEnd w:id="546"/>
    </w:p>
    <w:p w14:paraId="37390057">
      <w:pPr>
        <w:pStyle w:val="110"/>
        <w:ind w:firstLine="0"/>
        <w:jc w:val="center"/>
        <w:rPr>
          <w:rFonts w:hint="eastAsia" w:ascii="宋体" w:hAnsi="宋体" w:eastAsia="宋体" w:cs="宋体"/>
          <w:b/>
          <w:bCs/>
          <w:color w:val="auto"/>
          <w:spacing w:val="6"/>
          <w:sz w:val="28"/>
          <w:szCs w:val="28"/>
          <w:highlight w:val="none"/>
        </w:rPr>
      </w:pPr>
      <w:r>
        <w:rPr>
          <w:rFonts w:hint="eastAsia" w:ascii="宋体" w:hAnsi="宋体" w:eastAsia="宋体" w:cs="宋体"/>
          <w:b/>
          <w:bCs/>
          <w:color w:val="auto"/>
          <w:spacing w:val="6"/>
          <w:sz w:val="24"/>
          <w:szCs w:val="24"/>
          <w:highlight w:val="none"/>
        </w:rPr>
        <w:t>开标一览表</w:t>
      </w:r>
    </w:p>
    <w:tbl>
      <w:tblPr>
        <w:tblStyle w:val="26"/>
        <w:tblW w:w="8999"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5903"/>
      </w:tblGrid>
      <w:tr w14:paraId="4B6F2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096" w:type="dxa"/>
            <w:shd w:val="clear" w:color="auto" w:fill="auto"/>
            <w:vAlign w:val="center"/>
          </w:tcPr>
          <w:p w14:paraId="36A8CEB3">
            <w:pPr>
              <w:pStyle w:val="126"/>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投标人名称</w:t>
            </w:r>
          </w:p>
        </w:tc>
        <w:tc>
          <w:tcPr>
            <w:tcW w:w="5903" w:type="dxa"/>
            <w:shd w:val="clear" w:color="auto" w:fill="auto"/>
            <w:vAlign w:val="center"/>
          </w:tcPr>
          <w:p w14:paraId="192F6973">
            <w:pPr>
              <w:pStyle w:val="126"/>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both"/>
              <w:textAlignment w:val="baseline"/>
              <w:rPr>
                <w:rFonts w:hint="eastAsia" w:ascii="宋体" w:hAnsi="宋体" w:eastAsia="宋体" w:cs="宋体"/>
                <w:color w:val="auto"/>
                <w:spacing w:val="6"/>
                <w:szCs w:val="21"/>
                <w:highlight w:val="none"/>
                <w:lang w:val="en-US"/>
              </w:rPr>
            </w:pPr>
          </w:p>
        </w:tc>
      </w:tr>
      <w:tr w14:paraId="303E1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096" w:type="dxa"/>
            <w:shd w:val="clear" w:color="auto" w:fill="auto"/>
            <w:vAlign w:val="center"/>
          </w:tcPr>
          <w:p w14:paraId="63861914">
            <w:pPr>
              <w:pStyle w:val="126"/>
              <w:keepNext w:val="0"/>
              <w:keepLines w:val="0"/>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投标总报价（大写）</w:t>
            </w:r>
          </w:p>
        </w:tc>
        <w:tc>
          <w:tcPr>
            <w:tcW w:w="5903" w:type="dxa"/>
            <w:shd w:val="clear" w:color="auto" w:fill="auto"/>
            <w:vAlign w:val="center"/>
          </w:tcPr>
          <w:p w14:paraId="3310B851">
            <w:pPr>
              <w:pStyle w:val="126"/>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jc w:val="both"/>
              <w:textAlignment w:val="baseline"/>
              <w:rPr>
                <w:rFonts w:hint="eastAsia" w:ascii="宋体" w:hAnsi="宋体" w:eastAsia="宋体" w:cs="宋体"/>
                <w:color w:val="auto"/>
                <w:sz w:val="21"/>
                <w:szCs w:val="21"/>
                <w:highlight w:val="none"/>
              </w:rPr>
            </w:pPr>
          </w:p>
        </w:tc>
      </w:tr>
      <w:tr w14:paraId="653E2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096" w:type="dxa"/>
            <w:shd w:val="clear" w:color="auto" w:fill="auto"/>
            <w:vAlign w:val="center"/>
          </w:tcPr>
          <w:p w14:paraId="21696651">
            <w:pPr>
              <w:pStyle w:val="126"/>
              <w:keepNext w:val="0"/>
              <w:keepLines w:val="0"/>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投标总报价（小写）</w:t>
            </w:r>
          </w:p>
        </w:tc>
        <w:tc>
          <w:tcPr>
            <w:tcW w:w="5903" w:type="dxa"/>
            <w:shd w:val="clear" w:color="auto" w:fill="auto"/>
            <w:vAlign w:val="center"/>
          </w:tcPr>
          <w:p w14:paraId="7E1D45D3">
            <w:pPr>
              <w:pStyle w:val="126"/>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jc w:val="both"/>
              <w:textAlignment w:val="baseline"/>
              <w:rPr>
                <w:rFonts w:hint="eastAsia" w:ascii="宋体" w:hAnsi="宋体" w:eastAsia="宋体"/>
                <w:color w:val="000000" w:themeColor="text1"/>
                <w:spacing w:val="6"/>
                <w:sz w:val="21"/>
                <w:szCs w:val="21"/>
                <w14:textFill>
                  <w14:solidFill>
                    <w14:schemeClr w14:val="tx1"/>
                  </w14:solidFill>
                </w14:textFill>
              </w:rPr>
            </w:pPr>
          </w:p>
        </w:tc>
      </w:tr>
      <w:tr w14:paraId="2178F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096" w:type="dxa"/>
            <w:shd w:val="clear" w:color="auto" w:fill="auto"/>
            <w:vAlign w:val="center"/>
          </w:tcPr>
          <w:p w14:paraId="6A2BB444">
            <w:pPr>
              <w:pStyle w:val="126"/>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服务期限（项目工期）</w:t>
            </w:r>
          </w:p>
        </w:tc>
        <w:tc>
          <w:tcPr>
            <w:tcW w:w="5903" w:type="dxa"/>
            <w:shd w:val="clear" w:color="auto" w:fill="auto"/>
            <w:vAlign w:val="center"/>
          </w:tcPr>
          <w:p w14:paraId="78ACF857">
            <w:pPr>
              <w:pStyle w:val="110"/>
              <w:keepNext w:val="0"/>
              <w:keepLines w:val="0"/>
              <w:suppressLineNumbers w:val="0"/>
              <w:spacing w:before="0" w:beforeAutospacing="0" w:after="0" w:afterAutospacing="0"/>
              <w:ind w:left="0" w:right="0" w:firstLine="0"/>
              <w:jc w:val="center"/>
              <w:rPr>
                <w:rFonts w:hint="eastAsia" w:ascii="宋体" w:hAnsi="宋体" w:eastAsia="宋体" w:cs="宋体"/>
                <w:color w:val="auto"/>
                <w:spacing w:val="6"/>
                <w:szCs w:val="21"/>
                <w:highlight w:val="none"/>
                <w:lang w:val="en-US"/>
              </w:rPr>
            </w:pPr>
          </w:p>
        </w:tc>
      </w:tr>
      <w:tr w14:paraId="4DFF3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096" w:type="dxa"/>
            <w:shd w:val="clear" w:color="auto" w:fill="auto"/>
            <w:vAlign w:val="center"/>
          </w:tcPr>
          <w:p w14:paraId="4738683D">
            <w:pPr>
              <w:pStyle w:val="126"/>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服务质量</w:t>
            </w:r>
          </w:p>
        </w:tc>
        <w:tc>
          <w:tcPr>
            <w:tcW w:w="5903" w:type="dxa"/>
            <w:shd w:val="clear" w:color="auto" w:fill="auto"/>
            <w:vAlign w:val="center"/>
          </w:tcPr>
          <w:p w14:paraId="0D0F2FDD">
            <w:pPr>
              <w:pStyle w:val="110"/>
              <w:keepNext w:val="0"/>
              <w:keepLines w:val="0"/>
              <w:suppressLineNumbers w:val="0"/>
              <w:spacing w:before="0" w:beforeAutospacing="0" w:after="0" w:afterAutospacing="0"/>
              <w:ind w:left="0" w:right="0" w:firstLine="0"/>
              <w:jc w:val="center"/>
              <w:rPr>
                <w:rFonts w:hint="default" w:ascii="宋体" w:hAnsi="宋体" w:eastAsia="宋体" w:cs="宋体"/>
                <w:color w:val="auto"/>
                <w:spacing w:val="6"/>
                <w:szCs w:val="21"/>
                <w:highlight w:val="none"/>
                <w:lang w:val="en-US" w:eastAsia="zh-CN"/>
              </w:rPr>
            </w:pPr>
          </w:p>
        </w:tc>
      </w:tr>
      <w:tr w14:paraId="35C26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096" w:type="dxa"/>
            <w:shd w:val="clear" w:color="auto" w:fill="auto"/>
            <w:vAlign w:val="center"/>
          </w:tcPr>
          <w:p w14:paraId="3FAEAF1F">
            <w:pPr>
              <w:pStyle w:val="126"/>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5903" w:type="dxa"/>
            <w:shd w:val="clear" w:color="auto" w:fill="auto"/>
            <w:vAlign w:val="center"/>
          </w:tcPr>
          <w:p w14:paraId="268C61D7">
            <w:pPr>
              <w:pStyle w:val="110"/>
              <w:keepNext w:val="0"/>
              <w:keepLines w:val="0"/>
              <w:suppressLineNumbers w:val="0"/>
              <w:spacing w:before="0" w:beforeAutospacing="0" w:after="0" w:afterAutospacing="0"/>
              <w:ind w:left="0" w:right="0" w:firstLine="0"/>
              <w:jc w:val="center"/>
              <w:rPr>
                <w:rFonts w:hint="eastAsia" w:ascii="宋体" w:hAnsi="宋体" w:eastAsia="宋体" w:cs="宋体"/>
                <w:color w:val="auto"/>
                <w:spacing w:val="6"/>
                <w:szCs w:val="21"/>
                <w:highlight w:val="none"/>
                <w:lang w:val="en-US"/>
              </w:rPr>
            </w:pPr>
          </w:p>
        </w:tc>
      </w:tr>
      <w:tr w14:paraId="6AFCA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096" w:type="dxa"/>
            <w:shd w:val="clear" w:color="auto" w:fill="auto"/>
            <w:vAlign w:val="center"/>
          </w:tcPr>
          <w:p w14:paraId="343B71F8">
            <w:pPr>
              <w:pStyle w:val="126"/>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投标有效期</w:t>
            </w:r>
          </w:p>
        </w:tc>
        <w:tc>
          <w:tcPr>
            <w:tcW w:w="5903" w:type="dxa"/>
            <w:shd w:val="clear" w:color="auto" w:fill="auto"/>
            <w:vAlign w:val="center"/>
          </w:tcPr>
          <w:p w14:paraId="75487DBA">
            <w:pPr>
              <w:pStyle w:val="110"/>
              <w:keepNext w:val="0"/>
              <w:keepLines w:val="0"/>
              <w:suppressLineNumbers w:val="0"/>
              <w:spacing w:before="0" w:beforeAutospacing="0" w:after="0" w:afterAutospacing="0"/>
              <w:ind w:left="0" w:right="0" w:firstLine="0"/>
              <w:jc w:val="center"/>
              <w:rPr>
                <w:rFonts w:hint="eastAsia" w:ascii="宋体" w:hAnsi="宋体" w:eastAsia="宋体" w:cs="宋体"/>
                <w:color w:val="auto"/>
                <w:spacing w:val="6"/>
                <w:szCs w:val="21"/>
                <w:highlight w:val="none"/>
                <w:lang w:val="en-US"/>
              </w:rPr>
            </w:pPr>
          </w:p>
        </w:tc>
      </w:tr>
      <w:tr w14:paraId="6B7E7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096" w:type="dxa"/>
            <w:shd w:val="clear" w:color="auto" w:fill="auto"/>
            <w:vAlign w:val="center"/>
          </w:tcPr>
          <w:p w14:paraId="5ED2D763">
            <w:pPr>
              <w:pStyle w:val="126"/>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其他声明</w:t>
            </w:r>
          </w:p>
        </w:tc>
        <w:tc>
          <w:tcPr>
            <w:tcW w:w="5903" w:type="dxa"/>
            <w:shd w:val="clear" w:color="auto" w:fill="auto"/>
            <w:vAlign w:val="center"/>
          </w:tcPr>
          <w:p w14:paraId="5D3B243E">
            <w:pPr>
              <w:pStyle w:val="110"/>
              <w:keepNext w:val="0"/>
              <w:keepLines w:val="0"/>
              <w:suppressLineNumbers w:val="0"/>
              <w:spacing w:before="0" w:beforeAutospacing="0" w:after="0" w:afterAutospacing="0"/>
              <w:ind w:left="0" w:right="0" w:firstLine="0"/>
              <w:jc w:val="center"/>
              <w:rPr>
                <w:rFonts w:hint="eastAsia" w:ascii="宋体" w:hAnsi="宋体" w:eastAsia="宋体" w:cs="宋体"/>
                <w:color w:val="auto"/>
                <w:spacing w:val="6"/>
                <w:szCs w:val="21"/>
                <w:highlight w:val="none"/>
                <w:lang w:val="en-US"/>
              </w:rPr>
            </w:pPr>
          </w:p>
        </w:tc>
      </w:tr>
    </w:tbl>
    <w:p w14:paraId="4426824A">
      <w:pPr>
        <w:pStyle w:val="110"/>
        <w:ind w:firstLine="4009" w:firstLineChars="1900"/>
        <w:rPr>
          <w:rFonts w:hint="eastAsia" w:ascii="宋体" w:hAnsi="宋体" w:eastAsia="宋体" w:cs="宋体"/>
          <w:color w:val="auto"/>
          <w:spacing w:val="6"/>
          <w:szCs w:val="21"/>
          <w:highlight w:val="none"/>
        </w:rPr>
      </w:pPr>
    </w:p>
    <w:p w14:paraId="2CCD262B">
      <w:pPr>
        <w:pStyle w:val="110"/>
        <w:ind w:firstLine="4009" w:firstLineChars="1900"/>
        <w:rPr>
          <w:rFonts w:hint="eastAsia" w:ascii="宋体" w:hAnsi="宋体" w:eastAsia="宋体" w:cs="宋体"/>
          <w:color w:val="auto"/>
          <w:spacing w:val="6"/>
          <w:szCs w:val="21"/>
          <w:highlight w:val="none"/>
        </w:rPr>
      </w:pPr>
    </w:p>
    <w:p w14:paraId="6004A73D">
      <w:pPr>
        <w:pStyle w:val="110"/>
        <w:ind w:firstLine="4009" w:firstLineChars="19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投标人：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（盖单位章）</w:t>
      </w:r>
    </w:p>
    <w:p w14:paraId="219B8997">
      <w:pPr>
        <w:pStyle w:val="110"/>
        <w:ind w:firstLine="4009" w:firstLineChars="19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法定代表人或其委托代理人：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（签字或盖章）</w:t>
      </w:r>
    </w:p>
    <w:p w14:paraId="4E982197">
      <w:pPr>
        <w:pStyle w:val="110"/>
        <w:ind w:firstLine="4009" w:firstLineChars="19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年     月     日</w:t>
      </w:r>
    </w:p>
    <w:p w14:paraId="3F12AE83">
      <w:pPr>
        <w:widowControl/>
        <w:jc w:val="left"/>
        <w:rPr>
          <w:rFonts w:hint="eastAsia" w:ascii="宋体" w:hAnsi="宋体" w:eastAsia="宋体" w:cs="宋体"/>
          <w:color w:val="auto"/>
          <w:spacing w:val="6"/>
          <w:kern w:val="2"/>
          <w:sz w:val="21"/>
          <w:szCs w:val="21"/>
          <w:highlight w:val="none"/>
          <w:lang w:val="zh-CN"/>
        </w:rPr>
      </w:pPr>
      <w:r>
        <w:rPr>
          <w:rFonts w:hint="eastAsia" w:ascii="宋体" w:hAnsi="宋体" w:eastAsia="宋体" w:cs="宋体"/>
          <w:color w:val="auto"/>
          <w:spacing w:val="6"/>
          <w:szCs w:val="21"/>
          <w:highlight w:val="none"/>
        </w:rPr>
        <w:br w:type="page"/>
      </w:r>
    </w:p>
    <w:p w14:paraId="226D1344">
      <w:pPr>
        <w:pStyle w:val="3"/>
        <w:outlineLvl w:val="1"/>
        <w:rPr>
          <w:rFonts w:hint="eastAsia" w:ascii="宋体" w:hAnsi="宋体" w:eastAsia="宋体" w:cs="宋体"/>
          <w:b w:val="0"/>
          <w:bCs w:val="0"/>
          <w:color w:val="auto"/>
          <w:spacing w:val="6"/>
          <w:sz w:val="28"/>
          <w:szCs w:val="28"/>
          <w:highlight w:val="none"/>
        </w:rPr>
      </w:pPr>
      <w:bookmarkStart w:id="547" w:name="_Toc2082"/>
      <w:bookmarkStart w:id="548" w:name="_Toc4438"/>
      <w:bookmarkStart w:id="549" w:name="_Toc15256"/>
      <w:bookmarkStart w:id="550" w:name="_Toc2620"/>
      <w:bookmarkStart w:id="551" w:name="_Toc1660862"/>
      <w:bookmarkStart w:id="552" w:name="_Toc24101"/>
      <w:r>
        <w:rPr>
          <w:rFonts w:hint="eastAsia" w:ascii="宋体" w:hAnsi="宋体" w:eastAsia="宋体" w:cs="宋体"/>
          <w:b w:val="0"/>
          <w:bCs w:val="0"/>
          <w:color w:val="auto"/>
          <w:spacing w:val="6"/>
          <w:sz w:val="28"/>
          <w:szCs w:val="28"/>
          <w:highlight w:val="none"/>
          <w:lang w:val="en-US" w:eastAsia="zh-CN"/>
        </w:rPr>
        <w:t>三、报价</w:t>
      </w:r>
      <w:r>
        <w:rPr>
          <w:rFonts w:hint="eastAsia" w:ascii="宋体" w:hAnsi="宋体" w:eastAsia="宋体" w:cs="宋体"/>
          <w:b w:val="0"/>
          <w:bCs w:val="0"/>
          <w:color w:val="auto"/>
          <w:spacing w:val="6"/>
          <w:sz w:val="28"/>
          <w:szCs w:val="28"/>
          <w:highlight w:val="none"/>
        </w:rPr>
        <w:t>明细表</w:t>
      </w:r>
      <w:bookmarkEnd w:id="547"/>
      <w:bookmarkEnd w:id="548"/>
      <w:bookmarkEnd w:id="549"/>
      <w:bookmarkEnd w:id="550"/>
      <w:bookmarkEnd w:id="551"/>
      <w:bookmarkEnd w:id="552"/>
    </w:p>
    <w:p w14:paraId="568BE538">
      <w:pPr>
        <w:pStyle w:val="110"/>
        <w:ind w:firstLine="0"/>
        <w:jc w:val="cente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lang w:val="en-US" w:eastAsia="zh-CN"/>
        </w:rPr>
        <w:t>报价</w:t>
      </w:r>
      <w:r>
        <w:rPr>
          <w:rFonts w:hint="eastAsia" w:ascii="宋体" w:hAnsi="宋体" w:eastAsia="宋体" w:cs="宋体"/>
          <w:b/>
          <w:bCs/>
          <w:color w:val="auto"/>
          <w:spacing w:val="6"/>
          <w:sz w:val="24"/>
          <w:szCs w:val="24"/>
          <w:highlight w:val="none"/>
        </w:rPr>
        <w:t>明细表</w:t>
      </w:r>
    </w:p>
    <w:tbl>
      <w:tblPr>
        <w:tblStyle w:val="26"/>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047"/>
        <w:gridCol w:w="2986"/>
        <w:gridCol w:w="981"/>
        <w:gridCol w:w="1270"/>
        <w:gridCol w:w="1273"/>
      </w:tblGrid>
      <w:tr w14:paraId="3C5B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759" w:type="dxa"/>
            <w:vAlign w:val="center"/>
          </w:tcPr>
          <w:p w14:paraId="5311CE5E">
            <w:pPr>
              <w:pStyle w:val="110"/>
              <w:keepNext w:val="0"/>
              <w:keepLines w:val="0"/>
              <w:suppressLineNumbers w:val="0"/>
              <w:spacing w:before="0" w:beforeAutospacing="0" w:after="0" w:afterAutospacing="0"/>
              <w:ind w:left="0" w:right="0"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序号</w:t>
            </w:r>
          </w:p>
        </w:tc>
        <w:tc>
          <w:tcPr>
            <w:tcW w:w="2047" w:type="dxa"/>
            <w:vAlign w:val="center"/>
          </w:tcPr>
          <w:p w14:paraId="389DDCCB">
            <w:pPr>
              <w:pStyle w:val="110"/>
              <w:keepNext w:val="0"/>
              <w:keepLines w:val="0"/>
              <w:suppressLineNumbers w:val="0"/>
              <w:spacing w:before="0" w:beforeAutospacing="0" w:after="0" w:afterAutospacing="0"/>
              <w:ind w:left="0" w:right="0"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eastAsia="zh-CN"/>
              </w:rPr>
              <w:t>服务内容</w:t>
            </w:r>
          </w:p>
        </w:tc>
        <w:tc>
          <w:tcPr>
            <w:tcW w:w="2986" w:type="dxa"/>
            <w:vAlign w:val="center"/>
          </w:tcPr>
          <w:p w14:paraId="15DBAD3D">
            <w:pPr>
              <w:pStyle w:val="110"/>
              <w:keepNext w:val="0"/>
              <w:keepLines w:val="0"/>
              <w:suppressLineNumbers w:val="0"/>
              <w:spacing w:before="0" w:beforeAutospacing="0" w:after="0" w:afterAutospacing="0" w:line="300" w:lineRule="exact"/>
              <w:ind w:left="0" w:right="0" w:firstLine="0"/>
              <w:rPr>
                <w:rFonts w:hint="eastAsia" w:ascii="宋体" w:hAnsi="宋体" w:eastAsia="宋体" w:cs="宋体"/>
                <w:color w:val="auto"/>
                <w:spacing w:val="6"/>
                <w:szCs w:val="21"/>
                <w:highlight w:val="none"/>
              </w:rPr>
            </w:pPr>
            <w:r>
              <w:rPr>
                <w:rFonts w:hint="eastAsia" w:ascii="宋体" w:hAnsi="宋体" w:eastAsia="宋体" w:cs="宋体"/>
                <w:kern w:val="2"/>
                <w:sz w:val="21"/>
                <w:szCs w:val="22"/>
                <w:highlight w:val="none"/>
                <w:lang w:val="en-US" w:eastAsia="zh-CN" w:bidi="ar-SA"/>
              </w:rPr>
              <w:t>是否属于小型微型企业（监狱企业、残疾人福利性单位）企业提供的服务</w:t>
            </w:r>
          </w:p>
        </w:tc>
        <w:tc>
          <w:tcPr>
            <w:tcW w:w="981" w:type="dxa"/>
            <w:vAlign w:val="center"/>
          </w:tcPr>
          <w:p w14:paraId="26790B5F">
            <w:pPr>
              <w:pStyle w:val="110"/>
              <w:keepNext w:val="0"/>
              <w:keepLines w:val="0"/>
              <w:suppressLineNumbers w:val="0"/>
              <w:spacing w:before="0" w:beforeAutospacing="0" w:after="0" w:afterAutospacing="0"/>
              <w:ind w:left="0" w:right="0" w:firstLine="0"/>
              <w:jc w:val="center"/>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rPr>
              <w:t>数量</w:t>
            </w:r>
          </w:p>
        </w:tc>
        <w:tc>
          <w:tcPr>
            <w:tcW w:w="1270" w:type="dxa"/>
            <w:vAlign w:val="center"/>
          </w:tcPr>
          <w:p w14:paraId="1C2672BE">
            <w:pPr>
              <w:pStyle w:val="110"/>
              <w:keepNext w:val="0"/>
              <w:keepLines w:val="0"/>
              <w:suppressLineNumbers w:val="0"/>
              <w:spacing w:before="0" w:beforeAutospacing="0" w:after="0" w:afterAutospacing="0"/>
              <w:ind w:left="0" w:right="0"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单价</w:t>
            </w:r>
          </w:p>
          <w:p w14:paraId="75E0355D">
            <w:pPr>
              <w:keepNext w:val="0"/>
              <w:keepLines w:val="0"/>
              <w:suppressLineNumbers w:val="0"/>
              <w:spacing w:before="0" w:beforeAutospacing="0" w:after="0" w:afterAutospacing="0"/>
              <w:ind w:left="0" w:right="0"/>
              <w:jc w:val="center"/>
              <w:rPr>
                <w:rFonts w:hint="eastAsia" w:ascii="宋体" w:hAnsi="宋体" w:eastAsia="宋体" w:cs="宋体"/>
                <w:color w:val="auto"/>
                <w:spacing w:val="6"/>
                <w:sz w:val="21"/>
                <w:szCs w:val="21"/>
                <w:highlight w:val="none"/>
                <w:lang w:val="zh-CN"/>
              </w:rPr>
            </w:pPr>
            <w:r>
              <w:rPr>
                <w:rFonts w:hint="eastAsia" w:ascii="宋体" w:hAnsi="宋体" w:eastAsia="宋体" w:cs="宋体"/>
                <w:color w:val="auto"/>
                <w:spacing w:val="6"/>
                <w:sz w:val="21"/>
                <w:szCs w:val="21"/>
                <w:highlight w:val="none"/>
                <w:lang w:val="zh-CN"/>
              </w:rPr>
              <w:t>（元）</w:t>
            </w:r>
          </w:p>
        </w:tc>
        <w:tc>
          <w:tcPr>
            <w:tcW w:w="1273" w:type="dxa"/>
            <w:vAlign w:val="center"/>
          </w:tcPr>
          <w:p w14:paraId="4F359ACB">
            <w:pPr>
              <w:pStyle w:val="110"/>
              <w:keepNext w:val="0"/>
              <w:keepLines w:val="0"/>
              <w:suppressLineNumbers w:val="0"/>
              <w:spacing w:before="0" w:beforeAutospacing="0" w:after="0" w:afterAutospacing="0"/>
              <w:ind w:left="0" w:right="0"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总价</w:t>
            </w:r>
          </w:p>
          <w:p w14:paraId="10E5DAA8">
            <w:pPr>
              <w:keepNext w:val="0"/>
              <w:keepLines w:val="0"/>
              <w:suppressLineNumbers w:val="0"/>
              <w:spacing w:before="0" w:beforeAutospacing="0" w:after="0" w:afterAutospacing="0"/>
              <w:ind w:left="0" w:right="0"/>
              <w:jc w:val="center"/>
              <w:rPr>
                <w:rFonts w:hint="eastAsia" w:ascii="宋体" w:hAnsi="宋体" w:eastAsia="宋体" w:cs="宋体"/>
                <w:color w:val="auto"/>
                <w:spacing w:val="6"/>
                <w:sz w:val="21"/>
                <w:szCs w:val="21"/>
                <w:highlight w:val="none"/>
                <w:lang w:val="zh-CN"/>
              </w:rPr>
            </w:pPr>
            <w:r>
              <w:rPr>
                <w:rFonts w:hint="eastAsia" w:ascii="宋体" w:hAnsi="宋体" w:eastAsia="宋体" w:cs="宋体"/>
                <w:color w:val="auto"/>
                <w:spacing w:val="6"/>
                <w:sz w:val="21"/>
                <w:szCs w:val="21"/>
                <w:highlight w:val="none"/>
                <w:lang w:val="zh-CN"/>
              </w:rPr>
              <w:t>（元）</w:t>
            </w:r>
          </w:p>
        </w:tc>
      </w:tr>
      <w:tr w14:paraId="59E5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59" w:type="dxa"/>
            <w:vAlign w:val="center"/>
          </w:tcPr>
          <w:p w14:paraId="26B69C72">
            <w:pPr>
              <w:pStyle w:val="110"/>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t>1</w:t>
            </w:r>
          </w:p>
        </w:tc>
        <w:tc>
          <w:tcPr>
            <w:tcW w:w="2047" w:type="dxa"/>
            <w:vAlign w:val="center"/>
          </w:tcPr>
          <w:p w14:paraId="7B04C6B4">
            <w:pPr>
              <w:pStyle w:val="110"/>
              <w:keepNext w:val="0"/>
              <w:keepLines w:val="0"/>
              <w:suppressLineNumbers w:val="0"/>
              <w:spacing w:before="0" w:beforeAutospacing="0" w:after="0" w:afterAutospacing="0" w:line="420" w:lineRule="exact"/>
              <w:ind w:left="0" w:leftChars="0" w:right="0" w:rightChars="0" w:firstLine="0" w:firstLineChars="0"/>
              <w:jc w:val="center"/>
              <w:rPr>
                <w:rFonts w:hint="eastAsia" w:ascii="宋体" w:hAnsi="宋体" w:eastAsia="宋体" w:cs="宋体"/>
                <w:color w:val="auto"/>
                <w:spacing w:val="6"/>
                <w:szCs w:val="21"/>
                <w:highlight w:val="none"/>
              </w:rPr>
            </w:pPr>
          </w:p>
        </w:tc>
        <w:tc>
          <w:tcPr>
            <w:tcW w:w="2986" w:type="dxa"/>
            <w:vAlign w:val="center"/>
          </w:tcPr>
          <w:p w14:paraId="24220FB9">
            <w:pPr>
              <w:pStyle w:val="110"/>
              <w:keepNext w:val="0"/>
              <w:keepLines w:val="0"/>
              <w:suppressLineNumbers w:val="0"/>
              <w:spacing w:before="0" w:beforeAutospacing="0" w:after="0" w:afterAutospacing="0"/>
              <w:ind w:left="0" w:right="0"/>
              <w:rPr>
                <w:rFonts w:hint="eastAsia" w:ascii="宋体" w:hAnsi="宋体" w:eastAsia="宋体" w:cs="宋体"/>
                <w:color w:val="auto"/>
                <w:spacing w:val="6"/>
                <w:szCs w:val="21"/>
                <w:highlight w:val="none"/>
              </w:rPr>
            </w:pPr>
          </w:p>
        </w:tc>
        <w:tc>
          <w:tcPr>
            <w:tcW w:w="981" w:type="dxa"/>
            <w:vAlign w:val="center"/>
          </w:tcPr>
          <w:p w14:paraId="18E8F263">
            <w:pPr>
              <w:pStyle w:val="110"/>
              <w:keepNext w:val="0"/>
              <w:keepLines w:val="0"/>
              <w:suppressLineNumbers w:val="0"/>
              <w:spacing w:before="0" w:beforeAutospacing="0" w:after="0" w:afterAutospacing="0"/>
              <w:ind w:left="0" w:right="0"/>
              <w:rPr>
                <w:rFonts w:hint="eastAsia" w:ascii="宋体" w:hAnsi="宋体" w:eastAsia="宋体" w:cs="宋体"/>
                <w:color w:val="auto"/>
                <w:spacing w:val="6"/>
                <w:szCs w:val="21"/>
                <w:highlight w:val="none"/>
              </w:rPr>
            </w:pPr>
          </w:p>
        </w:tc>
        <w:tc>
          <w:tcPr>
            <w:tcW w:w="1270" w:type="dxa"/>
            <w:vAlign w:val="center"/>
          </w:tcPr>
          <w:p w14:paraId="7417E520">
            <w:pPr>
              <w:pStyle w:val="110"/>
              <w:keepNext w:val="0"/>
              <w:keepLines w:val="0"/>
              <w:suppressLineNumbers w:val="0"/>
              <w:spacing w:before="0" w:beforeAutospacing="0" w:after="0" w:afterAutospacing="0"/>
              <w:ind w:left="0" w:right="0"/>
              <w:rPr>
                <w:rFonts w:hint="eastAsia" w:ascii="宋体" w:hAnsi="宋体" w:eastAsia="宋体" w:cs="宋体"/>
                <w:color w:val="auto"/>
                <w:spacing w:val="6"/>
                <w:szCs w:val="21"/>
                <w:highlight w:val="none"/>
              </w:rPr>
            </w:pPr>
          </w:p>
        </w:tc>
        <w:tc>
          <w:tcPr>
            <w:tcW w:w="1273" w:type="dxa"/>
            <w:vAlign w:val="center"/>
          </w:tcPr>
          <w:p w14:paraId="7C9C486B">
            <w:pPr>
              <w:pStyle w:val="110"/>
              <w:keepNext w:val="0"/>
              <w:keepLines w:val="0"/>
              <w:suppressLineNumbers w:val="0"/>
              <w:spacing w:before="0" w:beforeAutospacing="0" w:after="0" w:afterAutospacing="0"/>
              <w:ind w:left="0" w:right="0"/>
              <w:rPr>
                <w:rFonts w:hint="eastAsia" w:ascii="宋体" w:hAnsi="宋体" w:eastAsia="宋体" w:cs="宋体"/>
                <w:color w:val="auto"/>
                <w:spacing w:val="6"/>
                <w:szCs w:val="21"/>
                <w:highlight w:val="none"/>
              </w:rPr>
            </w:pPr>
          </w:p>
        </w:tc>
      </w:tr>
      <w:tr w14:paraId="6179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9" w:type="dxa"/>
            <w:vAlign w:val="center"/>
          </w:tcPr>
          <w:p w14:paraId="24233130">
            <w:pPr>
              <w:pStyle w:val="110"/>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auto"/>
                <w:spacing w:val="6"/>
                <w:szCs w:val="21"/>
                <w:highlight w:val="none"/>
                <w:lang w:val="en-US" w:eastAsia="zh-CN"/>
              </w:rPr>
            </w:pPr>
          </w:p>
        </w:tc>
        <w:tc>
          <w:tcPr>
            <w:tcW w:w="2047" w:type="dxa"/>
            <w:vAlign w:val="center"/>
          </w:tcPr>
          <w:p w14:paraId="4BC803B3">
            <w:pPr>
              <w:pStyle w:val="110"/>
              <w:keepNext w:val="0"/>
              <w:keepLines w:val="0"/>
              <w:suppressLineNumbers w:val="0"/>
              <w:spacing w:before="0" w:beforeAutospacing="0" w:after="0" w:afterAutospacing="0" w:line="420" w:lineRule="exact"/>
              <w:ind w:left="0" w:leftChars="0" w:right="0" w:rightChars="0" w:firstLine="0" w:firstLineChars="0"/>
              <w:jc w:val="center"/>
              <w:rPr>
                <w:rFonts w:hint="eastAsia" w:ascii="宋体" w:hAnsi="宋体" w:eastAsia="宋体" w:cs="宋体"/>
                <w:color w:val="auto"/>
                <w:spacing w:val="6"/>
                <w:szCs w:val="21"/>
                <w:highlight w:val="none"/>
              </w:rPr>
            </w:pPr>
          </w:p>
        </w:tc>
        <w:tc>
          <w:tcPr>
            <w:tcW w:w="2986" w:type="dxa"/>
            <w:vAlign w:val="center"/>
          </w:tcPr>
          <w:p w14:paraId="65BDAC00">
            <w:pPr>
              <w:pStyle w:val="110"/>
              <w:keepNext w:val="0"/>
              <w:keepLines w:val="0"/>
              <w:suppressLineNumbers w:val="0"/>
              <w:spacing w:before="0" w:beforeAutospacing="0" w:after="0" w:afterAutospacing="0"/>
              <w:ind w:left="0" w:right="0"/>
              <w:rPr>
                <w:rFonts w:hint="eastAsia" w:ascii="宋体" w:hAnsi="宋体" w:eastAsia="宋体" w:cs="宋体"/>
                <w:color w:val="auto"/>
                <w:spacing w:val="6"/>
                <w:szCs w:val="21"/>
                <w:highlight w:val="none"/>
              </w:rPr>
            </w:pPr>
          </w:p>
        </w:tc>
        <w:tc>
          <w:tcPr>
            <w:tcW w:w="981" w:type="dxa"/>
            <w:vAlign w:val="center"/>
          </w:tcPr>
          <w:p w14:paraId="539F3831">
            <w:pPr>
              <w:pStyle w:val="110"/>
              <w:keepNext w:val="0"/>
              <w:keepLines w:val="0"/>
              <w:suppressLineNumbers w:val="0"/>
              <w:spacing w:before="0" w:beforeAutospacing="0" w:after="0" w:afterAutospacing="0"/>
              <w:ind w:left="0" w:right="0"/>
              <w:rPr>
                <w:rFonts w:hint="eastAsia" w:ascii="宋体" w:hAnsi="宋体" w:eastAsia="宋体" w:cs="宋体"/>
                <w:color w:val="auto"/>
                <w:spacing w:val="6"/>
                <w:szCs w:val="21"/>
                <w:highlight w:val="none"/>
              </w:rPr>
            </w:pPr>
          </w:p>
        </w:tc>
        <w:tc>
          <w:tcPr>
            <w:tcW w:w="1270" w:type="dxa"/>
            <w:vAlign w:val="center"/>
          </w:tcPr>
          <w:p w14:paraId="4322D7FC">
            <w:pPr>
              <w:pStyle w:val="110"/>
              <w:keepNext w:val="0"/>
              <w:keepLines w:val="0"/>
              <w:suppressLineNumbers w:val="0"/>
              <w:spacing w:before="0" w:beforeAutospacing="0" w:after="0" w:afterAutospacing="0"/>
              <w:ind w:left="0" w:right="0"/>
              <w:rPr>
                <w:rFonts w:hint="eastAsia" w:ascii="宋体" w:hAnsi="宋体" w:eastAsia="宋体" w:cs="宋体"/>
                <w:color w:val="auto"/>
                <w:spacing w:val="6"/>
                <w:szCs w:val="21"/>
                <w:highlight w:val="none"/>
              </w:rPr>
            </w:pPr>
          </w:p>
        </w:tc>
        <w:tc>
          <w:tcPr>
            <w:tcW w:w="1273" w:type="dxa"/>
            <w:vAlign w:val="center"/>
          </w:tcPr>
          <w:p w14:paraId="61CD0CDF">
            <w:pPr>
              <w:pStyle w:val="110"/>
              <w:keepNext w:val="0"/>
              <w:keepLines w:val="0"/>
              <w:suppressLineNumbers w:val="0"/>
              <w:spacing w:before="0" w:beforeAutospacing="0" w:after="0" w:afterAutospacing="0"/>
              <w:ind w:left="0" w:right="0"/>
              <w:rPr>
                <w:rFonts w:hint="eastAsia" w:ascii="宋体" w:hAnsi="宋体" w:eastAsia="宋体" w:cs="宋体"/>
                <w:color w:val="auto"/>
                <w:spacing w:val="6"/>
                <w:szCs w:val="21"/>
                <w:highlight w:val="none"/>
              </w:rPr>
            </w:pPr>
          </w:p>
        </w:tc>
      </w:tr>
      <w:tr w14:paraId="6FCC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9" w:type="dxa"/>
            <w:vAlign w:val="center"/>
          </w:tcPr>
          <w:p w14:paraId="75DB16A4">
            <w:pPr>
              <w:pStyle w:val="110"/>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auto"/>
                <w:spacing w:val="6"/>
                <w:szCs w:val="21"/>
                <w:highlight w:val="none"/>
                <w:lang w:val="en-US" w:eastAsia="zh-CN"/>
              </w:rPr>
            </w:pPr>
          </w:p>
        </w:tc>
        <w:tc>
          <w:tcPr>
            <w:tcW w:w="2047" w:type="dxa"/>
            <w:vAlign w:val="center"/>
          </w:tcPr>
          <w:p w14:paraId="37B7B9A8">
            <w:pPr>
              <w:pStyle w:val="110"/>
              <w:keepNext w:val="0"/>
              <w:keepLines w:val="0"/>
              <w:suppressLineNumbers w:val="0"/>
              <w:spacing w:before="0" w:beforeAutospacing="0" w:after="0" w:afterAutospacing="0" w:line="420" w:lineRule="exact"/>
              <w:ind w:left="0" w:leftChars="0" w:right="0" w:rightChars="0" w:firstLine="0" w:firstLineChars="0"/>
              <w:jc w:val="center"/>
              <w:rPr>
                <w:rFonts w:hint="eastAsia" w:ascii="宋体" w:hAnsi="宋体" w:eastAsia="宋体" w:cs="宋体"/>
                <w:color w:val="auto"/>
                <w:spacing w:val="6"/>
                <w:szCs w:val="21"/>
                <w:highlight w:val="none"/>
              </w:rPr>
            </w:pPr>
          </w:p>
        </w:tc>
        <w:tc>
          <w:tcPr>
            <w:tcW w:w="2986" w:type="dxa"/>
            <w:vAlign w:val="center"/>
          </w:tcPr>
          <w:p w14:paraId="4D2181CA">
            <w:pPr>
              <w:pStyle w:val="110"/>
              <w:keepNext w:val="0"/>
              <w:keepLines w:val="0"/>
              <w:suppressLineNumbers w:val="0"/>
              <w:spacing w:before="0" w:beforeAutospacing="0" w:after="0" w:afterAutospacing="0"/>
              <w:ind w:left="0" w:right="0"/>
              <w:rPr>
                <w:rFonts w:hint="eastAsia" w:ascii="宋体" w:hAnsi="宋体" w:eastAsia="宋体" w:cs="宋体"/>
                <w:color w:val="auto"/>
                <w:spacing w:val="6"/>
                <w:szCs w:val="21"/>
                <w:highlight w:val="none"/>
              </w:rPr>
            </w:pPr>
          </w:p>
        </w:tc>
        <w:tc>
          <w:tcPr>
            <w:tcW w:w="981" w:type="dxa"/>
            <w:vAlign w:val="center"/>
          </w:tcPr>
          <w:p w14:paraId="17215C93">
            <w:pPr>
              <w:pStyle w:val="110"/>
              <w:keepNext w:val="0"/>
              <w:keepLines w:val="0"/>
              <w:suppressLineNumbers w:val="0"/>
              <w:spacing w:before="0" w:beforeAutospacing="0" w:after="0" w:afterAutospacing="0"/>
              <w:ind w:left="0" w:right="0"/>
              <w:rPr>
                <w:rFonts w:hint="eastAsia" w:ascii="宋体" w:hAnsi="宋体" w:eastAsia="宋体" w:cs="宋体"/>
                <w:color w:val="auto"/>
                <w:spacing w:val="6"/>
                <w:szCs w:val="21"/>
                <w:highlight w:val="none"/>
              </w:rPr>
            </w:pPr>
          </w:p>
        </w:tc>
        <w:tc>
          <w:tcPr>
            <w:tcW w:w="1270" w:type="dxa"/>
            <w:vAlign w:val="center"/>
          </w:tcPr>
          <w:p w14:paraId="713AF2B9">
            <w:pPr>
              <w:pStyle w:val="110"/>
              <w:keepNext w:val="0"/>
              <w:keepLines w:val="0"/>
              <w:suppressLineNumbers w:val="0"/>
              <w:spacing w:before="0" w:beforeAutospacing="0" w:after="0" w:afterAutospacing="0"/>
              <w:ind w:left="0" w:right="0"/>
              <w:rPr>
                <w:rFonts w:hint="eastAsia" w:ascii="宋体" w:hAnsi="宋体" w:eastAsia="宋体" w:cs="宋体"/>
                <w:color w:val="auto"/>
                <w:spacing w:val="6"/>
                <w:szCs w:val="21"/>
                <w:highlight w:val="none"/>
              </w:rPr>
            </w:pPr>
          </w:p>
        </w:tc>
        <w:tc>
          <w:tcPr>
            <w:tcW w:w="1273" w:type="dxa"/>
            <w:vAlign w:val="center"/>
          </w:tcPr>
          <w:p w14:paraId="65C5D09C">
            <w:pPr>
              <w:pStyle w:val="110"/>
              <w:keepNext w:val="0"/>
              <w:keepLines w:val="0"/>
              <w:suppressLineNumbers w:val="0"/>
              <w:spacing w:before="0" w:beforeAutospacing="0" w:after="0" w:afterAutospacing="0"/>
              <w:ind w:left="0" w:right="0"/>
              <w:rPr>
                <w:rFonts w:hint="eastAsia" w:ascii="宋体" w:hAnsi="宋体" w:eastAsia="宋体" w:cs="宋体"/>
                <w:color w:val="auto"/>
                <w:spacing w:val="6"/>
                <w:szCs w:val="21"/>
                <w:highlight w:val="none"/>
              </w:rPr>
            </w:pPr>
          </w:p>
        </w:tc>
      </w:tr>
      <w:tr w14:paraId="3673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59" w:type="dxa"/>
            <w:vAlign w:val="center"/>
          </w:tcPr>
          <w:p w14:paraId="2C5136FF">
            <w:pPr>
              <w:pStyle w:val="110"/>
              <w:keepNext w:val="0"/>
              <w:keepLines w:val="0"/>
              <w:suppressLineNumbers w:val="0"/>
              <w:spacing w:before="0" w:beforeAutospacing="0" w:after="0" w:afterAutospacing="0"/>
              <w:ind w:left="0" w:right="0"/>
              <w:rPr>
                <w:rFonts w:hint="eastAsia" w:ascii="宋体" w:hAnsi="宋体" w:eastAsia="宋体" w:cs="宋体"/>
                <w:color w:val="auto"/>
                <w:spacing w:val="6"/>
                <w:szCs w:val="21"/>
                <w:highlight w:val="none"/>
              </w:rPr>
            </w:pPr>
          </w:p>
        </w:tc>
        <w:tc>
          <w:tcPr>
            <w:tcW w:w="2047" w:type="dxa"/>
            <w:vAlign w:val="center"/>
          </w:tcPr>
          <w:p w14:paraId="5B055ED8">
            <w:pPr>
              <w:pStyle w:val="110"/>
              <w:keepNext w:val="0"/>
              <w:keepLines w:val="0"/>
              <w:suppressLineNumbers w:val="0"/>
              <w:spacing w:before="0" w:beforeAutospacing="0" w:after="0" w:afterAutospacing="0"/>
              <w:ind w:left="0" w:right="0"/>
              <w:rPr>
                <w:rFonts w:hint="eastAsia" w:ascii="宋体" w:hAnsi="宋体" w:eastAsia="宋体" w:cs="宋体"/>
                <w:color w:val="auto"/>
                <w:spacing w:val="6"/>
                <w:szCs w:val="21"/>
                <w:highlight w:val="none"/>
              </w:rPr>
            </w:pPr>
          </w:p>
        </w:tc>
        <w:tc>
          <w:tcPr>
            <w:tcW w:w="2986" w:type="dxa"/>
            <w:vAlign w:val="center"/>
          </w:tcPr>
          <w:p w14:paraId="6F8B5465">
            <w:pPr>
              <w:pStyle w:val="110"/>
              <w:keepNext w:val="0"/>
              <w:keepLines w:val="0"/>
              <w:suppressLineNumbers w:val="0"/>
              <w:spacing w:before="0" w:beforeAutospacing="0" w:after="0" w:afterAutospacing="0"/>
              <w:ind w:left="0" w:right="0"/>
              <w:rPr>
                <w:rFonts w:hint="eastAsia" w:ascii="宋体" w:hAnsi="宋体" w:eastAsia="宋体" w:cs="宋体"/>
                <w:color w:val="auto"/>
                <w:spacing w:val="6"/>
                <w:szCs w:val="21"/>
                <w:highlight w:val="none"/>
              </w:rPr>
            </w:pPr>
          </w:p>
        </w:tc>
        <w:tc>
          <w:tcPr>
            <w:tcW w:w="981" w:type="dxa"/>
            <w:vAlign w:val="center"/>
          </w:tcPr>
          <w:p w14:paraId="64F3D314">
            <w:pPr>
              <w:pStyle w:val="110"/>
              <w:keepNext w:val="0"/>
              <w:keepLines w:val="0"/>
              <w:suppressLineNumbers w:val="0"/>
              <w:spacing w:before="0" w:beforeAutospacing="0" w:after="0" w:afterAutospacing="0"/>
              <w:ind w:left="0" w:right="0"/>
              <w:rPr>
                <w:rFonts w:hint="eastAsia" w:ascii="宋体" w:hAnsi="宋体" w:eastAsia="宋体" w:cs="宋体"/>
                <w:color w:val="auto"/>
                <w:spacing w:val="6"/>
                <w:szCs w:val="21"/>
                <w:highlight w:val="none"/>
              </w:rPr>
            </w:pPr>
          </w:p>
        </w:tc>
        <w:tc>
          <w:tcPr>
            <w:tcW w:w="1270" w:type="dxa"/>
            <w:vAlign w:val="center"/>
          </w:tcPr>
          <w:p w14:paraId="0EADC6BF">
            <w:pPr>
              <w:pStyle w:val="110"/>
              <w:keepNext w:val="0"/>
              <w:keepLines w:val="0"/>
              <w:suppressLineNumbers w:val="0"/>
              <w:spacing w:before="0" w:beforeAutospacing="0" w:after="0" w:afterAutospacing="0"/>
              <w:ind w:left="0" w:right="0"/>
              <w:rPr>
                <w:rFonts w:hint="eastAsia" w:ascii="宋体" w:hAnsi="宋体" w:eastAsia="宋体" w:cs="宋体"/>
                <w:color w:val="auto"/>
                <w:spacing w:val="6"/>
                <w:szCs w:val="21"/>
                <w:highlight w:val="none"/>
              </w:rPr>
            </w:pPr>
          </w:p>
        </w:tc>
        <w:tc>
          <w:tcPr>
            <w:tcW w:w="1273" w:type="dxa"/>
            <w:vAlign w:val="center"/>
          </w:tcPr>
          <w:p w14:paraId="1887D26A">
            <w:pPr>
              <w:pStyle w:val="110"/>
              <w:keepNext w:val="0"/>
              <w:keepLines w:val="0"/>
              <w:suppressLineNumbers w:val="0"/>
              <w:spacing w:before="0" w:beforeAutospacing="0" w:after="0" w:afterAutospacing="0"/>
              <w:ind w:left="0" w:right="0"/>
              <w:rPr>
                <w:rFonts w:hint="eastAsia" w:ascii="宋体" w:hAnsi="宋体" w:eastAsia="宋体" w:cs="宋体"/>
                <w:color w:val="auto"/>
                <w:spacing w:val="6"/>
                <w:szCs w:val="21"/>
                <w:highlight w:val="none"/>
              </w:rPr>
            </w:pPr>
          </w:p>
        </w:tc>
      </w:tr>
    </w:tbl>
    <w:p w14:paraId="421BAAAC">
      <w:pPr>
        <w:pStyle w:val="110"/>
        <w:ind w:firstLine="4720" w:firstLineChars="2237"/>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投标人：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（盖单位章）</w:t>
      </w:r>
    </w:p>
    <w:p w14:paraId="43469EE9">
      <w:pPr>
        <w:pStyle w:val="110"/>
        <w:ind w:firstLine="4087" w:firstLineChars="1937"/>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法定代表人或其委托代理人：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u w:val="single"/>
          <w:lang w:val="en-US"/>
        </w:rPr>
        <w:t xml:space="preserve">    </w:t>
      </w:r>
      <w:r>
        <w:rPr>
          <w:rFonts w:hint="eastAsia" w:ascii="宋体" w:hAnsi="宋体" w:eastAsia="宋体" w:cs="宋体"/>
          <w:color w:val="auto"/>
          <w:spacing w:val="6"/>
          <w:szCs w:val="21"/>
          <w:highlight w:val="none"/>
        </w:rPr>
        <w:t>（签字或盖章）</w:t>
      </w:r>
    </w:p>
    <w:p w14:paraId="602017D3">
      <w:pPr>
        <w:pStyle w:val="110"/>
        <w:ind w:firstLine="4009" w:firstLineChars="19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年   月    日</w:t>
      </w:r>
    </w:p>
    <w:p w14:paraId="23F552FA">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注：</w:t>
      </w:r>
    </w:p>
    <w:p w14:paraId="697D8E00">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eastAsia="zh-CN"/>
        </w:rPr>
        <w:t>1</w:t>
      </w:r>
      <w:r>
        <w:rPr>
          <w:rFonts w:hint="eastAsia" w:ascii="宋体" w:hAnsi="宋体" w:eastAsia="宋体" w:cs="宋体"/>
          <w:color w:val="auto"/>
          <w:spacing w:val="6"/>
          <w:szCs w:val="21"/>
          <w:highlight w:val="none"/>
        </w:rPr>
        <w:t>. 投标人可根据需要自行增减表格行数。</w:t>
      </w:r>
    </w:p>
    <w:p w14:paraId="423BA2E4">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eastAsia="zh-CN"/>
        </w:rPr>
        <w:t>2</w:t>
      </w:r>
      <w:r>
        <w:rPr>
          <w:rFonts w:hint="eastAsia" w:ascii="宋体" w:hAnsi="宋体" w:eastAsia="宋体" w:cs="宋体"/>
          <w:color w:val="auto"/>
          <w:spacing w:val="6"/>
          <w:szCs w:val="21"/>
          <w:highlight w:val="none"/>
        </w:rPr>
        <w:t>. 投标人对所报相关内容的真实性负责，采购代理机构有权将相关内容进行公示，因弄虚作假导致的后果由投标人自行承担。</w:t>
      </w:r>
    </w:p>
    <w:p w14:paraId="7955D706">
      <w:pPr>
        <w:rPr>
          <w:rFonts w:hint="eastAsia" w:ascii="宋体" w:hAnsi="宋体" w:eastAsia="宋体" w:cs="宋体"/>
          <w:b w:val="0"/>
          <w:bCs w:val="0"/>
          <w:color w:val="auto"/>
          <w:spacing w:val="6"/>
          <w:sz w:val="28"/>
          <w:szCs w:val="28"/>
          <w:highlight w:val="none"/>
          <w:lang w:val="en-US" w:eastAsia="zh-CN"/>
        </w:rPr>
      </w:pPr>
      <w:bookmarkStart w:id="553" w:name="_Toc15884"/>
      <w:r>
        <w:rPr>
          <w:rFonts w:hint="eastAsia" w:ascii="宋体" w:hAnsi="宋体" w:eastAsia="宋体" w:cs="宋体"/>
          <w:b w:val="0"/>
          <w:bCs w:val="0"/>
          <w:color w:val="auto"/>
          <w:spacing w:val="6"/>
          <w:sz w:val="28"/>
          <w:szCs w:val="28"/>
          <w:highlight w:val="none"/>
          <w:lang w:val="en-US" w:eastAsia="zh-CN"/>
        </w:rPr>
        <w:br w:type="page"/>
      </w:r>
    </w:p>
    <w:bookmarkEnd w:id="553"/>
    <w:p w14:paraId="3166207A">
      <w:pPr>
        <w:pStyle w:val="3"/>
        <w:outlineLvl w:val="1"/>
        <w:rPr>
          <w:rFonts w:hint="eastAsia" w:ascii="宋体" w:hAnsi="宋体" w:eastAsia="宋体" w:cs="宋体"/>
          <w:b w:val="0"/>
          <w:bCs w:val="0"/>
          <w:color w:val="auto"/>
          <w:spacing w:val="6"/>
          <w:sz w:val="28"/>
          <w:szCs w:val="28"/>
          <w:highlight w:val="none"/>
          <w:lang w:val="en-US" w:eastAsia="zh-CN"/>
        </w:rPr>
      </w:pPr>
      <w:bookmarkStart w:id="554" w:name="_Toc6028"/>
      <w:bookmarkStart w:id="555" w:name="_Toc4246"/>
      <w:bookmarkStart w:id="556" w:name="_Toc25734"/>
      <w:bookmarkStart w:id="557" w:name="_Toc4311"/>
      <w:bookmarkStart w:id="558" w:name="_Toc9044"/>
      <w:bookmarkStart w:id="559" w:name="_Toc27903"/>
      <w:r>
        <w:rPr>
          <w:rFonts w:hint="eastAsia" w:ascii="宋体" w:hAnsi="宋体" w:eastAsia="宋体" w:cs="宋体"/>
          <w:b w:val="0"/>
          <w:bCs w:val="0"/>
          <w:color w:val="auto"/>
          <w:spacing w:val="6"/>
          <w:sz w:val="28"/>
          <w:szCs w:val="28"/>
          <w:highlight w:val="none"/>
          <w:lang w:val="en-US" w:eastAsia="zh-CN"/>
        </w:rPr>
        <w:t>四、</w:t>
      </w:r>
      <w:bookmarkEnd w:id="554"/>
      <w:bookmarkEnd w:id="555"/>
      <w:bookmarkStart w:id="560" w:name="_Toc1335"/>
      <w:r>
        <w:rPr>
          <w:rFonts w:hint="eastAsia" w:ascii="宋体" w:hAnsi="宋体" w:eastAsia="宋体" w:cs="宋体"/>
          <w:b w:val="0"/>
          <w:bCs w:val="0"/>
          <w:color w:val="auto"/>
          <w:spacing w:val="6"/>
          <w:sz w:val="28"/>
          <w:szCs w:val="28"/>
          <w:highlight w:val="none"/>
          <w:lang w:val="en-US" w:eastAsia="zh-CN"/>
        </w:rPr>
        <w:t>法定代表人授权委托书</w:t>
      </w:r>
      <w:bookmarkEnd w:id="540"/>
      <w:bookmarkEnd w:id="556"/>
      <w:bookmarkEnd w:id="557"/>
      <w:bookmarkEnd w:id="558"/>
      <w:bookmarkEnd w:id="559"/>
      <w:bookmarkEnd w:id="560"/>
    </w:p>
    <w:p w14:paraId="625F80D2">
      <w:pPr>
        <w:bidi w:val="0"/>
        <w:rPr>
          <w:rFonts w:hint="eastAsia" w:ascii="宋体" w:hAnsi="宋体" w:eastAsia="宋体" w:cs="宋体"/>
          <w:color w:val="auto"/>
          <w:highlight w:val="none"/>
        </w:rPr>
      </w:pPr>
    </w:p>
    <w:p w14:paraId="258D242B">
      <w:pPr>
        <w:pStyle w:val="110"/>
        <w:spacing w:line="240" w:lineRule="auto"/>
        <w:ind w:firstLine="0"/>
        <w:jc w:val="cente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法定代表人授权委托书</w:t>
      </w:r>
    </w:p>
    <w:p w14:paraId="219CE09D">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（姓名）系</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u w:val="single"/>
          <w:lang w:val="en-US"/>
        </w:rPr>
        <w:t xml:space="preserve">  </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（投标单位名称）的法定代表人，现授权委托本单位在职员工</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（姓名，职务）（身份证号码：</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、手机号码：</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）作为投标人代表以我方的名义参加贵单位组织的</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u w:val="single"/>
          <w:lang w:val="en-US"/>
        </w:rPr>
        <w:t xml:space="preserve">                </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项目（</w:t>
      </w:r>
      <w:r>
        <w:rPr>
          <w:rFonts w:hint="eastAsia" w:ascii="宋体" w:hAnsi="宋体" w:eastAsia="宋体" w:cs="宋体"/>
          <w:color w:val="auto"/>
          <w:spacing w:val="6"/>
          <w:szCs w:val="21"/>
          <w:highlight w:val="none"/>
          <w:lang w:val="en-US" w:eastAsia="zh-CN"/>
        </w:rPr>
        <w:t>项目编号</w:t>
      </w:r>
      <w:r>
        <w:rPr>
          <w:rFonts w:hint="eastAsia" w:ascii="宋体" w:hAnsi="宋体" w:eastAsia="宋体" w:cs="宋体"/>
          <w:color w:val="auto"/>
          <w:spacing w:val="6"/>
          <w:szCs w:val="21"/>
          <w:highlight w:val="none"/>
        </w:rPr>
        <w:t>：</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）的投标活动，并代表我方全权处理一切与之有关的具体事务和签署相关文件，我均予以承认。</w:t>
      </w:r>
    </w:p>
    <w:p w14:paraId="19BBB724">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代理人无权转让委托权。</w:t>
      </w:r>
    </w:p>
    <w:p w14:paraId="61520C13">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本授权书至投标有效期结束前始终有效。</w:t>
      </w:r>
    </w:p>
    <w:p w14:paraId="554264A3">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特此声明。</w:t>
      </w:r>
    </w:p>
    <w:p w14:paraId="6097365B">
      <w:pPr>
        <w:pStyle w:val="110"/>
        <w:spacing w:line="420" w:lineRule="exact"/>
        <w:rPr>
          <w:rFonts w:hint="eastAsia" w:ascii="宋体" w:hAnsi="宋体" w:eastAsia="宋体" w:cs="宋体"/>
          <w:b/>
          <w:bCs/>
          <w:color w:val="auto"/>
          <w:spacing w:val="6"/>
          <w:szCs w:val="21"/>
          <w:highlight w:val="none"/>
          <w:lang w:val="en-US" w:eastAsia="zh-CN"/>
        </w:rPr>
      </w:pPr>
      <w:r>
        <w:rPr>
          <w:rFonts w:hint="eastAsia" w:ascii="宋体" w:hAnsi="宋体" w:eastAsia="宋体" w:cs="宋体"/>
          <w:b/>
          <w:bCs/>
          <w:color w:val="auto"/>
          <w:spacing w:val="6"/>
          <w:szCs w:val="21"/>
          <w:highlight w:val="none"/>
          <w:lang w:val="en-US" w:eastAsia="zh-CN"/>
        </w:rPr>
        <w:t>附法定代表人及委托代理人身份证复印件或扫描件。</w:t>
      </w:r>
    </w:p>
    <w:p w14:paraId="7D5D71EF">
      <w:pPr>
        <w:pStyle w:val="110"/>
        <w:spacing w:line="420" w:lineRule="exact"/>
        <w:rPr>
          <w:rFonts w:hint="eastAsia" w:ascii="宋体" w:hAnsi="宋体" w:eastAsia="宋体" w:cs="宋体"/>
          <w:color w:val="auto"/>
          <w:spacing w:val="6"/>
          <w:szCs w:val="21"/>
          <w:highlight w:val="none"/>
        </w:rPr>
      </w:pPr>
    </w:p>
    <w:p w14:paraId="3F0545D1">
      <w:pPr>
        <w:pStyle w:val="110"/>
        <w:spacing w:line="420" w:lineRule="exact"/>
        <w:ind w:firstLine="4009" w:firstLineChars="19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投标人：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（盖单位章）</w:t>
      </w:r>
    </w:p>
    <w:p w14:paraId="02DA822F">
      <w:pPr>
        <w:pStyle w:val="110"/>
        <w:spacing w:line="420" w:lineRule="exact"/>
        <w:ind w:firstLine="4009" w:firstLineChars="19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法定代表人：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（签字或盖章）</w:t>
      </w:r>
    </w:p>
    <w:p w14:paraId="0AFEE72B">
      <w:pPr>
        <w:pStyle w:val="110"/>
        <w:spacing w:line="420" w:lineRule="exact"/>
        <w:ind w:firstLine="4009" w:firstLineChars="1900"/>
        <w:rPr>
          <w:rStyle w:val="152"/>
          <w:rFonts w:hint="eastAsia" w:ascii="宋体" w:hAnsi="宋体" w:eastAsia="宋体" w:cs="宋体"/>
          <w:b w:val="0"/>
          <w:bCs w:val="0"/>
          <w:color w:val="auto"/>
          <w:spacing w:val="6"/>
          <w:szCs w:val="21"/>
          <w:highlight w:val="none"/>
        </w:rPr>
      </w:pPr>
      <w:r>
        <w:rPr>
          <w:rFonts w:hint="eastAsia" w:ascii="宋体" w:hAnsi="宋体" w:eastAsia="宋体" w:cs="宋体"/>
          <w:color w:val="auto"/>
          <w:spacing w:val="6"/>
          <w:szCs w:val="21"/>
          <w:highlight w:val="none"/>
        </w:rPr>
        <w:t xml:space="preserve">        年    月    日</w:t>
      </w:r>
    </w:p>
    <w:p w14:paraId="142F9B5D">
      <w:pPr>
        <w:widowControl/>
        <w:jc w:val="left"/>
        <w:rPr>
          <w:rFonts w:hint="eastAsia" w:ascii="宋体" w:hAnsi="宋体" w:eastAsia="宋体" w:cs="宋体"/>
          <w:b/>
          <w:bCs/>
          <w:color w:val="auto"/>
          <w:spacing w:val="6"/>
          <w:sz w:val="28"/>
          <w:szCs w:val="28"/>
          <w:highlight w:val="none"/>
          <w:lang w:val="zh-CN"/>
        </w:rPr>
      </w:pPr>
      <w:bookmarkStart w:id="561" w:name="_Toc1660859"/>
      <w:r>
        <w:rPr>
          <w:rFonts w:hint="eastAsia" w:ascii="宋体" w:hAnsi="宋体" w:eastAsia="宋体" w:cs="宋体"/>
          <w:color w:val="auto"/>
          <w:spacing w:val="6"/>
          <w:highlight w:val="none"/>
        </w:rPr>
        <w:br w:type="page"/>
      </w:r>
    </w:p>
    <w:bookmarkEnd w:id="561"/>
    <w:p w14:paraId="6673A8FC">
      <w:pPr>
        <w:pStyle w:val="3"/>
        <w:outlineLvl w:val="1"/>
        <w:rPr>
          <w:rFonts w:hint="eastAsia" w:ascii="宋体" w:hAnsi="宋体" w:eastAsia="宋体" w:cs="宋体"/>
          <w:b w:val="0"/>
          <w:bCs w:val="0"/>
          <w:color w:val="auto"/>
          <w:spacing w:val="6"/>
          <w:sz w:val="28"/>
          <w:szCs w:val="28"/>
          <w:highlight w:val="none"/>
          <w:lang w:val="en-US" w:eastAsia="zh-CN"/>
        </w:rPr>
      </w:pPr>
      <w:bookmarkStart w:id="562" w:name="_Toc16260"/>
      <w:bookmarkStart w:id="563" w:name="_Toc16146"/>
      <w:bookmarkStart w:id="564" w:name="_Toc8652"/>
      <w:bookmarkStart w:id="565" w:name="_Toc25111"/>
      <w:bookmarkStart w:id="566" w:name="_Toc2778"/>
      <w:bookmarkStart w:id="567" w:name="_Toc1660860"/>
      <w:r>
        <w:rPr>
          <w:rFonts w:hint="eastAsia" w:ascii="宋体" w:hAnsi="宋体" w:eastAsia="宋体" w:cs="宋体"/>
          <w:b w:val="0"/>
          <w:bCs w:val="0"/>
          <w:color w:val="auto"/>
          <w:spacing w:val="6"/>
          <w:sz w:val="28"/>
          <w:szCs w:val="28"/>
          <w:highlight w:val="none"/>
          <w:lang w:val="en-US" w:eastAsia="zh-CN"/>
        </w:rPr>
        <w:t>五、投标承诺函</w:t>
      </w:r>
      <w:bookmarkEnd w:id="562"/>
      <w:bookmarkEnd w:id="563"/>
      <w:bookmarkEnd w:id="564"/>
      <w:bookmarkEnd w:id="565"/>
      <w:bookmarkEnd w:id="566"/>
    </w:p>
    <w:p w14:paraId="1B18A4C8">
      <w:pPr>
        <w:widowControl/>
        <w:spacing w:line="420" w:lineRule="exact"/>
        <w:jc w:val="center"/>
        <w:rPr>
          <w:rFonts w:hint="eastAsia" w:ascii="宋体" w:hAnsi="宋体" w:eastAsia="宋体" w:cs="宋体"/>
          <w:b/>
          <w:bCs/>
          <w:color w:val="auto"/>
          <w:spacing w:val="6"/>
          <w:sz w:val="28"/>
          <w:szCs w:val="28"/>
          <w:highlight w:val="none"/>
        </w:rPr>
      </w:pPr>
      <w:r>
        <w:rPr>
          <w:rFonts w:hint="eastAsia" w:ascii="宋体" w:hAnsi="宋体" w:eastAsia="宋体" w:cs="宋体"/>
          <w:b/>
          <w:bCs/>
          <w:color w:val="auto"/>
          <w:spacing w:val="6"/>
          <w:sz w:val="24"/>
          <w:szCs w:val="24"/>
          <w:highlight w:val="none"/>
        </w:rPr>
        <w:t>投标承诺函</w:t>
      </w:r>
    </w:p>
    <w:p w14:paraId="61EA740F">
      <w:pPr>
        <w:spacing w:line="420" w:lineRule="exact"/>
        <w:ind w:firstLine="422" w:firstLineChars="200"/>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我单位自愿参加本次</w:t>
      </w:r>
      <w:r>
        <w:rPr>
          <w:rFonts w:hint="eastAsia" w:ascii="宋体" w:hAnsi="宋体" w:cs="宋体"/>
          <w:bCs/>
          <w:color w:val="auto"/>
          <w:spacing w:val="6"/>
          <w:sz w:val="21"/>
          <w:szCs w:val="21"/>
          <w:highlight w:val="none"/>
          <w:u w:val="single"/>
          <w:lang w:val="en-US" w:eastAsia="zh-CN"/>
        </w:rPr>
        <w:t xml:space="preserve">  （项目名称）  </w:t>
      </w:r>
      <w:r>
        <w:rPr>
          <w:rFonts w:hint="eastAsia" w:ascii="宋体" w:hAnsi="宋体" w:eastAsia="宋体" w:cs="宋体"/>
          <w:bCs/>
          <w:color w:val="auto"/>
          <w:spacing w:val="6"/>
          <w:sz w:val="21"/>
          <w:szCs w:val="21"/>
          <w:highlight w:val="none"/>
        </w:rPr>
        <w:t>政府采购活动，严格遵守《中华人民共和国政府采购法》及相关法律法规，依法诚信经营，无条件遵守本次政府采购活动的各项规定。</w:t>
      </w:r>
    </w:p>
    <w:p w14:paraId="4C50C9E5">
      <w:pPr>
        <w:spacing w:line="420" w:lineRule="exact"/>
        <w:ind w:firstLine="422" w:firstLineChars="200"/>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我单位郑重承诺参与本项目不得出现以下情形：</w:t>
      </w:r>
    </w:p>
    <w:p w14:paraId="0868AB14">
      <w:pPr>
        <w:spacing w:line="420" w:lineRule="exact"/>
        <w:ind w:firstLine="422" w:firstLineChars="200"/>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1. 在投标截止时间后撤销投标文件；</w:t>
      </w:r>
    </w:p>
    <w:p w14:paraId="45F301A4">
      <w:pPr>
        <w:spacing w:line="420" w:lineRule="exact"/>
        <w:ind w:firstLine="422" w:firstLineChars="200"/>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2. 在投标文件中提供虚假材料；</w:t>
      </w:r>
    </w:p>
    <w:p w14:paraId="39341829">
      <w:pPr>
        <w:spacing w:line="420" w:lineRule="exact"/>
        <w:ind w:firstLine="422" w:firstLineChars="200"/>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3. 除因不可抗力或招标文件认可的情形以外，不与采购人签订合同；</w:t>
      </w:r>
    </w:p>
    <w:p w14:paraId="4EF8C9BF">
      <w:pPr>
        <w:spacing w:line="420" w:lineRule="exact"/>
        <w:ind w:firstLine="422" w:firstLineChars="200"/>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4. 与采购人、其他投标人或者采购代理机构恶意串通。</w:t>
      </w:r>
    </w:p>
    <w:p w14:paraId="499CF2B1">
      <w:pPr>
        <w:spacing w:line="420" w:lineRule="exact"/>
        <w:ind w:firstLine="422" w:firstLineChars="200"/>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如有以上情形发生，我单位愿意按照有关法律规定承担民事责任。</w:t>
      </w:r>
    </w:p>
    <w:p w14:paraId="1F235BA8">
      <w:pPr>
        <w:pStyle w:val="110"/>
        <w:spacing w:line="420" w:lineRule="exact"/>
        <w:ind w:firstLine="4009" w:firstLineChars="19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投标人：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（盖单位章）</w:t>
      </w:r>
    </w:p>
    <w:p w14:paraId="7985AC03">
      <w:pPr>
        <w:pStyle w:val="110"/>
        <w:spacing w:line="420" w:lineRule="exact"/>
        <w:ind w:firstLine="4009" w:firstLineChars="19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法定代表人或其委托代理人：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（签字或盖章）</w:t>
      </w:r>
    </w:p>
    <w:p w14:paraId="2BB83E15">
      <w:pPr>
        <w:pStyle w:val="110"/>
        <w:spacing w:line="420" w:lineRule="exact"/>
        <w:ind w:firstLine="4009" w:firstLineChars="1900"/>
        <w:rPr>
          <w:rStyle w:val="152"/>
          <w:rFonts w:hint="eastAsia" w:ascii="宋体" w:hAnsi="宋体" w:eastAsia="宋体" w:cs="宋体"/>
          <w:b w:val="0"/>
          <w:bCs w:val="0"/>
          <w:color w:val="auto"/>
          <w:spacing w:val="6"/>
          <w:szCs w:val="21"/>
          <w:highlight w:val="none"/>
        </w:rPr>
      </w:pPr>
      <w:r>
        <w:rPr>
          <w:rFonts w:hint="eastAsia" w:ascii="宋体" w:hAnsi="宋体" w:eastAsia="宋体" w:cs="宋体"/>
          <w:color w:val="auto"/>
          <w:spacing w:val="6"/>
          <w:szCs w:val="21"/>
          <w:highlight w:val="none"/>
        </w:rPr>
        <w:t xml:space="preserve">     </w:t>
      </w:r>
      <w:r>
        <w:rPr>
          <w:rFonts w:hint="eastAsia" w:ascii="宋体" w:hAnsi="宋体" w:eastAsia="宋体" w:cs="宋体"/>
          <w:color w:val="auto"/>
          <w:spacing w:val="6"/>
          <w:szCs w:val="21"/>
          <w:highlight w:val="none"/>
          <w:lang w:val="en-US"/>
        </w:rPr>
        <w:t xml:space="preserve">           </w:t>
      </w:r>
      <w:r>
        <w:rPr>
          <w:rFonts w:hint="eastAsia" w:ascii="宋体" w:hAnsi="宋体" w:eastAsia="宋体" w:cs="宋体"/>
          <w:color w:val="auto"/>
          <w:spacing w:val="6"/>
          <w:szCs w:val="21"/>
          <w:highlight w:val="none"/>
        </w:rPr>
        <w:t>年   月   日</w:t>
      </w:r>
    </w:p>
    <w:p w14:paraId="5B31E84F">
      <w:pPr>
        <w:ind w:firstLine="422" w:firstLineChars="200"/>
        <w:rPr>
          <w:rFonts w:hint="eastAsia" w:ascii="宋体" w:hAnsi="宋体" w:eastAsia="宋体" w:cs="宋体"/>
          <w:bCs/>
          <w:color w:val="auto"/>
          <w:spacing w:val="6"/>
          <w:sz w:val="21"/>
          <w:szCs w:val="21"/>
          <w:highlight w:val="none"/>
        </w:rPr>
      </w:pPr>
    </w:p>
    <w:p w14:paraId="768BF22A">
      <w:pPr>
        <w:ind w:firstLine="402" w:firstLineChars="200"/>
        <w:rPr>
          <w:rFonts w:hint="eastAsia" w:ascii="宋体" w:hAnsi="宋体" w:eastAsia="宋体" w:cs="宋体"/>
          <w:b/>
          <w:bCs/>
          <w:color w:val="auto"/>
          <w:spacing w:val="6"/>
          <w:sz w:val="28"/>
          <w:szCs w:val="28"/>
          <w:highlight w:val="none"/>
          <w:lang w:val="zh-CN"/>
        </w:rPr>
      </w:pPr>
      <w:r>
        <w:rPr>
          <w:rFonts w:hint="eastAsia" w:ascii="宋体" w:hAnsi="宋体" w:eastAsia="宋体" w:cs="宋体"/>
          <w:color w:val="auto"/>
          <w:spacing w:val="6"/>
          <w:highlight w:val="none"/>
        </w:rPr>
        <w:br w:type="page"/>
      </w:r>
    </w:p>
    <w:p w14:paraId="21B6A069">
      <w:pPr>
        <w:pStyle w:val="3"/>
        <w:outlineLvl w:val="1"/>
        <w:rPr>
          <w:rFonts w:hint="eastAsia" w:ascii="宋体" w:hAnsi="宋体" w:eastAsia="宋体" w:cs="宋体"/>
          <w:b w:val="0"/>
          <w:bCs w:val="0"/>
          <w:color w:val="auto"/>
          <w:spacing w:val="6"/>
          <w:sz w:val="28"/>
          <w:szCs w:val="28"/>
          <w:highlight w:val="none"/>
          <w:lang w:val="en-US" w:eastAsia="zh-CN"/>
        </w:rPr>
      </w:pPr>
      <w:bookmarkStart w:id="568" w:name="_Toc5040"/>
      <w:bookmarkStart w:id="569" w:name="_Toc6389"/>
      <w:bookmarkStart w:id="570" w:name="_Toc21235"/>
      <w:bookmarkStart w:id="571" w:name="_Toc747"/>
      <w:bookmarkStart w:id="572" w:name="_Toc19249"/>
      <w:r>
        <w:rPr>
          <w:rFonts w:hint="eastAsia" w:ascii="宋体" w:hAnsi="宋体" w:eastAsia="宋体" w:cs="宋体"/>
          <w:b w:val="0"/>
          <w:bCs w:val="0"/>
          <w:color w:val="auto"/>
          <w:spacing w:val="6"/>
          <w:sz w:val="28"/>
          <w:szCs w:val="28"/>
          <w:highlight w:val="none"/>
          <w:lang w:val="en-US" w:eastAsia="zh-CN"/>
        </w:rPr>
        <w:t>六、资格证明材料</w:t>
      </w:r>
      <w:bookmarkEnd w:id="567"/>
      <w:bookmarkEnd w:id="568"/>
      <w:bookmarkEnd w:id="569"/>
      <w:bookmarkEnd w:id="570"/>
      <w:bookmarkEnd w:id="571"/>
      <w:bookmarkEnd w:id="572"/>
    </w:p>
    <w:p w14:paraId="4E237A78">
      <w:pPr>
        <w:pStyle w:val="110"/>
        <w:ind w:firstLine="0"/>
        <w:jc w:val="center"/>
        <w:rPr>
          <w:rFonts w:hint="eastAsia" w:ascii="宋体" w:hAnsi="宋体" w:eastAsia="宋体" w:cs="宋体"/>
          <w:b/>
          <w:bCs/>
          <w:color w:val="auto"/>
          <w:spacing w:val="6"/>
          <w:szCs w:val="21"/>
          <w:highlight w:val="none"/>
        </w:rPr>
      </w:pPr>
      <w:r>
        <w:rPr>
          <w:rFonts w:hint="eastAsia" w:ascii="宋体" w:hAnsi="宋体" w:eastAsia="宋体" w:cs="宋体"/>
          <w:b/>
          <w:bCs/>
          <w:color w:val="auto"/>
          <w:spacing w:val="6"/>
          <w:sz w:val="24"/>
          <w:szCs w:val="24"/>
          <w:highlight w:val="none"/>
        </w:rPr>
        <w:t>资格证明材料</w:t>
      </w:r>
    </w:p>
    <w:p w14:paraId="6BCDA706">
      <w:pPr>
        <w:rPr>
          <w:rFonts w:hint="eastAsia" w:ascii="宋体" w:hAnsi="宋体" w:eastAsia="宋体" w:cs="宋体"/>
          <w:bCs/>
          <w:color w:val="auto"/>
          <w:spacing w:val="6"/>
          <w:kern w:val="0"/>
          <w:sz w:val="21"/>
          <w:szCs w:val="21"/>
          <w:highlight w:val="none"/>
          <w:lang w:val="en-US"/>
        </w:rPr>
      </w:pPr>
      <w:r>
        <w:rPr>
          <w:rFonts w:hint="eastAsia" w:ascii="宋体" w:hAnsi="宋体" w:eastAsia="宋体" w:cs="宋体"/>
          <w:bCs/>
          <w:color w:val="auto"/>
          <w:spacing w:val="6"/>
          <w:kern w:val="0"/>
          <w:sz w:val="21"/>
          <w:szCs w:val="21"/>
          <w:highlight w:val="none"/>
          <w:lang w:val="en-US"/>
        </w:rPr>
        <w:t>按照第二章“投标人须知”第1.4.1项的要求提供复印件或扫描件及其他相关资料。</w:t>
      </w:r>
    </w:p>
    <w:p w14:paraId="4F947F05">
      <w:pPr>
        <w:rPr>
          <w:rFonts w:hint="eastAsia" w:ascii="宋体" w:hAnsi="宋体" w:eastAsia="宋体" w:cs="宋体"/>
          <w:bCs/>
          <w:color w:val="auto"/>
          <w:spacing w:val="6"/>
          <w:kern w:val="0"/>
          <w:sz w:val="21"/>
          <w:szCs w:val="21"/>
          <w:highlight w:val="none"/>
          <w:lang w:val="en-US"/>
        </w:rPr>
      </w:pPr>
      <w:r>
        <w:rPr>
          <w:rFonts w:hint="eastAsia" w:ascii="宋体" w:hAnsi="宋体" w:eastAsia="宋体" w:cs="宋体"/>
          <w:bCs/>
          <w:color w:val="auto"/>
          <w:spacing w:val="6"/>
          <w:kern w:val="0"/>
          <w:sz w:val="21"/>
          <w:szCs w:val="21"/>
          <w:highlight w:val="none"/>
          <w:lang w:val="en-US"/>
        </w:rPr>
        <w:t>1.营业执照或其他证明材料；</w:t>
      </w:r>
    </w:p>
    <w:p w14:paraId="359D4D34">
      <w:pPr>
        <w:rPr>
          <w:rFonts w:hint="eastAsia" w:ascii="宋体" w:hAnsi="宋体" w:eastAsia="宋体" w:cs="宋体"/>
          <w:bCs/>
          <w:color w:val="auto"/>
          <w:spacing w:val="6"/>
          <w:kern w:val="0"/>
          <w:sz w:val="21"/>
          <w:szCs w:val="21"/>
          <w:highlight w:val="none"/>
          <w:lang w:val="en-US"/>
        </w:rPr>
      </w:pPr>
      <w:r>
        <w:rPr>
          <w:rFonts w:hint="eastAsia" w:ascii="宋体" w:hAnsi="宋体" w:eastAsia="宋体" w:cs="宋体"/>
          <w:bCs/>
          <w:color w:val="auto"/>
          <w:spacing w:val="6"/>
          <w:kern w:val="0"/>
          <w:sz w:val="21"/>
          <w:szCs w:val="21"/>
          <w:highlight w:val="none"/>
          <w:lang w:val="en-US"/>
        </w:rPr>
        <w:t>2.</w:t>
      </w:r>
      <w:r>
        <w:rPr>
          <w:rFonts w:hint="eastAsia" w:ascii="宋体" w:hAnsi="宋体" w:cs="宋体"/>
          <w:bCs/>
          <w:color w:val="auto"/>
          <w:spacing w:val="6"/>
          <w:kern w:val="0"/>
          <w:sz w:val="21"/>
          <w:szCs w:val="21"/>
          <w:highlight w:val="none"/>
          <w:lang w:val="en-US" w:eastAsia="zh-CN"/>
        </w:rPr>
        <w:t>信用</w:t>
      </w:r>
      <w:r>
        <w:rPr>
          <w:rFonts w:hint="eastAsia" w:ascii="宋体" w:hAnsi="宋体" w:eastAsia="宋体" w:cs="宋体"/>
          <w:bCs/>
          <w:color w:val="auto"/>
          <w:spacing w:val="6"/>
          <w:kern w:val="0"/>
          <w:sz w:val="21"/>
          <w:szCs w:val="21"/>
          <w:highlight w:val="none"/>
          <w:lang w:val="en-US"/>
        </w:rPr>
        <w:t>承诺函</w:t>
      </w:r>
      <w:r>
        <w:rPr>
          <w:rFonts w:hint="eastAsia" w:ascii="宋体" w:hAnsi="宋体" w:cs="宋体"/>
          <w:bCs/>
          <w:color w:val="auto"/>
          <w:spacing w:val="6"/>
          <w:kern w:val="0"/>
          <w:sz w:val="21"/>
          <w:szCs w:val="21"/>
          <w:highlight w:val="none"/>
          <w:lang w:val="en-US" w:eastAsia="zh-CN"/>
        </w:rPr>
        <w:t>（见供应商信用承诺函）</w:t>
      </w:r>
      <w:r>
        <w:rPr>
          <w:rFonts w:hint="eastAsia" w:ascii="宋体" w:hAnsi="宋体" w:eastAsia="宋体" w:cs="宋体"/>
          <w:bCs/>
          <w:color w:val="auto"/>
          <w:spacing w:val="6"/>
          <w:kern w:val="0"/>
          <w:sz w:val="21"/>
          <w:szCs w:val="21"/>
          <w:highlight w:val="none"/>
          <w:lang w:val="en-US"/>
        </w:rPr>
        <w:t>；</w:t>
      </w:r>
    </w:p>
    <w:p w14:paraId="14F27D3F">
      <w:pPr>
        <w:rPr>
          <w:rFonts w:hint="eastAsia" w:ascii="宋体" w:hAnsi="宋体" w:eastAsia="宋体" w:cs="宋体"/>
          <w:bCs/>
          <w:color w:val="auto"/>
          <w:spacing w:val="6"/>
          <w:kern w:val="0"/>
          <w:sz w:val="24"/>
          <w:szCs w:val="24"/>
          <w:highlight w:val="none"/>
          <w:lang w:val="en-US"/>
        </w:rPr>
      </w:pPr>
      <w:r>
        <w:rPr>
          <w:rFonts w:hint="eastAsia" w:ascii="宋体" w:hAnsi="宋体" w:eastAsia="宋体" w:cs="宋体"/>
          <w:bCs/>
          <w:color w:val="auto"/>
          <w:spacing w:val="6"/>
          <w:kern w:val="0"/>
          <w:sz w:val="21"/>
          <w:szCs w:val="21"/>
          <w:highlight w:val="none"/>
          <w:lang w:val="en-US"/>
        </w:rPr>
        <w:t>3.投标人认为需要提供的其它材料。</w:t>
      </w:r>
      <w:r>
        <w:rPr>
          <w:rFonts w:hint="eastAsia" w:ascii="宋体" w:hAnsi="宋体" w:eastAsia="宋体" w:cs="宋体"/>
          <w:bCs/>
          <w:color w:val="auto"/>
          <w:spacing w:val="6"/>
          <w:kern w:val="0"/>
          <w:sz w:val="24"/>
          <w:szCs w:val="24"/>
          <w:highlight w:val="none"/>
          <w:lang w:val="en-US"/>
        </w:rPr>
        <w:br w:type="page"/>
      </w:r>
    </w:p>
    <w:p w14:paraId="119253DA">
      <w:pPr>
        <w:pStyle w:val="110"/>
        <w:ind w:firstLine="0"/>
        <w:jc w:val="center"/>
        <w:rPr>
          <w:rFonts w:hint="eastAsia" w:ascii="宋体" w:hAnsi="宋体" w:eastAsia="宋体" w:cs="宋体"/>
          <w:b/>
          <w:bCs/>
          <w:color w:val="auto"/>
          <w:spacing w:val="6"/>
          <w:sz w:val="24"/>
          <w:szCs w:val="24"/>
          <w:highlight w:val="none"/>
          <w:lang w:val="en-US" w:eastAsia="zh-CN"/>
        </w:rPr>
      </w:pPr>
      <w:r>
        <w:rPr>
          <w:rFonts w:hint="eastAsia" w:ascii="宋体" w:hAnsi="宋体" w:eastAsia="宋体" w:cs="宋体"/>
          <w:b/>
          <w:bCs/>
          <w:color w:val="auto"/>
          <w:spacing w:val="6"/>
          <w:sz w:val="24"/>
          <w:szCs w:val="24"/>
          <w:highlight w:val="none"/>
          <w:lang w:val="en-US" w:eastAsia="zh-CN"/>
        </w:rPr>
        <w:t>供应商信用承诺函</w:t>
      </w:r>
    </w:p>
    <w:p w14:paraId="211A55D3">
      <w:pPr>
        <w:pStyle w:val="125"/>
        <w:jc w:val="both"/>
        <w:rPr>
          <w:rFonts w:hint="eastAsia" w:ascii="宋体" w:hAnsi="宋体" w:eastAsia="宋体" w:cs="宋体"/>
          <w:b w:val="0"/>
          <w:color w:val="auto"/>
          <w:spacing w:val="14"/>
          <w:sz w:val="24"/>
          <w:highlight w:val="none"/>
          <w:lang w:val="en-US" w:eastAsia="zh-CN"/>
        </w:rPr>
      </w:pPr>
    </w:p>
    <w:p w14:paraId="4A2CC150">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致</w:t>
      </w:r>
      <w:r>
        <w:rPr>
          <w:rFonts w:hint="eastAsia" w:ascii="宋体" w:hAnsi="宋体" w:eastAsia="宋体" w:cs="宋体"/>
          <w:color w:val="auto"/>
          <w:spacing w:val="6"/>
          <w:sz w:val="21"/>
          <w:szCs w:val="21"/>
          <w:highlight w:val="none"/>
          <w:u w:val="single"/>
          <w:lang w:val="en-US" w:eastAsia="zh-CN"/>
        </w:rPr>
        <w:t xml:space="preserve">   （采购人或采购代理机构）  </w:t>
      </w:r>
      <w:r>
        <w:rPr>
          <w:rFonts w:hint="eastAsia" w:ascii="宋体" w:hAnsi="宋体" w:eastAsia="宋体" w:cs="宋体"/>
          <w:color w:val="auto"/>
          <w:spacing w:val="6"/>
          <w:sz w:val="21"/>
          <w:szCs w:val="21"/>
          <w:highlight w:val="none"/>
          <w:lang w:val="en-US" w:eastAsia="zh-CN"/>
        </w:rPr>
        <w:t>：</w:t>
      </w:r>
    </w:p>
    <w:p w14:paraId="4259B147">
      <w:pPr>
        <w:keepNext w:val="0"/>
        <w:keepLines w:val="0"/>
        <w:pageBreakBefore w:val="0"/>
        <w:widowControl/>
        <w:kinsoku/>
        <w:wordWrap/>
        <w:overflowPunct/>
        <w:topLinePunct w:val="0"/>
        <w:autoSpaceDE/>
        <w:autoSpaceDN/>
        <w:bidi w:val="0"/>
        <w:adjustRightInd/>
        <w:snapToGrid/>
        <w:ind w:firstLine="422" w:firstLineChars="200"/>
        <w:jc w:val="left"/>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为维护公平、公正、公开的政府采购市场秩序，树立诚实守信的政府采购供应商形象，我单位自愿作出一下承诺：</w:t>
      </w:r>
    </w:p>
    <w:p w14:paraId="6EA29162">
      <w:pPr>
        <w:keepNext w:val="0"/>
        <w:keepLines w:val="0"/>
        <w:pageBreakBefore w:val="0"/>
        <w:widowControl/>
        <w:kinsoku/>
        <w:wordWrap/>
        <w:overflowPunct/>
        <w:topLinePunct w:val="0"/>
        <w:autoSpaceDE/>
        <w:autoSpaceDN/>
        <w:bidi w:val="0"/>
        <w:adjustRightInd/>
        <w:snapToGrid/>
        <w:ind w:firstLine="422" w:firstLineChars="200"/>
        <w:jc w:val="left"/>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一、我单位自愿参加本次政府采购活动，严格遵守《中华人民共和国政府采购法》及相关法律法规，依法诚信经营，无条件遵守本次政府采购活动的各项规定。我单位郑重承诺，我单位符合《中华人民共和国政府采购法》第二十二条规定和采购文件、本承诺书的条件：</w:t>
      </w:r>
    </w:p>
    <w:p w14:paraId="77C9D590">
      <w:pPr>
        <w:keepNext w:val="0"/>
        <w:keepLines w:val="0"/>
        <w:pageBreakBefore w:val="0"/>
        <w:widowControl/>
        <w:kinsoku/>
        <w:wordWrap/>
        <w:overflowPunct/>
        <w:topLinePunct w:val="0"/>
        <w:autoSpaceDE/>
        <w:autoSpaceDN/>
        <w:bidi w:val="0"/>
        <w:adjustRightInd/>
        <w:snapToGrid/>
        <w:ind w:firstLine="422" w:firstLineChars="200"/>
        <w:jc w:val="left"/>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（一）具有独立承担民事责任的能力；</w:t>
      </w:r>
    </w:p>
    <w:p w14:paraId="73F53A8E">
      <w:pPr>
        <w:keepNext w:val="0"/>
        <w:keepLines w:val="0"/>
        <w:pageBreakBefore w:val="0"/>
        <w:widowControl/>
        <w:kinsoku/>
        <w:wordWrap/>
        <w:overflowPunct/>
        <w:topLinePunct w:val="0"/>
        <w:autoSpaceDE/>
        <w:autoSpaceDN/>
        <w:bidi w:val="0"/>
        <w:adjustRightInd/>
        <w:snapToGrid/>
        <w:ind w:firstLine="422" w:firstLineChars="200"/>
        <w:jc w:val="left"/>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（二）具有良好的商业信誉和健全的财务会计制度；</w:t>
      </w:r>
    </w:p>
    <w:p w14:paraId="12E92AD2">
      <w:pPr>
        <w:keepNext w:val="0"/>
        <w:keepLines w:val="0"/>
        <w:pageBreakBefore w:val="0"/>
        <w:widowControl/>
        <w:kinsoku/>
        <w:wordWrap/>
        <w:overflowPunct/>
        <w:topLinePunct w:val="0"/>
        <w:autoSpaceDE/>
        <w:autoSpaceDN/>
        <w:bidi w:val="0"/>
        <w:adjustRightInd/>
        <w:snapToGrid/>
        <w:ind w:firstLine="422" w:firstLineChars="200"/>
        <w:jc w:val="left"/>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（三）具有履行合同所必需的设备和专业技术能力；</w:t>
      </w:r>
    </w:p>
    <w:p w14:paraId="5590C577">
      <w:pPr>
        <w:keepNext w:val="0"/>
        <w:keepLines w:val="0"/>
        <w:pageBreakBefore w:val="0"/>
        <w:widowControl/>
        <w:kinsoku/>
        <w:wordWrap/>
        <w:overflowPunct/>
        <w:topLinePunct w:val="0"/>
        <w:autoSpaceDE/>
        <w:autoSpaceDN/>
        <w:bidi w:val="0"/>
        <w:adjustRightInd/>
        <w:snapToGrid/>
        <w:ind w:firstLine="422" w:firstLineChars="200"/>
        <w:jc w:val="left"/>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（四）有依法缴纳税收和社会保障资金的良好记录；</w:t>
      </w:r>
    </w:p>
    <w:p w14:paraId="080FB386">
      <w:pPr>
        <w:keepNext w:val="0"/>
        <w:keepLines w:val="0"/>
        <w:pageBreakBefore w:val="0"/>
        <w:widowControl/>
        <w:kinsoku/>
        <w:wordWrap/>
        <w:overflowPunct/>
        <w:topLinePunct w:val="0"/>
        <w:autoSpaceDE/>
        <w:autoSpaceDN/>
        <w:bidi w:val="0"/>
        <w:adjustRightInd/>
        <w:snapToGrid/>
        <w:ind w:firstLine="422" w:firstLineChars="200"/>
        <w:jc w:val="left"/>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（五）参加政府采购活动前三年内，在经营活动中没有重大违法记录；</w:t>
      </w:r>
    </w:p>
    <w:p w14:paraId="5947C1E3">
      <w:pPr>
        <w:keepNext w:val="0"/>
        <w:keepLines w:val="0"/>
        <w:pageBreakBefore w:val="0"/>
        <w:widowControl/>
        <w:kinsoku/>
        <w:wordWrap/>
        <w:overflowPunct/>
        <w:topLinePunct w:val="0"/>
        <w:autoSpaceDE/>
        <w:autoSpaceDN/>
        <w:bidi w:val="0"/>
        <w:adjustRightInd/>
        <w:snapToGrid/>
        <w:ind w:firstLine="422" w:firstLineChars="200"/>
        <w:jc w:val="left"/>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（六）我单位不存在</w:t>
      </w:r>
      <w:r>
        <w:rPr>
          <w:rFonts w:hint="eastAsia" w:ascii="宋体" w:hAnsi="宋体" w:eastAsia="宋体" w:cs="宋体"/>
          <w:color w:val="auto"/>
          <w:spacing w:val="6"/>
          <w:sz w:val="21"/>
          <w:szCs w:val="21"/>
          <w:highlight w:val="none"/>
        </w:rPr>
        <w:t>单位负责人为同一人或者存在直接控股、管理关系的不同供应商，参加同一合同项下的政府采购</w:t>
      </w:r>
      <w:r>
        <w:rPr>
          <w:rFonts w:hint="eastAsia" w:ascii="宋体" w:hAnsi="宋体" w:eastAsia="宋体" w:cs="宋体"/>
          <w:color w:val="auto"/>
          <w:spacing w:val="6"/>
          <w:sz w:val="21"/>
          <w:szCs w:val="21"/>
          <w:highlight w:val="none"/>
          <w:lang w:val="en-US" w:eastAsia="zh-CN"/>
        </w:rPr>
        <w:t>项目投标；</w:t>
      </w:r>
    </w:p>
    <w:p w14:paraId="2A8EF62B">
      <w:pPr>
        <w:spacing w:line="420" w:lineRule="exact"/>
        <w:ind w:firstLine="422" w:firstLineChars="200"/>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（七）</w:t>
      </w:r>
      <w:r>
        <w:rPr>
          <w:rFonts w:hint="eastAsia" w:ascii="宋体" w:hAnsi="宋体" w:eastAsia="宋体" w:cs="宋体"/>
          <w:spacing w:val="6"/>
          <w:sz w:val="21"/>
          <w:szCs w:val="21"/>
          <w:highlight w:val="none"/>
        </w:rPr>
        <w:t>未被列入失信被执行人、重大税收违法失信主体、政府采购严重违法失信行为记录名单</w:t>
      </w:r>
      <w:r>
        <w:rPr>
          <w:rFonts w:hint="eastAsia" w:ascii="宋体" w:hAnsi="宋体" w:eastAsia="宋体" w:cs="宋体"/>
          <w:color w:val="auto"/>
          <w:spacing w:val="6"/>
          <w:sz w:val="21"/>
          <w:szCs w:val="21"/>
          <w:highlight w:val="none"/>
          <w:lang w:val="en-US" w:eastAsia="zh-CN"/>
        </w:rPr>
        <w:t>；</w:t>
      </w:r>
    </w:p>
    <w:p w14:paraId="58650B99">
      <w:pPr>
        <w:keepNext w:val="0"/>
        <w:keepLines w:val="0"/>
        <w:pageBreakBefore w:val="0"/>
        <w:widowControl/>
        <w:kinsoku/>
        <w:wordWrap/>
        <w:overflowPunct/>
        <w:topLinePunct w:val="0"/>
        <w:autoSpaceDE/>
        <w:autoSpaceDN/>
        <w:bidi w:val="0"/>
        <w:adjustRightInd/>
        <w:snapToGrid/>
        <w:ind w:firstLine="422" w:firstLineChars="200"/>
        <w:jc w:val="left"/>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（八）未曾作出虚假采购承诺；</w:t>
      </w:r>
    </w:p>
    <w:p w14:paraId="26D6B7FD">
      <w:pPr>
        <w:keepNext w:val="0"/>
        <w:keepLines w:val="0"/>
        <w:pageBreakBefore w:val="0"/>
        <w:widowControl/>
        <w:kinsoku/>
        <w:wordWrap/>
        <w:overflowPunct/>
        <w:topLinePunct w:val="0"/>
        <w:autoSpaceDE/>
        <w:autoSpaceDN/>
        <w:bidi w:val="0"/>
        <w:adjustRightInd/>
        <w:snapToGrid/>
        <w:ind w:firstLine="422" w:firstLineChars="200"/>
        <w:jc w:val="left"/>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（九）符合法律、行政法规规定的其他条件。</w:t>
      </w:r>
    </w:p>
    <w:p w14:paraId="14139183">
      <w:pPr>
        <w:keepNext w:val="0"/>
        <w:keepLines w:val="0"/>
        <w:pageBreakBefore w:val="0"/>
        <w:widowControl/>
        <w:kinsoku/>
        <w:wordWrap/>
        <w:overflowPunct/>
        <w:topLinePunct w:val="0"/>
        <w:autoSpaceDE/>
        <w:autoSpaceDN/>
        <w:bidi w:val="0"/>
        <w:adjustRightInd/>
        <w:snapToGrid/>
        <w:ind w:firstLine="422" w:firstLineChars="200"/>
        <w:jc w:val="left"/>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二、我单位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按照有关民事法律规定承担民事责任。</w:t>
      </w:r>
    </w:p>
    <w:p w14:paraId="26849457">
      <w:pPr>
        <w:pStyle w:val="110"/>
        <w:spacing w:line="420" w:lineRule="atLeast"/>
        <w:ind w:firstLine="4009" w:firstLineChars="19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投标人：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（盖单位章）</w:t>
      </w:r>
    </w:p>
    <w:p w14:paraId="0AC5E8F6">
      <w:pPr>
        <w:pStyle w:val="110"/>
        <w:spacing w:line="420" w:lineRule="atLeast"/>
        <w:ind w:firstLine="4009" w:firstLineChars="1900"/>
        <w:rPr>
          <w:rStyle w:val="152"/>
          <w:rFonts w:hint="eastAsia" w:ascii="宋体" w:hAnsi="宋体" w:eastAsia="宋体" w:cs="宋体"/>
          <w:b w:val="0"/>
          <w:bCs w:val="0"/>
          <w:color w:val="auto"/>
          <w:spacing w:val="6"/>
          <w:szCs w:val="21"/>
          <w:highlight w:val="none"/>
        </w:rPr>
      </w:pPr>
      <w:r>
        <w:rPr>
          <w:rFonts w:hint="eastAsia" w:ascii="宋体" w:hAnsi="宋体" w:eastAsia="宋体" w:cs="宋体"/>
          <w:color w:val="auto"/>
          <w:spacing w:val="6"/>
          <w:szCs w:val="21"/>
          <w:highlight w:val="none"/>
        </w:rPr>
        <w:t xml:space="preserve">       年    月    日</w:t>
      </w:r>
    </w:p>
    <w:p w14:paraId="2049B3A0">
      <w:pPr>
        <w:rPr>
          <w:rFonts w:hint="eastAsia" w:ascii="宋体" w:hAnsi="宋体" w:eastAsia="宋体" w:cs="宋体"/>
          <w:color w:val="auto"/>
          <w:spacing w:val="6"/>
          <w:sz w:val="21"/>
          <w:szCs w:val="21"/>
          <w:highlight w:val="none"/>
          <w:lang w:val="zh-CN"/>
        </w:rPr>
      </w:pPr>
    </w:p>
    <w:p w14:paraId="458D53D7">
      <w:pPr>
        <w:rPr>
          <w:rFonts w:hint="eastAsia" w:ascii="宋体" w:hAnsi="宋体" w:eastAsia="宋体" w:cs="宋体"/>
          <w:color w:val="auto"/>
          <w:highlight w:val="none"/>
        </w:rPr>
      </w:pPr>
    </w:p>
    <w:p w14:paraId="276678AB">
      <w:pPr>
        <w:rPr>
          <w:rFonts w:hint="eastAsia" w:ascii="宋体" w:hAnsi="宋体" w:eastAsia="宋体" w:cs="宋体"/>
          <w:b/>
          <w:bCs/>
          <w:color w:val="auto"/>
          <w:spacing w:val="6"/>
          <w:sz w:val="24"/>
          <w:szCs w:val="24"/>
          <w:highlight w:val="none"/>
          <w:lang w:val="en-US" w:eastAsia="zh-CN"/>
        </w:rPr>
      </w:pPr>
      <w:r>
        <w:rPr>
          <w:rFonts w:hint="eastAsia" w:ascii="宋体" w:hAnsi="宋体" w:eastAsia="宋体" w:cs="宋体"/>
          <w:b/>
          <w:bCs/>
          <w:color w:val="auto"/>
          <w:spacing w:val="6"/>
          <w:sz w:val="24"/>
          <w:szCs w:val="24"/>
          <w:highlight w:val="none"/>
          <w:lang w:val="en-US" w:eastAsia="zh-CN"/>
        </w:rPr>
        <w:br w:type="page"/>
      </w:r>
    </w:p>
    <w:p w14:paraId="5299F628">
      <w:pPr>
        <w:pStyle w:val="110"/>
        <w:ind w:firstLine="0"/>
        <w:jc w:val="center"/>
        <w:rPr>
          <w:rFonts w:hint="eastAsia" w:ascii="宋体" w:hAnsi="宋体" w:eastAsia="宋体" w:cs="宋体"/>
          <w:b/>
          <w:bCs/>
          <w:color w:val="auto"/>
          <w:spacing w:val="6"/>
          <w:sz w:val="24"/>
          <w:szCs w:val="24"/>
          <w:highlight w:val="none"/>
          <w:lang w:val="en-US" w:eastAsia="zh-CN"/>
        </w:rPr>
      </w:pPr>
      <w:r>
        <w:rPr>
          <w:rFonts w:hint="eastAsia" w:ascii="宋体" w:hAnsi="宋体" w:eastAsia="宋体" w:cs="宋体"/>
          <w:b/>
          <w:bCs/>
          <w:color w:val="auto"/>
          <w:spacing w:val="6"/>
          <w:sz w:val="24"/>
          <w:szCs w:val="24"/>
          <w:highlight w:val="none"/>
          <w:lang w:val="en-US" w:eastAsia="zh-CN"/>
        </w:rPr>
        <w:t>不参与围标串标承诺书</w:t>
      </w:r>
    </w:p>
    <w:p w14:paraId="66401B17">
      <w:pPr>
        <w:widowControl/>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致</w:t>
      </w:r>
      <w:r>
        <w:rPr>
          <w:rFonts w:hint="eastAsia" w:ascii="宋体" w:hAnsi="宋体" w:eastAsia="宋体" w:cs="宋体"/>
          <w:spacing w:val="6"/>
          <w:sz w:val="21"/>
          <w:szCs w:val="21"/>
          <w:highlight w:val="none"/>
          <w:u w:val="single"/>
        </w:rPr>
        <w:t xml:space="preserve">  河南科技大学第一附属医院</w:t>
      </w:r>
      <w:r>
        <w:rPr>
          <w:rFonts w:hint="eastAsia" w:ascii="宋体" w:hAnsi="宋体" w:eastAsia="宋体" w:cs="宋体"/>
          <w:spacing w:val="6"/>
          <w:sz w:val="21"/>
          <w:szCs w:val="21"/>
          <w:highlight w:val="none"/>
        </w:rPr>
        <w:t>：</w:t>
      </w:r>
    </w:p>
    <w:p w14:paraId="521DD1BB">
      <w:pPr>
        <w:widowControl/>
        <w:ind w:firstLine="422"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我单位自愿参加</w:t>
      </w:r>
      <w:r>
        <w:rPr>
          <w:rFonts w:hint="eastAsia" w:ascii="宋体" w:hAnsi="宋体" w:eastAsia="宋体" w:cs="宋体"/>
          <w:spacing w:val="6"/>
          <w:sz w:val="21"/>
          <w:szCs w:val="21"/>
          <w:highlight w:val="none"/>
          <w:u w:val="single"/>
        </w:rPr>
        <w:t xml:space="preserve">    项目名称      </w:t>
      </w:r>
      <w:r>
        <w:rPr>
          <w:rFonts w:hint="eastAsia" w:ascii="宋体" w:hAnsi="宋体" w:eastAsia="宋体" w:cs="宋体"/>
          <w:spacing w:val="6"/>
          <w:sz w:val="21"/>
          <w:szCs w:val="21"/>
          <w:highlight w:val="none"/>
        </w:rPr>
        <w:t>投标活动，严格遵守相关法律法规，依法诚信经营。我单位郑重承诺：</w:t>
      </w:r>
    </w:p>
    <w:p w14:paraId="0C4C2DC0">
      <w:pPr>
        <w:widowControl/>
        <w:ind w:firstLine="422"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（一）我单位及参与本项目的相关人员遵循诚实守信的原则，依法依规参加本项目投标活动；</w:t>
      </w:r>
    </w:p>
    <w:p w14:paraId="1D20E808">
      <w:pPr>
        <w:widowControl/>
        <w:ind w:firstLine="422" w:firstLineChars="200"/>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（二）我单位不存在围标、串标、以他人名义投标或者以其他方式弄虚作假，骗取中标的行为，否则，承担相应法律责任，接受相应行政处罚和失信惩戒。</w:t>
      </w:r>
    </w:p>
    <w:p w14:paraId="641F93CA">
      <w:pPr>
        <w:spacing w:line="420" w:lineRule="exact"/>
        <w:ind w:firstLine="398" w:firstLineChars="200"/>
        <w:rPr>
          <w:rFonts w:hint="eastAsia" w:ascii="宋体" w:hAnsi="宋体" w:eastAsia="宋体" w:cs="宋体"/>
          <w:color w:val="000000"/>
          <w:sz w:val="21"/>
          <w:szCs w:val="21"/>
          <w:highlight w:val="none"/>
        </w:rPr>
      </w:pPr>
    </w:p>
    <w:p w14:paraId="5A54E937">
      <w:pPr>
        <w:rPr>
          <w:rFonts w:hint="eastAsia" w:ascii="宋体" w:hAnsi="宋体" w:eastAsia="宋体" w:cs="宋体"/>
          <w:highlight w:val="none"/>
        </w:rPr>
      </w:pPr>
    </w:p>
    <w:p w14:paraId="74A6C310">
      <w:pPr>
        <w:spacing w:line="420" w:lineRule="atLeast"/>
        <w:ind w:firstLine="422" w:firstLineChars="200"/>
        <w:jc w:val="right"/>
        <w:rPr>
          <w:rFonts w:hint="eastAsia" w:ascii="宋体" w:hAnsi="宋体" w:eastAsia="宋体" w:cs="宋体"/>
          <w:spacing w:val="6"/>
          <w:sz w:val="21"/>
          <w:szCs w:val="21"/>
          <w:highlight w:val="none"/>
          <w:u w:val="single"/>
        </w:rPr>
      </w:pPr>
      <w:r>
        <w:rPr>
          <w:rFonts w:hint="eastAsia" w:ascii="宋体" w:hAnsi="宋体" w:eastAsia="宋体" w:cs="宋体"/>
          <w:spacing w:val="6"/>
          <w:sz w:val="21"/>
          <w:szCs w:val="21"/>
          <w:highlight w:val="none"/>
        </w:rPr>
        <w:t xml:space="preserve">投标人： </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6"/>
          <w:sz w:val="21"/>
          <w:szCs w:val="21"/>
          <w:highlight w:val="none"/>
        </w:rPr>
        <w:t>（盖单位公章）</w:t>
      </w:r>
    </w:p>
    <w:p w14:paraId="345DD2BA">
      <w:pPr>
        <w:spacing w:line="420" w:lineRule="atLeast"/>
        <w:jc w:val="right"/>
        <w:rPr>
          <w:rFonts w:hint="eastAsia" w:ascii="宋体" w:hAnsi="宋体" w:eastAsia="宋体" w:cs="宋体"/>
          <w:spacing w:val="6"/>
          <w:sz w:val="21"/>
          <w:szCs w:val="21"/>
          <w:highlight w:val="none"/>
          <w:u w:val="single"/>
        </w:rPr>
      </w:pPr>
      <w:r>
        <w:rPr>
          <w:rFonts w:hint="eastAsia" w:ascii="宋体" w:hAnsi="宋体" w:eastAsia="宋体" w:cs="宋体"/>
          <w:spacing w:val="6"/>
          <w:sz w:val="21"/>
          <w:szCs w:val="21"/>
          <w:highlight w:val="none"/>
        </w:rPr>
        <w:t xml:space="preserve">法定代表人或其委托代理人： </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6"/>
          <w:sz w:val="21"/>
          <w:szCs w:val="21"/>
          <w:highlight w:val="none"/>
        </w:rPr>
        <w:t>（签字或盖章）</w:t>
      </w:r>
    </w:p>
    <w:p w14:paraId="16D08CEA">
      <w:pPr>
        <w:pStyle w:val="110"/>
        <w:spacing w:line="420" w:lineRule="atLeast"/>
        <w:ind w:firstLine="2614" w:firstLineChars="1239"/>
        <w:rPr>
          <w:rStyle w:val="117"/>
          <w:rFonts w:hint="eastAsia" w:ascii="宋体" w:hAnsi="宋体" w:eastAsia="宋体" w:cs="宋体"/>
          <w:b w:val="0"/>
          <w:bCs w:val="0"/>
          <w:spacing w:val="6"/>
          <w:szCs w:val="21"/>
          <w:highlight w:val="none"/>
        </w:rPr>
      </w:pPr>
      <w:r>
        <w:rPr>
          <w:rFonts w:hint="eastAsia" w:ascii="宋体" w:hAnsi="宋体" w:eastAsia="宋体" w:cs="宋体"/>
          <w:spacing w:val="6"/>
          <w:szCs w:val="21"/>
          <w:highlight w:val="none"/>
        </w:rPr>
        <w:t xml:space="preserve">        </w:t>
      </w:r>
      <w:r>
        <w:rPr>
          <w:rFonts w:hint="eastAsia" w:ascii="宋体" w:hAnsi="宋体" w:eastAsia="宋体" w:cs="宋体"/>
          <w:spacing w:val="6"/>
          <w:szCs w:val="21"/>
          <w:highlight w:val="none"/>
          <w:lang w:val="en-US"/>
        </w:rPr>
        <w:t xml:space="preserve">                          </w:t>
      </w:r>
      <w:r>
        <w:rPr>
          <w:rFonts w:hint="eastAsia" w:ascii="宋体" w:hAnsi="宋体" w:eastAsia="宋体" w:cs="宋体"/>
          <w:spacing w:val="6"/>
          <w:szCs w:val="21"/>
          <w:highlight w:val="none"/>
        </w:rPr>
        <w:t xml:space="preserve"> </w:t>
      </w:r>
      <w:r>
        <w:rPr>
          <w:rFonts w:hint="eastAsia" w:ascii="宋体" w:hAnsi="宋体" w:eastAsia="宋体" w:cs="宋体"/>
          <w:spacing w:val="6"/>
          <w:szCs w:val="21"/>
          <w:highlight w:val="none"/>
          <w:u w:val="single" w:color="000000"/>
        </w:rPr>
        <w:t xml:space="preserve">     </w:t>
      </w:r>
      <w:r>
        <w:rPr>
          <w:rFonts w:hint="eastAsia" w:ascii="宋体" w:hAnsi="宋体" w:eastAsia="宋体" w:cs="宋体"/>
          <w:spacing w:val="6"/>
          <w:szCs w:val="21"/>
          <w:highlight w:val="none"/>
        </w:rPr>
        <w:t>年</w:t>
      </w:r>
      <w:r>
        <w:rPr>
          <w:rFonts w:hint="eastAsia" w:ascii="宋体" w:hAnsi="宋体" w:eastAsia="宋体" w:cs="宋体"/>
          <w:spacing w:val="6"/>
          <w:szCs w:val="21"/>
          <w:highlight w:val="none"/>
          <w:u w:val="single" w:color="000000"/>
        </w:rPr>
        <w:t xml:space="preserve">    </w:t>
      </w:r>
      <w:r>
        <w:rPr>
          <w:rFonts w:hint="eastAsia" w:ascii="宋体" w:hAnsi="宋体" w:eastAsia="宋体" w:cs="宋体"/>
          <w:spacing w:val="6"/>
          <w:szCs w:val="21"/>
          <w:highlight w:val="none"/>
        </w:rPr>
        <w:t>月</w:t>
      </w:r>
      <w:r>
        <w:rPr>
          <w:rFonts w:hint="eastAsia" w:ascii="宋体" w:hAnsi="宋体" w:eastAsia="宋体" w:cs="宋体"/>
          <w:spacing w:val="6"/>
          <w:szCs w:val="21"/>
          <w:highlight w:val="none"/>
          <w:u w:val="single" w:color="000000"/>
        </w:rPr>
        <w:t xml:space="preserve"> </w:t>
      </w:r>
      <w:r>
        <w:rPr>
          <w:rFonts w:hint="eastAsia" w:ascii="宋体" w:hAnsi="宋体" w:eastAsia="宋体" w:cs="宋体"/>
          <w:spacing w:val="6"/>
          <w:szCs w:val="21"/>
          <w:highlight w:val="none"/>
          <w:u w:val="single" w:color="000000"/>
          <w:lang w:val="en-US"/>
        </w:rPr>
        <w:t xml:space="preserve">  </w:t>
      </w:r>
      <w:r>
        <w:rPr>
          <w:rFonts w:hint="eastAsia" w:ascii="宋体" w:hAnsi="宋体" w:eastAsia="宋体" w:cs="宋体"/>
          <w:spacing w:val="6"/>
          <w:szCs w:val="21"/>
          <w:highlight w:val="none"/>
          <w:u w:val="single" w:color="000000"/>
        </w:rPr>
        <w:t xml:space="preserve">  </w:t>
      </w:r>
      <w:r>
        <w:rPr>
          <w:rFonts w:hint="eastAsia" w:ascii="宋体" w:hAnsi="宋体" w:eastAsia="宋体" w:cs="宋体"/>
          <w:spacing w:val="6"/>
          <w:szCs w:val="21"/>
          <w:highlight w:val="none"/>
        </w:rPr>
        <w:t>日</w:t>
      </w:r>
    </w:p>
    <w:p w14:paraId="0CC384B8">
      <w:pPr>
        <w:rPr>
          <w:rFonts w:hint="eastAsia" w:ascii="宋体" w:hAnsi="宋体" w:eastAsia="宋体" w:cs="宋体"/>
          <w:spacing w:val="6"/>
          <w:szCs w:val="21"/>
          <w:highlight w:val="none"/>
        </w:rPr>
        <w:sectPr>
          <w:headerReference r:id="rId3" w:type="default"/>
          <w:footerReference r:id="rId4" w:type="default"/>
          <w:pgSz w:w="11906" w:h="16838"/>
          <w:pgMar w:top="1701" w:right="1417" w:bottom="1440" w:left="1417" w:header="680" w:footer="680" w:gutter="0"/>
          <w:cols w:space="720" w:num="1"/>
          <w:docGrid w:type="linesAndChars" w:linePitch="466" w:charSpace="-2298"/>
        </w:sectPr>
      </w:pPr>
      <w:r>
        <w:rPr>
          <w:rFonts w:hint="eastAsia" w:ascii="宋体" w:hAnsi="宋体" w:eastAsia="宋体" w:cs="宋体"/>
          <w:bCs/>
          <w:spacing w:val="6"/>
          <w:sz w:val="24"/>
          <w:szCs w:val="24"/>
          <w:highlight w:val="none"/>
        </w:rPr>
        <w:br w:type="page"/>
      </w:r>
    </w:p>
    <w:p w14:paraId="62569BB8">
      <w:pPr>
        <w:pStyle w:val="135"/>
        <w:spacing w:line="500" w:lineRule="exact"/>
        <w:jc w:val="center"/>
        <w:rPr>
          <w:rFonts w:hint="eastAsia" w:ascii="宋体" w:hAnsi="宋体" w:eastAsia="宋体" w:cs="宋体"/>
          <w:b/>
          <w:bCs w:val="0"/>
          <w:color w:val="auto"/>
          <w:spacing w:val="6"/>
          <w:sz w:val="24"/>
          <w:szCs w:val="21"/>
          <w:highlight w:val="none"/>
        </w:rPr>
      </w:pPr>
      <w:r>
        <w:rPr>
          <w:rFonts w:hint="eastAsia" w:ascii="宋体" w:hAnsi="宋体" w:eastAsia="宋体" w:cs="宋体"/>
          <w:b/>
          <w:bCs w:val="0"/>
          <w:color w:val="auto"/>
          <w:spacing w:val="6"/>
          <w:sz w:val="24"/>
          <w:szCs w:val="24"/>
          <w:highlight w:val="none"/>
        </w:rPr>
        <w:t>中小企业声明函（</w:t>
      </w:r>
      <w:r>
        <w:rPr>
          <w:rFonts w:hint="eastAsia" w:ascii="宋体" w:hAnsi="宋体" w:eastAsia="宋体" w:cs="宋体"/>
          <w:b/>
          <w:bCs w:val="0"/>
          <w:color w:val="auto"/>
          <w:spacing w:val="6"/>
          <w:sz w:val="24"/>
          <w:szCs w:val="24"/>
          <w:highlight w:val="none"/>
          <w:lang w:val="en-US" w:eastAsia="zh-CN"/>
        </w:rPr>
        <w:t>服务</w:t>
      </w:r>
      <w:r>
        <w:rPr>
          <w:rFonts w:hint="eastAsia" w:ascii="宋体" w:hAnsi="宋体" w:eastAsia="宋体" w:cs="宋体"/>
          <w:b/>
          <w:bCs w:val="0"/>
          <w:color w:val="auto"/>
          <w:spacing w:val="6"/>
          <w:sz w:val="24"/>
          <w:szCs w:val="24"/>
          <w:highlight w:val="none"/>
        </w:rPr>
        <w:t>）</w:t>
      </w:r>
    </w:p>
    <w:p w14:paraId="77FB5F57">
      <w:pPr>
        <w:pStyle w:val="135"/>
        <w:jc w:val="left"/>
        <w:rPr>
          <w:rFonts w:hint="eastAsia" w:ascii="宋体" w:hAnsi="宋体" w:eastAsia="宋体" w:cs="宋体"/>
          <w:color w:val="auto"/>
          <w:spacing w:val="6"/>
          <w:szCs w:val="21"/>
          <w:highlight w:val="none"/>
        </w:rPr>
      </w:pPr>
    </w:p>
    <w:p w14:paraId="4B0245A7">
      <w:pPr>
        <w:pStyle w:val="135"/>
        <w:spacing w:line="420" w:lineRule="atLeast"/>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本公司（联合体）郑重声明，根据《政府采购促进中小企业发展管理办法》（财库〔2020〕46号）的规定，本公司（联合体）参加</w:t>
      </w:r>
      <w:r>
        <w:rPr>
          <w:rFonts w:hint="eastAsia" w:ascii="宋体" w:hAnsi="宋体" w:eastAsia="宋体" w:cs="宋体"/>
          <w:color w:val="auto"/>
          <w:spacing w:val="6"/>
          <w:szCs w:val="21"/>
          <w:highlight w:val="none"/>
          <w:u w:val="single"/>
        </w:rPr>
        <w:t>（单位名称）</w:t>
      </w:r>
      <w:r>
        <w:rPr>
          <w:rFonts w:hint="eastAsia" w:ascii="宋体" w:hAnsi="宋体" w:eastAsia="宋体" w:cs="宋体"/>
          <w:color w:val="auto"/>
          <w:spacing w:val="6"/>
          <w:szCs w:val="21"/>
          <w:highlight w:val="none"/>
        </w:rPr>
        <w:t>的</w:t>
      </w:r>
      <w:r>
        <w:rPr>
          <w:rFonts w:hint="eastAsia" w:ascii="宋体" w:hAnsi="宋体" w:eastAsia="宋体" w:cs="宋体"/>
          <w:color w:val="auto"/>
          <w:spacing w:val="6"/>
          <w:szCs w:val="21"/>
          <w:highlight w:val="none"/>
          <w:u w:val="single"/>
        </w:rPr>
        <w:t>（项目名称）</w:t>
      </w:r>
      <w:r>
        <w:rPr>
          <w:rFonts w:hint="eastAsia" w:ascii="宋体" w:hAnsi="宋体" w:eastAsia="宋体" w:cs="宋体"/>
          <w:color w:val="auto"/>
          <w:spacing w:val="6"/>
          <w:szCs w:val="21"/>
          <w:highlight w:val="none"/>
        </w:rPr>
        <w:t>采购活动。提供的</w:t>
      </w:r>
      <w:r>
        <w:rPr>
          <w:rFonts w:hint="eastAsia" w:ascii="宋体" w:hAnsi="宋体" w:eastAsia="宋体" w:cs="宋体"/>
          <w:color w:val="auto"/>
          <w:spacing w:val="6"/>
          <w:szCs w:val="21"/>
          <w:highlight w:val="none"/>
          <w:lang w:val="en-US" w:eastAsia="zh-CN"/>
        </w:rPr>
        <w:t>服务</w:t>
      </w:r>
      <w:r>
        <w:rPr>
          <w:rFonts w:hint="eastAsia" w:ascii="宋体" w:hAnsi="宋体" w:eastAsia="宋体" w:cs="宋体"/>
          <w:color w:val="auto"/>
          <w:spacing w:val="6"/>
          <w:szCs w:val="21"/>
          <w:highlight w:val="none"/>
        </w:rPr>
        <w:t>全部由符合政策要求的中小企业</w:t>
      </w:r>
      <w:r>
        <w:rPr>
          <w:rFonts w:hint="eastAsia" w:ascii="宋体" w:hAnsi="宋体" w:eastAsia="宋体" w:cs="宋体"/>
          <w:color w:val="auto"/>
          <w:spacing w:val="6"/>
          <w:szCs w:val="21"/>
          <w:highlight w:val="none"/>
          <w:lang w:val="en-US" w:eastAsia="zh-CN"/>
        </w:rPr>
        <w:t>承接</w:t>
      </w:r>
      <w:r>
        <w:rPr>
          <w:rFonts w:hint="eastAsia" w:ascii="宋体" w:hAnsi="宋体" w:eastAsia="宋体" w:cs="宋体"/>
          <w:color w:val="auto"/>
          <w:spacing w:val="6"/>
          <w:szCs w:val="21"/>
          <w:highlight w:val="none"/>
        </w:rPr>
        <w:t>。相关企业（含联合体中的中小企业、签订分包意向协议的中小企业）的具体情况如下：</w:t>
      </w:r>
    </w:p>
    <w:p w14:paraId="7C08B4F7">
      <w:pPr>
        <w:pStyle w:val="135"/>
        <w:spacing w:line="420" w:lineRule="atLeast"/>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1. </w:t>
      </w:r>
      <w:r>
        <w:rPr>
          <w:rFonts w:hint="eastAsia" w:ascii="宋体" w:hAnsi="宋体" w:eastAsia="宋体" w:cs="宋体"/>
          <w:color w:val="auto"/>
          <w:spacing w:val="6"/>
          <w:szCs w:val="21"/>
          <w:highlight w:val="none"/>
          <w:u w:val="single"/>
        </w:rPr>
        <w:t>（标的名称）</w:t>
      </w:r>
      <w:r>
        <w:rPr>
          <w:rFonts w:hint="eastAsia" w:ascii="宋体" w:hAnsi="宋体" w:eastAsia="宋体" w:cs="宋体"/>
          <w:color w:val="auto"/>
          <w:spacing w:val="6"/>
          <w:szCs w:val="21"/>
          <w:highlight w:val="none"/>
        </w:rPr>
        <w:t>，属于</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u w:val="single"/>
          <w:lang w:eastAsia="zh-CN"/>
        </w:rPr>
        <w:t>（</w:t>
      </w:r>
      <w:r>
        <w:rPr>
          <w:rFonts w:hint="eastAsia" w:ascii="宋体" w:hAnsi="宋体" w:eastAsia="宋体" w:cs="宋体"/>
          <w:color w:val="auto"/>
          <w:spacing w:val="6"/>
          <w:szCs w:val="21"/>
          <w:highlight w:val="none"/>
          <w:u w:val="single"/>
          <w:lang w:val="en-US" w:eastAsia="zh-CN"/>
        </w:rPr>
        <w:t xml:space="preserve">   </w:t>
      </w:r>
      <w:r>
        <w:rPr>
          <w:rFonts w:hint="eastAsia" w:ascii="新宋体" w:hAnsi="新宋体" w:eastAsia="新宋体" w:cs="新宋体"/>
          <w:color w:val="000000"/>
          <w:spacing w:val="14"/>
          <w:sz w:val="24"/>
          <w:szCs w:val="21"/>
          <w:u w:val="single"/>
        </w:rPr>
        <w:t>）</w:t>
      </w:r>
      <w:r>
        <w:rPr>
          <w:rFonts w:hint="eastAsia" w:ascii="宋体" w:hAnsi="宋体" w:eastAsia="宋体" w:cs="宋体"/>
          <w:color w:val="auto"/>
          <w:spacing w:val="6"/>
          <w:szCs w:val="21"/>
          <w:highlight w:val="none"/>
        </w:rPr>
        <w:t>行业：承接企业为</w:t>
      </w:r>
      <w:r>
        <w:rPr>
          <w:rFonts w:hint="eastAsia" w:ascii="宋体" w:hAnsi="宋体" w:eastAsia="宋体" w:cs="宋体"/>
          <w:color w:val="auto"/>
          <w:spacing w:val="6"/>
          <w:szCs w:val="21"/>
          <w:highlight w:val="none"/>
          <w:u w:val="single"/>
        </w:rPr>
        <w:t xml:space="preserve">（企业名称）   </w:t>
      </w:r>
      <w:r>
        <w:rPr>
          <w:rFonts w:hint="eastAsia" w:ascii="宋体" w:hAnsi="宋体" w:eastAsia="宋体" w:cs="宋体"/>
          <w:color w:val="auto"/>
          <w:spacing w:val="6"/>
          <w:szCs w:val="21"/>
          <w:highlight w:val="none"/>
        </w:rPr>
        <w:t>，从业人员</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人，营业收入为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万元，资产总额为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万元，属于</w:t>
      </w:r>
      <w:r>
        <w:rPr>
          <w:rFonts w:hint="eastAsia" w:ascii="宋体" w:hAnsi="宋体" w:eastAsia="宋体" w:cs="宋体"/>
          <w:i/>
          <w:iCs/>
          <w:color w:val="auto"/>
          <w:spacing w:val="6"/>
          <w:szCs w:val="21"/>
          <w:highlight w:val="none"/>
          <w:u w:val="single"/>
        </w:rPr>
        <w:t>（中型企业、小型企业、微型企业）</w:t>
      </w:r>
      <w:r>
        <w:rPr>
          <w:rFonts w:hint="eastAsia" w:ascii="宋体" w:hAnsi="宋体" w:eastAsia="宋体" w:cs="宋体"/>
          <w:color w:val="auto"/>
          <w:spacing w:val="6"/>
          <w:szCs w:val="21"/>
          <w:highlight w:val="none"/>
        </w:rPr>
        <w:t>；</w:t>
      </w:r>
    </w:p>
    <w:p w14:paraId="7B1A59AE">
      <w:pPr>
        <w:pStyle w:val="174"/>
        <w:spacing w:line="500" w:lineRule="exact"/>
        <w:jc w:val="left"/>
        <w:rPr>
          <w:rFonts w:hint="eastAsia" w:ascii="新宋体" w:hAnsi="新宋体" w:eastAsia="新宋体" w:cs="新宋体"/>
          <w:color w:val="000000"/>
          <w:spacing w:val="14"/>
          <w:sz w:val="21"/>
          <w:szCs w:val="21"/>
        </w:rPr>
      </w:pPr>
      <w:r>
        <w:rPr>
          <w:rFonts w:hint="eastAsia" w:ascii="新宋体" w:hAnsi="新宋体" w:eastAsia="新宋体" w:cs="新宋体"/>
          <w:color w:val="000000"/>
          <w:spacing w:val="14"/>
          <w:sz w:val="21"/>
          <w:szCs w:val="21"/>
        </w:rPr>
        <w:t>2、</w:t>
      </w:r>
      <w:r>
        <w:rPr>
          <w:rFonts w:hint="eastAsia" w:ascii="新宋体" w:hAnsi="新宋体" w:eastAsia="新宋体" w:cs="新宋体"/>
          <w:color w:val="000000"/>
          <w:spacing w:val="14"/>
          <w:sz w:val="21"/>
          <w:szCs w:val="21"/>
          <w:u w:val="single"/>
        </w:rPr>
        <w:t>（标的名称）</w:t>
      </w:r>
      <w:r>
        <w:rPr>
          <w:rFonts w:hint="eastAsia" w:ascii="新宋体" w:hAnsi="新宋体" w:eastAsia="新宋体" w:cs="新宋体"/>
          <w:color w:val="000000"/>
          <w:spacing w:val="14"/>
          <w:sz w:val="21"/>
          <w:szCs w:val="21"/>
        </w:rPr>
        <w:t>，属于</w:t>
      </w:r>
      <w:r>
        <w:rPr>
          <w:rFonts w:hint="eastAsia" w:ascii="新宋体" w:hAnsi="新宋体" w:eastAsia="新宋体" w:cs="新宋体"/>
          <w:color w:val="000000"/>
          <w:spacing w:val="14"/>
          <w:sz w:val="21"/>
          <w:szCs w:val="21"/>
          <w:u w:val="single"/>
        </w:rPr>
        <w:t>（</w:t>
      </w:r>
      <w:r>
        <w:rPr>
          <w:rFonts w:hint="eastAsia" w:ascii="宋体" w:hAnsi="宋体" w:eastAsia="宋体" w:cs="宋体"/>
          <w:color w:val="auto"/>
          <w:spacing w:val="6"/>
          <w:szCs w:val="21"/>
          <w:highlight w:val="none"/>
          <w:u w:val="single"/>
          <w:lang w:val="en-US" w:eastAsia="zh-CN"/>
        </w:rPr>
        <w:t xml:space="preserve">   </w:t>
      </w:r>
      <w:r>
        <w:rPr>
          <w:rFonts w:hint="eastAsia" w:ascii="新宋体" w:hAnsi="新宋体" w:eastAsia="新宋体" w:cs="新宋体"/>
          <w:color w:val="000000"/>
          <w:spacing w:val="14"/>
          <w:sz w:val="21"/>
          <w:szCs w:val="21"/>
          <w:u w:val="single"/>
        </w:rPr>
        <w:t>）</w:t>
      </w:r>
      <w:r>
        <w:rPr>
          <w:rFonts w:hint="eastAsia" w:ascii="新宋体" w:hAnsi="新宋体" w:eastAsia="新宋体" w:cs="新宋体"/>
          <w:color w:val="000000"/>
          <w:spacing w:val="14"/>
          <w:sz w:val="21"/>
          <w:szCs w:val="21"/>
        </w:rPr>
        <w:t>行业：承接企业为</w:t>
      </w:r>
      <w:r>
        <w:rPr>
          <w:rFonts w:hint="eastAsia" w:ascii="新宋体" w:hAnsi="新宋体" w:eastAsia="新宋体" w:cs="新宋体"/>
          <w:color w:val="000000"/>
          <w:spacing w:val="14"/>
          <w:sz w:val="21"/>
          <w:szCs w:val="21"/>
          <w:u w:val="single"/>
        </w:rPr>
        <w:t>（企业名称）</w:t>
      </w:r>
      <w:r>
        <w:rPr>
          <w:rFonts w:hint="eastAsia" w:ascii="新宋体" w:hAnsi="新宋体" w:eastAsia="新宋体" w:cs="新宋体"/>
          <w:color w:val="000000"/>
          <w:spacing w:val="14"/>
          <w:sz w:val="21"/>
          <w:szCs w:val="21"/>
        </w:rPr>
        <w:t>，从业人员</w:t>
      </w:r>
      <w:r>
        <w:rPr>
          <w:rFonts w:hint="eastAsia" w:ascii="新宋体" w:hAnsi="新宋体" w:eastAsia="新宋体" w:cs="新宋体"/>
          <w:color w:val="000000"/>
          <w:spacing w:val="14"/>
          <w:sz w:val="21"/>
          <w:szCs w:val="21"/>
          <w:u w:val="single"/>
        </w:rPr>
        <w:t xml:space="preserve">  人</w:t>
      </w:r>
      <w:r>
        <w:rPr>
          <w:rFonts w:hint="eastAsia" w:ascii="新宋体" w:hAnsi="新宋体" w:eastAsia="新宋体" w:cs="新宋体"/>
          <w:color w:val="000000"/>
          <w:spacing w:val="14"/>
          <w:sz w:val="21"/>
          <w:szCs w:val="21"/>
        </w:rPr>
        <w:t>，营业收入为</w:t>
      </w:r>
      <w:r>
        <w:rPr>
          <w:rFonts w:hint="eastAsia" w:ascii="新宋体" w:hAnsi="新宋体" w:eastAsia="新宋体" w:cs="新宋体"/>
          <w:color w:val="000000"/>
          <w:spacing w:val="14"/>
          <w:sz w:val="21"/>
          <w:szCs w:val="21"/>
          <w:u w:val="single"/>
        </w:rPr>
        <w:t xml:space="preserve">    万元</w:t>
      </w:r>
      <w:r>
        <w:rPr>
          <w:rFonts w:hint="eastAsia" w:ascii="新宋体" w:hAnsi="新宋体" w:eastAsia="新宋体" w:cs="新宋体"/>
          <w:color w:val="000000"/>
          <w:spacing w:val="14"/>
          <w:sz w:val="21"/>
          <w:szCs w:val="21"/>
        </w:rPr>
        <w:t>，资产总额为</w:t>
      </w:r>
      <w:r>
        <w:rPr>
          <w:rFonts w:hint="eastAsia" w:ascii="新宋体" w:hAnsi="新宋体" w:eastAsia="新宋体" w:cs="新宋体"/>
          <w:color w:val="000000"/>
          <w:spacing w:val="14"/>
          <w:sz w:val="21"/>
          <w:szCs w:val="21"/>
          <w:u w:val="single"/>
        </w:rPr>
        <w:t xml:space="preserve">     万元</w:t>
      </w:r>
      <w:r>
        <w:rPr>
          <w:rFonts w:hint="eastAsia" w:ascii="新宋体" w:hAnsi="新宋体" w:eastAsia="新宋体" w:cs="新宋体"/>
          <w:color w:val="000000"/>
          <w:spacing w:val="14"/>
          <w:sz w:val="21"/>
          <w:szCs w:val="21"/>
        </w:rPr>
        <w:t>，属于</w:t>
      </w:r>
      <w:r>
        <w:rPr>
          <w:rFonts w:hint="eastAsia" w:ascii="新宋体" w:hAnsi="新宋体" w:eastAsia="新宋体" w:cs="新宋体"/>
          <w:color w:val="000000"/>
          <w:spacing w:val="14"/>
          <w:sz w:val="21"/>
          <w:szCs w:val="21"/>
          <w:u w:val="single"/>
        </w:rPr>
        <w:t>（中型企业、小型企业、微型企业）</w:t>
      </w:r>
      <w:r>
        <w:rPr>
          <w:rFonts w:hint="eastAsia" w:ascii="新宋体" w:hAnsi="新宋体" w:eastAsia="新宋体" w:cs="新宋体"/>
          <w:color w:val="000000"/>
          <w:spacing w:val="14"/>
          <w:sz w:val="21"/>
          <w:szCs w:val="21"/>
        </w:rPr>
        <w:t>；</w:t>
      </w:r>
    </w:p>
    <w:p w14:paraId="6CAE8366">
      <w:pPr>
        <w:pStyle w:val="135"/>
        <w:spacing w:line="420" w:lineRule="atLeast"/>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以上企业，不属于大企业的分支机构，不存在控股股东为大企业的情形，也不存在与大企业的负责人为同一人的情形。</w:t>
      </w:r>
    </w:p>
    <w:p w14:paraId="76AFA1CE">
      <w:pPr>
        <w:pStyle w:val="135"/>
        <w:spacing w:line="420" w:lineRule="atLeast"/>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本企业对上述声明内容的真实性负责。如有虚假，将依法承担相应责任。</w:t>
      </w:r>
    </w:p>
    <w:p w14:paraId="0539424E">
      <w:pPr>
        <w:pStyle w:val="135"/>
        <w:spacing w:line="420" w:lineRule="atLeast"/>
        <w:jc w:val="left"/>
        <w:rPr>
          <w:rFonts w:hint="eastAsia" w:ascii="宋体" w:hAnsi="宋体" w:eastAsia="宋体" w:cs="宋体"/>
          <w:color w:val="auto"/>
          <w:spacing w:val="6"/>
          <w:szCs w:val="21"/>
          <w:highlight w:val="none"/>
        </w:rPr>
      </w:pPr>
    </w:p>
    <w:p w14:paraId="46AD0AFE">
      <w:pPr>
        <w:pStyle w:val="110"/>
        <w:spacing w:line="420" w:lineRule="atLeast"/>
        <w:ind w:firstLine="4009" w:firstLineChars="19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投标人：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（盖单位章）</w:t>
      </w:r>
    </w:p>
    <w:p w14:paraId="226E69B1">
      <w:pPr>
        <w:pStyle w:val="110"/>
        <w:spacing w:line="420" w:lineRule="atLeast"/>
        <w:ind w:firstLine="4009" w:firstLineChars="1900"/>
        <w:rPr>
          <w:rStyle w:val="152"/>
          <w:rFonts w:hint="eastAsia" w:ascii="宋体" w:hAnsi="宋体" w:eastAsia="宋体" w:cs="宋体"/>
          <w:b w:val="0"/>
          <w:bCs w:val="0"/>
          <w:color w:val="auto"/>
          <w:spacing w:val="6"/>
          <w:szCs w:val="21"/>
          <w:highlight w:val="none"/>
        </w:rPr>
      </w:pPr>
      <w:r>
        <w:rPr>
          <w:rFonts w:hint="eastAsia" w:ascii="宋体" w:hAnsi="宋体" w:eastAsia="宋体" w:cs="宋体"/>
          <w:color w:val="auto"/>
          <w:spacing w:val="6"/>
          <w:szCs w:val="21"/>
          <w:highlight w:val="none"/>
        </w:rPr>
        <w:t xml:space="preserve">       年    月    日</w:t>
      </w:r>
    </w:p>
    <w:p w14:paraId="3C3F40A4">
      <w:pPr>
        <w:pStyle w:val="135"/>
        <w:jc w:val="left"/>
        <w:rPr>
          <w:rFonts w:hint="eastAsia" w:ascii="宋体" w:hAnsi="宋体" w:eastAsia="宋体" w:cs="宋体"/>
          <w:color w:val="auto"/>
          <w:spacing w:val="6"/>
          <w:szCs w:val="21"/>
          <w:highlight w:val="none"/>
        </w:rPr>
      </w:pPr>
    </w:p>
    <w:p w14:paraId="60144899">
      <w:pPr>
        <w:pStyle w:val="135"/>
        <w:jc w:val="left"/>
        <w:rPr>
          <w:rFonts w:hint="eastAsia" w:ascii="宋体" w:hAnsi="宋体" w:eastAsia="宋体" w:cs="宋体"/>
          <w:color w:val="auto"/>
          <w:spacing w:val="6"/>
          <w:szCs w:val="21"/>
          <w:highlight w:val="none"/>
        </w:rPr>
      </w:pPr>
    </w:p>
    <w:p w14:paraId="7EF84BA1">
      <w:pPr>
        <w:pStyle w:val="135"/>
        <w:spacing w:line="420" w:lineRule="exact"/>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注：</w:t>
      </w:r>
    </w:p>
    <w:p w14:paraId="5415ECFC">
      <w:pPr>
        <w:pStyle w:val="135"/>
        <w:spacing w:line="420" w:lineRule="exact"/>
        <w:ind w:firstLine="422"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 从业人员、营业收入、资产总额填报上一年度数据，无上一年度数据的新成立企业可不填报。</w:t>
      </w:r>
    </w:p>
    <w:p w14:paraId="0C150039">
      <w:pPr>
        <w:pStyle w:val="136"/>
        <w:ind w:firstLine="422"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 中小企业划分标准见工业和信息化部国家统计局国家发展和改革委员财政部《关于印发中小企业划型标准规定的通知》（工信部联企业〔2011〕300 号)。</w:t>
      </w:r>
    </w:p>
    <w:p w14:paraId="0D18947C">
      <w:pPr>
        <w:pStyle w:val="137"/>
        <w:jc w:val="center"/>
        <w:outlineLvl w:val="9"/>
        <w:rPr>
          <w:rFonts w:hint="eastAsia" w:ascii="宋体" w:hAnsi="宋体" w:eastAsia="宋体" w:cs="宋体"/>
          <w:b/>
          <w:bCs w:val="0"/>
          <w:color w:val="auto"/>
          <w:spacing w:val="6"/>
          <w:sz w:val="28"/>
          <w:szCs w:val="28"/>
          <w:highlight w:val="none"/>
        </w:rPr>
      </w:pPr>
      <w:r>
        <w:rPr>
          <w:rFonts w:hint="eastAsia" w:ascii="宋体" w:hAnsi="宋体" w:eastAsia="宋体" w:cs="宋体"/>
          <w:color w:val="auto"/>
          <w:spacing w:val="6"/>
          <w:highlight w:val="none"/>
        </w:rPr>
        <w:br w:type="page"/>
      </w:r>
      <w:r>
        <w:rPr>
          <w:rFonts w:hint="eastAsia" w:ascii="宋体" w:hAnsi="宋体" w:eastAsia="宋体" w:cs="宋体"/>
          <w:b/>
          <w:bCs w:val="0"/>
          <w:color w:val="auto"/>
          <w:spacing w:val="6"/>
          <w:kern w:val="0"/>
          <w:sz w:val="24"/>
          <w:szCs w:val="24"/>
          <w:highlight w:val="none"/>
        </w:rPr>
        <w:t>残疾人福利性单位声明函</w:t>
      </w:r>
    </w:p>
    <w:p w14:paraId="0AE5FB0E">
      <w:pPr>
        <w:pStyle w:val="138"/>
        <w:spacing w:line="500" w:lineRule="exact"/>
        <w:ind w:firstLine="422" w:firstLineChars="200"/>
        <w:rPr>
          <w:rFonts w:hint="eastAsia" w:ascii="宋体" w:hAnsi="宋体" w:eastAsia="宋体" w:cs="宋体"/>
          <w:color w:val="auto"/>
          <w:spacing w:val="6"/>
          <w:szCs w:val="21"/>
          <w:highlight w:val="none"/>
        </w:rPr>
      </w:pPr>
    </w:p>
    <w:p w14:paraId="400973C4">
      <w:pPr>
        <w:pStyle w:val="138"/>
        <w:spacing w:line="420" w:lineRule="exact"/>
        <w:ind w:firstLine="422"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民政部、中国残疾人联合会《关于促进残疾人就业政府采购政策的通知》（财库〔2017〕141号）的规定，本单位为符合条件的残疾人福利性单位，且本单位参加______单位的_______________项目采购活动提供本单位制造的货物，或者提供其他残疾人福利性单位制造的货物（不包括使用非残疾人福利性单位注册商标的货物）。</w:t>
      </w:r>
    </w:p>
    <w:p w14:paraId="5C929D5C">
      <w:pPr>
        <w:pStyle w:val="138"/>
        <w:spacing w:line="420" w:lineRule="exact"/>
        <w:ind w:firstLine="42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545ABCEB">
      <w:pPr>
        <w:pStyle w:val="138"/>
        <w:spacing w:line="420" w:lineRule="exact"/>
        <w:rPr>
          <w:rFonts w:hint="eastAsia" w:ascii="宋体" w:hAnsi="宋体" w:eastAsia="宋体" w:cs="宋体"/>
          <w:color w:val="auto"/>
          <w:spacing w:val="6"/>
          <w:szCs w:val="21"/>
          <w:highlight w:val="none"/>
        </w:rPr>
      </w:pPr>
    </w:p>
    <w:p w14:paraId="0F744BC0">
      <w:pPr>
        <w:pStyle w:val="110"/>
        <w:spacing w:line="420" w:lineRule="exact"/>
        <w:ind w:firstLine="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投标人：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（盖单位章）</w:t>
      </w:r>
    </w:p>
    <w:p w14:paraId="36E8D224">
      <w:pPr>
        <w:pStyle w:val="110"/>
        <w:spacing w:line="420" w:lineRule="exact"/>
        <w:ind w:firstLine="4009" w:firstLineChars="1900"/>
        <w:rPr>
          <w:rStyle w:val="152"/>
          <w:rFonts w:hint="eastAsia" w:ascii="宋体" w:hAnsi="宋体" w:eastAsia="宋体" w:cs="宋体"/>
          <w:b w:val="0"/>
          <w:bCs w:val="0"/>
          <w:color w:val="auto"/>
          <w:spacing w:val="6"/>
          <w:szCs w:val="21"/>
          <w:highlight w:val="none"/>
        </w:rPr>
      </w:pPr>
      <w:r>
        <w:rPr>
          <w:rFonts w:hint="eastAsia" w:ascii="宋体" w:hAnsi="宋体" w:eastAsia="宋体" w:cs="宋体"/>
          <w:color w:val="auto"/>
          <w:spacing w:val="6"/>
          <w:szCs w:val="21"/>
          <w:highlight w:val="none"/>
        </w:rPr>
        <w:t xml:space="preserve">                  年     月     日</w:t>
      </w:r>
    </w:p>
    <w:p w14:paraId="3AA84E51">
      <w:pPr>
        <w:pStyle w:val="138"/>
        <w:spacing w:line="500" w:lineRule="exact"/>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br w:type="page"/>
      </w:r>
    </w:p>
    <w:p w14:paraId="3C3B8078">
      <w:pPr>
        <w:pStyle w:val="99"/>
        <w:spacing w:line="500" w:lineRule="exact"/>
        <w:jc w:val="center"/>
        <w:rPr>
          <w:rFonts w:hint="eastAsia" w:ascii="宋体" w:hAnsi="宋体" w:eastAsia="宋体" w:cs="宋体"/>
          <w:b/>
          <w:bCs w:val="0"/>
          <w:color w:val="auto"/>
          <w:spacing w:val="6"/>
          <w:szCs w:val="21"/>
          <w:highlight w:val="none"/>
        </w:rPr>
      </w:pPr>
      <w:r>
        <w:rPr>
          <w:rFonts w:hint="eastAsia" w:ascii="宋体" w:hAnsi="宋体" w:eastAsia="宋体" w:cs="宋体"/>
          <w:b/>
          <w:bCs w:val="0"/>
          <w:color w:val="auto"/>
          <w:spacing w:val="6"/>
          <w:kern w:val="0"/>
          <w:sz w:val="24"/>
          <w:szCs w:val="24"/>
          <w:highlight w:val="none"/>
        </w:rPr>
        <w:t>监狱企业证明文件</w:t>
      </w:r>
    </w:p>
    <w:p w14:paraId="01BE9477">
      <w:pPr>
        <w:pStyle w:val="99"/>
        <w:spacing w:line="500" w:lineRule="exact"/>
        <w:ind w:firstLine="420"/>
        <w:rPr>
          <w:rFonts w:hint="eastAsia" w:ascii="宋体" w:hAnsi="宋体" w:eastAsia="宋体" w:cs="宋体"/>
          <w:color w:val="auto"/>
          <w:spacing w:val="6"/>
          <w:szCs w:val="21"/>
          <w:highlight w:val="none"/>
        </w:rPr>
      </w:pPr>
    </w:p>
    <w:p w14:paraId="45AF6E7D">
      <w:pPr>
        <w:pStyle w:val="99"/>
        <w:spacing w:line="420" w:lineRule="exact"/>
        <w:ind w:firstLine="42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监狱企业参加政府采购活动时，应当提供由省级以上监狱管理局、戒毒管理局(含新疆生产建设兵团)出具的属于监狱企业的证明文件。</w:t>
      </w:r>
    </w:p>
    <w:p w14:paraId="02630D35">
      <w:pPr>
        <w:pStyle w:val="110"/>
        <w:rPr>
          <w:rFonts w:hint="eastAsia" w:ascii="宋体" w:hAnsi="宋体" w:eastAsia="宋体" w:cs="宋体"/>
          <w:color w:val="auto"/>
          <w:spacing w:val="6"/>
          <w:szCs w:val="21"/>
          <w:highlight w:val="none"/>
        </w:rPr>
        <w:sectPr>
          <w:pgSz w:w="11906" w:h="16838"/>
          <w:pgMar w:top="1701" w:right="1417" w:bottom="1440" w:left="1417" w:header="680" w:footer="680" w:gutter="0"/>
          <w:pgNumType w:fmt="decimal"/>
          <w:cols w:space="720" w:num="1"/>
          <w:docGrid w:type="linesAndChars" w:linePitch="466" w:charSpace="-2298"/>
        </w:sectPr>
      </w:pPr>
      <w:r>
        <w:rPr>
          <w:rFonts w:hint="eastAsia" w:ascii="宋体" w:hAnsi="宋体" w:eastAsia="宋体" w:cs="宋体"/>
          <w:color w:val="auto"/>
          <w:spacing w:val="6"/>
          <w:szCs w:val="21"/>
          <w:highlight w:val="none"/>
        </w:rPr>
        <w:t>注：在投标文件中附扫描件。</w:t>
      </w:r>
    </w:p>
    <w:p w14:paraId="101AEC46">
      <w:pPr>
        <w:pStyle w:val="3"/>
        <w:outlineLvl w:val="1"/>
        <w:rPr>
          <w:rFonts w:hint="eastAsia" w:ascii="宋体" w:hAnsi="宋体" w:eastAsia="宋体" w:cs="宋体"/>
          <w:b w:val="0"/>
          <w:bCs w:val="0"/>
          <w:color w:val="auto"/>
          <w:spacing w:val="6"/>
          <w:sz w:val="28"/>
          <w:szCs w:val="28"/>
          <w:highlight w:val="none"/>
          <w:lang w:val="en-US" w:eastAsia="zh-CN"/>
        </w:rPr>
      </w:pPr>
      <w:bookmarkStart w:id="573" w:name="_Toc28252"/>
      <w:bookmarkStart w:id="574" w:name="_Toc18325"/>
      <w:bookmarkStart w:id="575" w:name="_Toc7995"/>
      <w:bookmarkStart w:id="576" w:name="_Toc4357"/>
      <w:bookmarkStart w:id="577" w:name="_Toc20444"/>
      <w:r>
        <w:rPr>
          <w:rFonts w:hint="eastAsia" w:ascii="宋体" w:hAnsi="宋体" w:eastAsia="宋体" w:cs="宋体"/>
          <w:b w:val="0"/>
          <w:bCs w:val="0"/>
          <w:color w:val="auto"/>
          <w:spacing w:val="6"/>
          <w:sz w:val="28"/>
          <w:szCs w:val="28"/>
          <w:highlight w:val="none"/>
          <w:lang w:val="en-US" w:eastAsia="zh-CN"/>
        </w:rPr>
        <w:t>七、商务要求响应与偏差表</w:t>
      </w:r>
      <w:bookmarkEnd w:id="573"/>
      <w:bookmarkEnd w:id="574"/>
      <w:bookmarkEnd w:id="575"/>
      <w:bookmarkEnd w:id="576"/>
    </w:p>
    <w:bookmarkEnd w:id="577"/>
    <w:p w14:paraId="38748E67">
      <w:pPr>
        <w:jc w:val="center"/>
        <w:outlineLvl w:val="9"/>
        <w:rPr>
          <w:rFonts w:hint="eastAsia" w:ascii="宋体" w:hAnsi="宋体" w:eastAsia="宋体" w:cs="宋体"/>
          <w:b/>
          <w:bCs/>
          <w:color w:val="auto"/>
          <w:spacing w:val="6"/>
          <w:sz w:val="24"/>
          <w:szCs w:val="24"/>
          <w:highlight w:val="none"/>
          <w:lang w:val="zh-CN"/>
        </w:rPr>
      </w:pPr>
      <w:r>
        <w:rPr>
          <w:rFonts w:hint="eastAsia" w:ascii="宋体" w:hAnsi="宋体" w:eastAsia="宋体" w:cs="宋体"/>
          <w:b/>
          <w:bCs/>
          <w:color w:val="auto"/>
          <w:spacing w:val="6"/>
          <w:sz w:val="24"/>
          <w:szCs w:val="24"/>
          <w:highlight w:val="none"/>
          <w:lang w:val="zh-CN"/>
        </w:rPr>
        <w:t>商务要求响应与偏差表</w:t>
      </w:r>
    </w:p>
    <w:tbl>
      <w:tblPr>
        <w:tblStyle w:val="26"/>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3202"/>
        <w:gridCol w:w="2957"/>
        <w:gridCol w:w="2042"/>
      </w:tblGrid>
      <w:tr w14:paraId="323A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501A115E">
            <w:pPr>
              <w:pStyle w:val="22"/>
              <w:keepNext w:val="0"/>
              <w:keepLines w:val="0"/>
              <w:widowControl/>
              <w:suppressLineNumbers w:val="0"/>
              <w:spacing w:before="0" w:beforeAutospacing="0" w:after="0" w:afterAutospacing="0"/>
              <w:ind w:left="0" w:right="0"/>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bidi="ar"/>
              </w:rPr>
              <w:t>序号</w:t>
            </w: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14:paraId="6C096422">
            <w:pPr>
              <w:pStyle w:val="22"/>
              <w:keepNext w:val="0"/>
              <w:keepLines w:val="0"/>
              <w:widowControl/>
              <w:suppressLineNumbers w:val="0"/>
              <w:spacing w:before="0" w:beforeAutospacing="0" w:after="0" w:afterAutospacing="0"/>
              <w:ind w:left="0" w:right="0"/>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bidi="ar"/>
              </w:rPr>
              <w:t>招标文件商务要求</w:t>
            </w:r>
          </w:p>
        </w:tc>
        <w:tc>
          <w:tcPr>
            <w:tcW w:w="2957" w:type="dxa"/>
            <w:tcBorders>
              <w:top w:val="single" w:color="auto" w:sz="4" w:space="0"/>
              <w:left w:val="single" w:color="auto" w:sz="4" w:space="0"/>
              <w:bottom w:val="single" w:color="auto" w:sz="4" w:space="0"/>
              <w:right w:val="single" w:color="auto" w:sz="4" w:space="0"/>
            </w:tcBorders>
            <w:shd w:val="clear" w:color="auto" w:fill="auto"/>
            <w:vAlign w:val="center"/>
          </w:tcPr>
          <w:p w14:paraId="56AC974F">
            <w:pPr>
              <w:pStyle w:val="22"/>
              <w:keepNext w:val="0"/>
              <w:keepLines w:val="0"/>
              <w:widowControl/>
              <w:suppressLineNumbers w:val="0"/>
              <w:spacing w:before="0" w:beforeAutospacing="0" w:after="0" w:afterAutospacing="0"/>
              <w:ind w:left="0" w:right="0"/>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bidi="ar"/>
              </w:rPr>
              <w:t>投标人响应具体内容</w:t>
            </w:r>
          </w:p>
        </w:tc>
        <w:tc>
          <w:tcPr>
            <w:tcW w:w="2042" w:type="dxa"/>
            <w:tcBorders>
              <w:top w:val="single" w:color="auto" w:sz="4" w:space="0"/>
              <w:left w:val="single" w:color="auto" w:sz="4" w:space="0"/>
              <w:bottom w:val="single" w:color="auto" w:sz="4" w:space="0"/>
              <w:right w:val="single" w:color="auto" w:sz="4" w:space="0"/>
            </w:tcBorders>
            <w:shd w:val="clear" w:color="auto" w:fill="auto"/>
            <w:vAlign w:val="center"/>
          </w:tcPr>
          <w:p w14:paraId="5D16EF70">
            <w:pPr>
              <w:pStyle w:val="22"/>
              <w:keepNext w:val="0"/>
              <w:keepLines w:val="0"/>
              <w:widowControl/>
              <w:suppressLineNumbers w:val="0"/>
              <w:spacing w:before="0" w:beforeAutospacing="0" w:after="0" w:afterAutospacing="0"/>
              <w:ind w:left="0" w:right="0"/>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bidi="ar"/>
              </w:rPr>
              <w:t>偏差说明</w:t>
            </w:r>
          </w:p>
        </w:tc>
      </w:tr>
      <w:tr w14:paraId="52B6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6B99C37E">
            <w:pPr>
              <w:pStyle w:val="22"/>
              <w:keepNext w:val="0"/>
              <w:keepLines w:val="0"/>
              <w:widowControl/>
              <w:suppressLineNumbers w:val="0"/>
              <w:spacing w:before="0" w:beforeAutospacing="0" w:after="0" w:afterAutospacing="0"/>
              <w:ind w:left="0" w:right="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w:t>
            </w: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14:paraId="0765B664">
            <w:pPr>
              <w:pStyle w:val="110"/>
              <w:keepNext w:val="0"/>
              <w:keepLines w:val="0"/>
              <w:suppressLineNumbers w:val="0"/>
              <w:spacing w:before="0" w:beforeAutospacing="0" w:after="0" w:afterAutospacing="0"/>
              <w:ind w:left="0" w:right="0" w:firstLine="0"/>
              <w:jc w:val="center"/>
              <w:rPr>
                <w:rFonts w:hint="default"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t>项目工期</w:t>
            </w:r>
          </w:p>
        </w:tc>
        <w:tc>
          <w:tcPr>
            <w:tcW w:w="2957" w:type="dxa"/>
            <w:tcBorders>
              <w:top w:val="single" w:color="auto" w:sz="4" w:space="0"/>
              <w:left w:val="single" w:color="auto" w:sz="4" w:space="0"/>
              <w:bottom w:val="single" w:color="auto" w:sz="4" w:space="0"/>
              <w:right w:val="single" w:color="auto" w:sz="4" w:space="0"/>
            </w:tcBorders>
            <w:shd w:val="clear" w:color="auto" w:fill="auto"/>
            <w:vAlign w:val="center"/>
          </w:tcPr>
          <w:p w14:paraId="1044CA50">
            <w:pPr>
              <w:pStyle w:val="22"/>
              <w:keepNext w:val="0"/>
              <w:keepLines w:val="0"/>
              <w:widowControl/>
              <w:suppressLineNumbers w:val="0"/>
              <w:spacing w:before="0" w:beforeAutospacing="0" w:after="0" w:afterAutospacing="0"/>
              <w:ind w:left="0" w:right="0"/>
              <w:rPr>
                <w:rFonts w:hint="eastAsia" w:ascii="宋体" w:hAnsi="宋体" w:eastAsia="宋体" w:cs="宋体"/>
                <w:color w:val="auto"/>
                <w:spacing w:val="6"/>
                <w:szCs w:val="21"/>
                <w:highlight w:val="none"/>
              </w:rPr>
            </w:pPr>
          </w:p>
        </w:tc>
        <w:tc>
          <w:tcPr>
            <w:tcW w:w="2042" w:type="dxa"/>
            <w:tcBorders>
              <w:top w:val="single" w:color="auto" w:sz="4" w:space="0"/>
              <w:left w:val="single" w:color="auto" w:sz="4" w:space="0"/>
              <w:bottom w:val="single" w:color="auto" w:sz="4" w:space="0"/>
              <w:right w:val="single" w:color="auto" w:sz="4" w:space="0"/>
            </w:tcBorders>
            <w:shd w:val="clear" w:color="auto" w:fill="auto"/>
            <w:vAlign w:val="center"/>
          </w:tcPr>
          <w:p w14:paraId="3FE58DE5">
            <w:pPr>
              <w:pStyle w:val="22"/>
              <w:keepNext w:val="0"/>
              <w:keepLines w:val="0"/>
              <w:widowControl/>
              <w:suppressLineNumbers w:val="0"/>
              <w:spacing w:before="0" w:beforeAutospacing="0" w:after="0" w:afterAutospacing="0"/>
              <w:ind w:left="0" w:right="0"/>
              <w:rPr>
                <w:rFonts w:hint="eastAsia" w:ascii="宋体" w:hAnsi="宋体" w:eastAsia="宋体" w:cs="宋体"/>
                <w:color w:val="auto"/>
                <w:spacing w:val="6"/>
                <w:szCs w:val="21"/>
                <w:highlight w:val="none"/>
              </w:rPr>
            </w:pPr>
          </w:p>
        </w:tc>
      </w:tr>
      <w:tr w14:paraId="1E85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40E0C27E">
            <w:pPr>
              <w:pStyle w:val="22"/>
              <w:keepNext w:val="0"/>
              <w:keepLines w:val="0"/>
              <w:widowControl/>
              <w:suppressLineNumbers w:val="0"/>
              <w:spacing w:before="0" w:beforeAutospacing="0" w:after="0" w:afterAutospacing="0"/>
              <w:ind w:left="0" w:right="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w:t>
            </w: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14:paraId="7971329C">
            <w:pPr>
              <w:pStyle w:val="110"/>
              <w:keepNext w:val="0"/>
              <w:keepLines w:val="0"/>
              <w:suppressLineNumbers w:val="0"/>
              <w:spacing w:before="0" w:beforeAutospacing="0" w:after="0" w:afterAutospacing="0"/>
              <w:ind w:left="0" w:right="0"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eastAsia="zh-CN"/>
              </w:rPr>
              <w:t>项目</w:t>
            </w:r>
            <w:r>
              <w:rPr>
                <w:rFonts w:hint="eastAsia" w:ascii="宋体" w:hAnsi="宋体" w:eastAsia="宋体" w:cs="宋体"/>
                <w:color w:val="auto"/>
                <w:spacing w:val="6"/>
                <w:szCs w:val="21"/>
                <w:highlight w:val="none"/>
              </w:rPr>
              <w:t>地点</w:t>
            </w:r>
          </w:p>
        </w:tc>
        <w:tc>
          <w:tcPr>
            <w:tcW w:w="2957" w:type="dxa"/>
            <w:tcBorders>
              <w:top w:val="single" w:color="auto" w:sz="4" w:space="0"/>
              <w:left w:val="single" w:color="auto" w:sz="4" w:space="0"/>
              <w:bottom w:val="single" w:color="auto" w:sz="4" w:space="0"/>
              <w:right w:val="single" w:color="auto" w:sz="4" w:space="0"/>
            </w:tcBorders>
            <w:shd w:val="clear" w:color="auto" w:fill="auto"/>
            <w:vAlign w:val="center"/>
          </w:tcPr>
          <w:p w14:paraId="1893B2A6">
            <w:pPr>
              <w:pStyle w:val="22"/>
              <w:keepNext w:val="0"/>
              <w:keepLines w:val="0"/>
              <w:widowControl/>
              <w:suppressLineNumbers w:val="0"/>
              <w:spacing w:before="0" w:beforeAutospacing="0" w:after="0" w:afterAutospacing="0"/>
              <w:ind w:left="0" w:right="0"/>
              <w:rPr>
                <w:rFonts w:hint="eastAsia" w:ascii="宋体" w:hAnsi="宋体" w:eastAsia="宋体" w:cs="宋体"/>
                <w:color w:val="auto"/>
                <w:spacing w:val="6"/>
                <w:szCs w:val="21"/>
                <w:highlight w:val="none"/>
              </w:rPr>
            </w:pPr>
          </w:p>
        </w:tc>
        <w:tc>
          <w:tcPr>
            <w:tcW w:w="2042" w:type="dxa"/>
            <w:tcBorders>
              <w:top w:val="single" w:color="auto" w:sz="4" w:space="0"/>
              <w:left w:val="single" w:color="auto" w:sz="4" w:space="0"/>
              <w:bottom w:val="single" w:color="auto" w:sz="4" w:space="0"/>
              <w:right w:val="single" w:color="auto" w:sz="4" w:space="0"/>
            </w:tcBorders>
            <w:shd w:val="clear" w:color="auto" w:fill="auto"/>
            <w:vAlign w:val="center"/>
          </w:tcPr>
          <w:p w14:paraId="7E4C4A10">
            <w:pPr>
              <w:pStyle w:val="22"/>
              <w:keepNext w:val="0"/>
              <w:keepLines w:val="0"/>
              <w:widowControl/>
              <w:suppressLineNumbers w:val="0"/>
              <w:spacing w:before="0" w:beforeAutospacing="0" w:after="0" w:afterAutospacing="0"/>
              <w:ind w:left="0" w:right="0"/>
              <w:rPr>
                <w:rFonts w:hint="eastAsia" w:ascii="宋体" w:hAnsi="宋体" w:eastAsia="宋体" w:cs="宋体"/>
                <w:color w:val="auto"/>
                <w:spacing w:val="6"/>
                <w:szCs w:val="21"/>
                <w:highlight w:val="none"/>
              </w:rPr>
            </w:pPr>
          </w:p>
        </w:tc>
      </w:tr>
      <w:tr w14:paraId="025C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68AA2CC3">
            <w:pPr>
              <w:pStyle w:val="22"/>
              <w:keepNext w:val="0"/>
              <w:keepLines w:val="0"/>
              <w:widowControl/>
              <w:suppressLineNumbers w:val="0"/>
              <w:spacing w:before="0" w:beforeAutospacing="0" w:after="0" w:afterAutospacing="0"/>
              <w:ind w:left="0" w:right="0"/>
              <w:jc w:val="center"/>
              <w:rPr>
                <w:rFonts w:hint="eastAsia" w:ascii="宋体" w:hAnsi="宋体" w:eastAsia="宋体" w:cs="宋体"/>
                <w:color w:val="auto"/>
                <w:spacing w:val="6"/>
                <w:szCs w:val="21"/>
                <w:highlight w:val="none"/>
                <w:lang w:val="en-US" w:eastAsia="zh-CN"/>
              </w:rPr>
            </w:pPr>
            <w:r>
              <w:rPr>
                <w:rFonts w:hint="eastAsia" w:ascii="宋体" w:hAnsi="宋体" w:cs="宋体"/>
                <w:color w:val="auto"/>
                <w:spacing w:val="6"/>
                <w:szCs w:val="21"/>
                <w:highlight w:val="none"/>
                <w:lang w:val="en-US" w:eastAsia="zh-CN"/>
              </w:rPr>
              <w:t>3</w:t>
            </w: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14:paraId="465CA222">
            <w:pPr>
              <w:pStyle w:val="110"/>
              <w:keepNext w:val="0"/>
              <w:keepLines w:val="0"/>
              <w:suppressLineNumbers w:val="0"/>
              <w:spacing w:before="0" w:beforeAutospacing="0" w:after="0" w:afterAutospacing="0"/>
              <w:ind w:left="0" w:right="0" w:firstLine="0"/>
              <w:jc w:val="center"/>
              <w:rPr>
                <w:rFonts w:hint="default"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t>服务质量</w:t>
            </w:r>
          </w:p>
        </w:tc>
        <w:tc>
          <w:tcPr>
            <w:tcW w:w="2957" w:type="dxa"/>
            <w:tcBorders>
              <w:top w:val="single" w:color="auto" w:sz="4" w:space="0"/>
              <w:left w:val="single" w:color="auto" w:sz="4" w:space="0"/>
              <w:bottom w:val="single" w:color="auto" w:sz="4" w:space="0"/>
              <w:right w:val="single" w:color="auto" w:sz="4" w:space="0"/>
            </w:tcBorders>
            <w:shd w:val="clear" w:color="auto" w:fill="auto"/>
            <w:vAlign w:val="center"/>
          </w:tcPr>
          <w:p w14:paraId="448CD4B9">
            <w:pPr>
              <w:pStyle w:val="22"/>
              <w:keepNext w:val="0"/>
              <w:keepLines w:val="0"/>
              <w:widowControl/>
              <w:suppressLineNumbers w:val="0"/>
              <w:spacing w:before="0" w:beforeAutospacing="0" w:after="0" w:afterAutospacing="0"/>
              <w:ind w:left="0" w:right="0"/>
              <w:rPr>
                <w:rFonts w:hint="eastAsia" w:ascii="宋体" w:hAnsi="宋体" w:eastAsia="宋体" w:cs="宋体"/>
                <w:color w:val="auto"/>
                <w:spacing w:val="6"/>
                <w:szCs w:val="21"/>
                <w:highlight w:val="none"/>
              </w:rPr>
            </w:pPr>
          </w:p>
        </w:tc>
        <w:tc>
          <w:tcPr>
            <w:tcW w:w="2042" w:type="dxa"/>
            <w:tcBorders>
              <w:top w:val="single" w:color="auto" w:sz="4" w:space="0"/>
              <w:left w:val="single" w:color="auto" w:sz="4" w:space="0"/>
              <w:bottom w:val="single" w:color="auto" w:sz="4" w:space="0"/>
              <w:right w:val="single" w:color="auto" w:sz="4" w:space="0"/>
            </w:tcBorders>
            <w:shd w:val="clear" w:color="auto" w:fill="auto"/>
            <w:vAlign w:val="center"/>
          </w:tcPr>
          <w:p w14:paraId="63CC8329">
            <w:pPr>
              <w:pStyle w:val="22"/>
              <w:keepNext w:val="0"/>
              <w:keepLines w:val="0"/>
              <w:widowControl/>
              <w:suppressLineNumbers w:val="0"/>
              <w:spacing w:before="0" w:beforeAutospacing="0" w:after="0" w:afterAutospacing="0"/>
              <w:ind w:left="0" w:right="0"/>
              <w:rPr>
                <w:rFonts w:hint="eastAsia" w:ascii="宋体" w:hAnsi="宋体" w:eastAsia="宋体" w:cs="宋体"/>
                <w:color w:val="auto"/>
                <w:spacing w:val="6"/>
                <w:szCs w:val="21"/>
                <w:highlight w:val="none"/>
              </w:rPr>
            </w:pPr>
          </w:p>
        </w:tc>
      </w:tr>
      <w:tr w14:paraId="7BF4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3024B7F0">
            <w:pPr>
              <w:pStyle w:val="22"/>
              <w:keepNext w:val="0"/>
              <w:keepLines w:val="0"/>
              <w:widowControl/>
              <w:suppressLineNumbers w:val="0"/>
              <w:spacing w:before="0" w:beforeAutospacing="0" w:after="0" w:afterAutospacing="0"/>
              <w:ind w:left="0" w:right="0"/>
              <w:jc w:val="center"/>
              <w:rPr>
                <w:rFonts w:hint="eastAsia" w:ascii="宋体" w:hAnsi="宋体" w:eastAsia="宋体" w:cs="宋体"/>
                <w:color w:val="auto"/>
                <w:spacing w:val="6"/>
                <w:szCs w:val="21"/>
                <w:highlight w:val="none"/>
                <w:lang w:val="en-US" w:eastAsia="zh-CN"/>
              </w:rPr>
            </w:pPr>
            <w:r>
              <w:rPr>
                <w:rFonts w:hint="eastAsia" w:ascii="宋体" w:hAnsi="宋体" w:cs="宋体"/>
                <w:color w:val="auto"/>
                <w:spacing w:val="6"/>
                <w:szCs w:val="21"/>
                <w:highlight w:val="none"/>
                <w:lang w:val="en-US" w:eastAsia="zh-CN"/>
              </w:rPr>
              <w:t>4</w:t>
            </w: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14:paraId="14BABCC2">
            <w:pPr>
              <w:pStyle w:val="110"/>
              <w:keepNext w:val="0"/>
              <w:keepLines w:val="0"/>
              <w:suppressLineNumbers w:val="0"/>
              <w:spacing w:before="0" w:beforeAutospacing="0" w:after="0" w:afterAutospacing="0"/>
              <w:ind w:left="0" w:right="0" w:firstLine="0"/>
              <w:jc w:val="center"/>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t>质保期</w:t>
            </w:r>
          </w:p>
        </w:tc>
        <w:tc>
          <w:tcPr>
            <w:tcW w:w="2957" w:type="dxa"/>
            <w:tcBorders>
              <w:top w:val="single" w:color="auto" w:sz="4" w:space="0"/>
              <w:left w:val="single" w:color="auto" w:sz="4" w:space="0"/>
              <w:bottom w:val="single" w:color="auto" w:sz="4" w:space="0"/>
              <w:right w:val="single" w:color="auto" w:sz="4" w:space="0"/>
            </w:tcBorders>
            <w:shd w:val="clear" w:color="auto" w:fill="auto"/>
            <w:vAlign w:val="center"/>
          </w:tcPr>
          <w:p w14:paraId="781B342D">
            <w:pPr>
              <w:pStyle w:val="22"/>
              <w:keepNext w:val="0"/>
              <w:keepLines w:val="0"/>
              <w:widowControl/>
              <w:suppressLineNumbers w:val="0"/>
              <w:spacing w:before="0" w:beforeAutospacing="0" w:after="0" w:afterAutospacing="0"/>
              <w:ind w:left="0" w:right="0"/>
              <w:rPr>
                <w:rFonts w:hint="eastAsia" w:ascii="宋体" w:hAnsi="宋体" w:eastAsia="宋体" w:cs="宋体"/>
                <w:color w:val="auto"/>
                <w:spacing w:val="6"/>
                <w:szCs w:val="21"/>
                <w:highlight w:val="none"/>
              </w:rPr>
            </w:pPr>
          </w:p>
        </w:tc>
        <w:tc>
          <w:tcPr>
            <w:tcW w:w="2042" w:type="dxa"/>
            <w:tcBorders>
              <w:top w:val="single" w:color="auto" w:sz="4" w:space="0"/>
              <w:left w:val="single" w:color="auto" w:sz="4" w:space="0"/>
              <w:bottom w:val="single" w:color="auto" w:sz="4" w:space="0"/>
              <w:right w:val="single" w:color="auto" w:sz="4" w:space="0"/>
            </w:tcBorders>
            <w:shd w:val="clear" w:color="auto" w:fill="auto"/>
            <w:vAlign w:val="center"/>
          </w:tcPr>
          <w:p w14:paraId="134AF1A3">
            <w:pPr>
              <w:pStyle w:val="22"/>
              <w:keepNext w:val="0"/>
              <w:keepLines w:val="0"/>
              <w:widowControl/>
              <w:suppressLineNumbers w:val="0"/>
              <w:spacing w:before="0" w:beforeAutospacing="0" w:after="0" w:afterAutospacing="0"/>
              <w:ind w:left="0" w:right="0"/>
              <w:rPr>
                <w:rFonts w:hint="eastAsia" w:ascii="宋体" w:hAnsi="宋体" w:eastAsia="宋体" w:cs="宋体"/>
                <w:color w:val="auto"/>
                <w:spacing w:val="6"/>
                <w:szCs w:val="21"/>
                <w:highlight w:val="none"/>
              </w:rPr>
            </w:pPr>
          </w:p>
        </w:tc>
      </w:tr>
      <w:tr w14:paraId="11D9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0D851E5E">
            <w:pPr>
              <w:pStyle w:val="22"/>
              <w:keepNext w:val="0"/>
              <w:keepLines w:val="0"/>
              <w:widowControl/>
              <w:suppressLineNumbers w:val="0"/>
              <w:spacing w:before="0" w:beforeAutospacing="0" w:after="0" w:afterAutospacing="0"/>
              <w:ind w:left="0" w:right="0"/>
              <w:jc w:val="center"/>
              <w:rPr>
                <w:rFonts w:hint="eastAsia" w:ascii="宋体" w:hAnsi="宋体" w:eastAsia="宋体" w:cs="宋体"/>
                <w:color w:val="auto"/>
                <w:spacing w:val="6"/>
                <w:szCs w:val="21"/>
                <w:highlight w:val="none"/>
                <w:lang w:eastAsia="zh-CN"/>
              </w:rPr>
            </w:pPr>
            <w:r>
              <w:rPr>
                <w:rFonts w:hint="eastAsia" w:ascii="宋体" w:hAnsi="宋体" w:cs="宋体"/>
                <w:color w:val="auto"/>
                <w:spacing w:val="6"/>
                <w:szCs w:val="21"/>
                <w:highlight w:val="none"/>
                <w:lang w:val="en-US" w:eastAsia="zh-CN"/>
              </w:rPr>
              <w:t>5</w:t>
            </w: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14:paraId="302D734C">
            <w:pPr>
              <w:pStyle w:val="110"/>
              <w:keepNext w:val="0"/>
              <w:keepLines w:val="0"/>
              <w:suppressLineNumbers w:val="0"/>
              <w:spacing w:before="0" w:beforeAutospacing="0" w:after="0" w:afterAutospacing="0"/>
              <w:ind w:left="0" w:right="0"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付款方式</w:t>
            </w:r>
          </w:p>
        </w:tc>
        <w:tc>
          <w:tcPr>
            <w:tcW w:w="2957" w:type="dxa"/>
            <w:tcBorders>
              <w:top w:val="single" w:color="auto" w:sz="4" w:space="0"/>
              <w:left w:val="single" w:color="auto" w:sz="4" w:space="0"/>
              <w:bottom w:val="single" w:color="auto" w:sz="4" w:space="0"/>
              <w:right w:val="single" w:color="auto" w:sz="4" w:space="0"/>
            </w:tcBorders>
            <w:shd w:val="clear" w:color="auto" w:fill="auto"/>
            <w:vAlign w:val="center"/>
          </w:tcPr>
          <w:p w14:paraId="5EAB3627">
            <w:pPr>
              <w:pStyle w:val="22"/>
              <w:keepNext w:val="0"/>
              <w:keepLines w:val="0"/>
              <w:widowControl/>
              <w:suppressLineNumbers w:val="0"/>
              <w:spacing w:before="0" w:beforeAutospacing="0" w:after="0" w:afterAutospacing="0"/>
              <w:ind w:left="0" w:right="0"/>
              <w:rPr>
                <w:rFonts w:hint="eastAsia" w:ascii="宋体" w:hAnsi="宋体" w:eastAsia="宋体" w:cs="宋体"/>
                <w:color w:val="auto"/>
                <w:spacing w:val="6"/>
                <w:szCs w:val="21"/>
                <w:highlight w:val="none"/>
              </w:rPr>
            </w:pPr>
          </w:p>
        </w:tc>
        <w:tc>
          <w:tcPr>
            <w:tcW w:w="2042" w:type="dxa"/>
            <w:tcBorders>
              <w:top w:val="single" w:color="auto" w:sz="4" w:space="0"/>
              <w:left w:val="single" w:color="auto" w:sz="4" w:space="0"/>
              <w:bottom w:val="single" w:color="auto" w:sz="4" w:space="0"/>
              <w:right w:val="single" w:color="auto" w:sz="4" w:space="0"/>
            </w:tcBorders>
            <w:shd w:val="clear" w:color="auto" w:fill="auto"/>
            <w:vAlign w:val="center"/>
          </w:tcPr>
          <w:p w14:paraId="1E444C50">
            <w:pPr>
              <w:pStyle w:val="22"/>
              <w:keepNext w:val="0"/>
              <w:keepLines w:val="0"/>
              <w:widowControl/>
              <w:suppressLineNumbers w:val="0"/>
              <w:spacing w:before="0" w:beforeAutospacing="0" w:after="0" w:afterAutospacing="0"/>
              <w:ind w:left="0" w:right="0"/>
              <w:rPr>
                <w:rFonts w:hint="eastAsia" w:ascii="宋体" w:hAnsi="宋体" w:eastAsia="宋体" w:cs="宋体"/>
                <w:color w:val="auto"/>
                <w:spacing w:val="6"/>
                <w:szCs w:val="21"/>
                <w:highlight w:val="none"/>
              </w:rPr>
            </w:pPr>
          </w:p>
        </w:tc>
      </w:tr>
      <w:tr w14:paraId="7A60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15E41F22">
            <w:pPr>
              <w:pStyle w:val="22"/>
              <w:keepNext w:val="0"/>
              <w:keepLines w:val="0"/>
              <w:widowControl/>
              <w:suppressLineNumbers w:val="0"/>
              <w:spacing w:before="0" w:beforeAutospacing="0" w:after="0" w:afterAutospacing="0"/>
              <w:ind w:left="0" w:right="0"/>
              <w:jc w:val="center"/>
              <w:rPr>
                <w:rFonts w:hint="default" w:ascii="宋体" w:hAnsi="宋体" w:eastAsia="宋体" w:cs="宋体"/>
                <w:color w:val="auto"/>
                <w:spacing w:val="6"/>
                <w:szCs w:val="21"/>
                <w:highlight w:val="none"/>
                <w:lang w:val="en-US" w:eastAsia="zh-CN"/>
              </w:rPr>
            </w:pPr>
            <w:r>
              <w:rPr>
                <w:rFonts w:hint="eastAsia" w:ascii="宋体" w:hAnsi="宋体" w:cs="宋体"/>
                <w:color w:val="auto"/>
                <w:spacing w:val="6"/>
                <w:szCs w:val="21"/>
                <w:highlight w:val="none"/>
                <w:lang w:val="en-US" w:eastAsia="zh-CN"/>
              </w:rPr>
              <w:t>6</w:t>
            </w: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14:paraId="77F62DEA">
            <w:pPr>
              <w:pStyle w:val="110"/>
              <w:keepNext w:val="0"/>
              <w:keepLines w:val="0"/>
              <w:suppressLineNumbers w:val="0"/>
              <w:spacing w:before="0" w:beforeAutospacing="0" w:after="0" w:afterAutospacing="0"/>
              <w:ind w:left="0" w:right="0"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投标有效期</w:t>
            </w:r>
          </w:p>
        </w:tc>
        <w:tc>
          <w:tcPr>
            <w:tcW w:w="2957" w:type="dxa"/>
            <w:tcBorders>
              <w:top w:val="single" w:color="auto" w:sz="4" w:space="0"/>
              <w:left w:val="single" w:color="auto" w:sz="4" w:space="0"/>
              <w:bottom w:val="single" w:color="auto" w:sz="4" w:space="0"/>
              <w:right w:val="single" w:color="auto" w:sz="4" w:space="0"/>
            </w:tcBorders>
            <w:shd w:val="clear" w:color="auto" w:fill="auto"/>
            <w:vAlign w:val="center"/>
          </w:tcPr>
          <w:p w14:paraId="3E655599">
            <w:pPr>
              <w:pStyle w:val="22"/>
              <w:keepNext w:val="0"/>
              <w:keepLines w:val="0"/>
              <w:widowControl/>
              <w:suppressLineNumbers w:val="0"/>
              <w:spacing w:before="0" w:beforeAutospacing="0" w:after="0" w:afterAutospacing="0"/>
              <w:ind w:left="0" w:right="0"/>
              <w:rPr>
                <w:rFonts w:hint="eastAsia" w:ascii="宋体" w:hAnsi="宋体" w:eastAsia="宋体" w:cs="宋体"/>
                <w:color w:val="auto"/>
                <w:spacing w:val="6"/>
                <w:szCs w:val="21"/>
                <w:highlight w:val="none"/>
              </w:rPr>
            </w:pPr>
          </w:p>
        </w:tc>
        <w:tc>
          <w:tcPr>
            <w:tcW w:w="2042" w:type="dxa"/>
            <w:tcBorders>
              <w:top w:val="single" w:color="auto" w:sz="4" w:space="0"/>
              <w:left w:val="single" w:color="auto" w:sz="4" w:space="0"/>
              <w:bottom w:val="single" w:color="auto" w:sz="4" w:space="0"/>
              <w:right w:val="single" w:color="auto" w:sz="4" w:space="0"/>
            </w:tcBorders>
            <w:shd w:val="clear" w:color="auto" w:fill="auto"/>
            <w:vAlign w:val="center"/>
          </w:tcPr>
          <w:p w14:paraId="0E66C73C">
            <w:pPr>
              <w:pStyle w:val="22"/>
              <w:keepNext w:val="0"/>
              <w:keepLines w:val="0"/>
              <w:widowControl/>
              <w:suppressLineNumbers w:val="0"/>
              <w:spacing w:before="0" w:beforeAutospacing="0" w:after="0" w:afterAutospacing="0"/>
              <w:ind w:left="0" w:right="0"/>
              <w:rPr>
                <w:rFonts w:hint="eastAsia" w:ascii="宋体" w:hAnsi="宋体" w:eastAsia="宋体" w:cs="宋体"/>
                <w:color w:val="auto"/>
                <w:spacing w:val="6"/>
                <w:szCs w:val="21"/>
                <w:highlight w:val="none"/>
              </w:rPr>
            </w:pPr>
          </w:p>
        </w:tc>
      </w:tr>
      <w:tr w14:paraId="1D54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58AABF92">
            <w:pPr>
              <w:pStyle w:val="22"/>
              <w:keepNext w:val="0"/>
              <w:keepLines w:val="0"/>
              <w:widowControl/>
              <w:suppressLineNumbers w:val="0"/>
              <w:spacing w:before="0" w:beforeAutospacing="0" w:after="0" w:afterAutospacing="0"/>
              <w:ind w:left="0" w:right="0"/>
              <w:jc w:val="center"/>
              <w:rPr>
                <w:rFonts w:hint="eastAsia" w:ascii="宋体" w:hAnsi="宋体" w:eastAsia="宋体" w:cs="宋体"/>
                <w:color w:val="auto"/>
                <w:spacing w:val="6"/>
                <w:szCs w:val="21"/>
                <w:highlight w:val="none"/>
                <w:lang w:eastAsia="zh-CN"/>
              </w:rPr>
            </w:pPr>
            <w:r>
              <w:rPr>
                <w:rFonts w:hint="eastAsia" w:ascii="宋体" w:hAnsi="宋体" w:cs="宋体"/>
                <w:color w:val="auto"/>
                <w:spacing w:val="6"/>
                <w:szCs w:val="21"/>
                <w:highlight w:val="none"/>
                <w:lang w:val="en-US" w:eastAsia="zh-CN"/>
              </w:rPr>
              <w:t>7</w:t>
            </w: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14:paraId="7816D389">
            <w:pPr>
              <w:pStyle w:val="110"/>
              <w:keepNext w:val="0"/>
              <w:keepLines w:val="0"/>
              <w:suppressLineNumbers w:val="0"/>
              <w:spacing w:before="0" w:beforeAutospacing="0" w:after="0" w:afterAutospacing="0"/>
              <w:ind w:left="0" w:right="0" w:firstLine="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分包</w:t>
            </w:r>
          </w:p>
        </w:tc>
        <w:tc>
          <w:tcPr>
            <w:tcW w:w="2957" w:type="dxa"/>
            <w:tcBorders>
              <w:top w:val="single" w:color="auto" w:sz="4" w:space="0"/>
              <w:left w:val="single" w:color="auto" w:sz="4" w:space="0"/>
              <w:bottom w:val="single" w:color="auto" w:sz="4" w:space="0"/>
              <w:right w:val="single" w:color="auto" w:sz="4" w:space="0"/>
            </w:tcBorders>
            <w:shd w:val="clear" w:color="auto" w:fill="auto"/>
            <w:vAlign w:val="center"/>
          </w:tcPr>
          <w:p w14:paraId="1606EB25">
            <w:pPr>
              <w:pStyle w:val="22"/>
              <w:keepNext w:val="0"/>
              <w:keepLines w:val="0"/>
              <w:widowControl/>
              <w:suppressLineNumbers w:val="0"/>
              <w:spacing w:before="0" w:beforeAutospacing="0" w:after="0" w:afterAutospacing="0"/>
              <w:ind w:left="0" w:right="0"/>
              <w:rPr>
                <w:rFonts w:hint="eastAsia" w:ascii="宋体" w:hAnsi="宋体" w:eastAsia="宋体" w:cs="宋体"/>
                <w:color w:val="auto"/>
                <w:spacing w:val="6"/>
                <w:szCs w:val="21"/>
                <w:highlight w:val="none"/>
              </w:rPr>
            </w:pPr>
          </w:p>
        </w:tc>
        <w:tc>
          <w:tcPr>
            <w:tcW w:w="2042" w:type="dxa"/>
            <w:tcBorders>
              <w:top w:val="single" w:color="auto" w:sz="4" w:space="0"/>
              <w:left w:val="single" w:color="auto" w:sz="4" w:space="0"/>
              <w:bottom w:val="single" w:color="auto" w:sz="4" w:space="0"/>
              <w:right w:val="single" w:color="auto" w:sz="4" w:space="0"/>
            </w:tcBorders>
            <w:shd w:val="clear" w:color="auto" w:fill="auto"/>
            <w:vAlign w:val="center"/>
          </w:tcPr>
          <w:p w14:paraId="2F803E12">
            <w:pPr>
              <w:pStyle w:val="22"/>
              <w:keepNext w:val="0"/>
              <w:keepLines w:val="0"/>
              <w:widowControl/>
              <w:suppressLineNumbers w:val="0"/>
              <w:spacing w:before="0" w:beforeAutospacing="0" w:after="0" w:afterAutospacing="0"/>
              <w:ind w:left="0" w:right="0"/>
              <w:rPr>
                <w:rFonts w:hint="eastAsia" w:ascii="宋体" w:hAnsi="宋体" w:eastAsia="宋体" w:cs="宋体"/>
                <w:color w:val="auto"/>
                <w:spacing w:val="6"/>
                <w:szCs w:val="21"/>
                <w:highlight w:val="none"/>
              </w:rPr>
            </w:pPr>
          </w:p>
        </w:tc>
      </w:tr>
      <w:tr w14:paraId="1C7C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35339EAE">
            <w:pPr>
              <w:pStyle w:val="22"/>
              <w:keepNext w:val="0"/>
              <w:keepLines w:val="0"/>
              <w:widowControl/>
              <w:suppressLineNumbers w:val="0"/>
              <w:spacing w:before="0" w:beforeAutospacing="0" w:after="0" w:afterAutospacing="0"/>
              <w:ind w:left="0" w:right="0"/>
              <w:jc w:val="center"/>
              <w:rPr>
                <w:rFonts w:hint="eastAsia" w:ascii="宋体" w:hAnsi="宋体" w:eastAsia="宋体" w:cs="宋体"/>
                <w:color w:val="auto"/>
                <w:spacing w:val="6"/>
                <w:szCs w:val="21"/>
                <w:highlight w:val="none"/>
                <w:lang w:val="en-US" w:eastAsia="zh-CN"/>
              </w:rPr>
            </w:pPr>
            <w:r>
              <w:rPr>
                <w:rFonts w:hint="eastAsia" w:ascii="宋体" w:hAnsi="宋体" w:cs="宋体"/>
                <w:color w:val="auto"/>
                <w:spacing w:val="6"/>
                <w:szCs w:val="21"/>
                <w:highlight w:val="none"/>
                <w:lang w:val="en-US" w:eastAsia="zh-CN"/>
              </w:rPr>
              <w:t>8</w:t>
            </w: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14:paraId="2EF03D23">
            <w:pPr>
              <w:pStyle w:val="110"/>
              <w:keepNext w:val="0"/>
              <w:keepLines w:val="0"/>
              <w:suppressLineNumbers w:val="0"/>
              <w:spacing w:before="0" w:beforeAutospacing="0" w:after="0" w:afterAutospacing="0"/>
              <w:ind w:left="0" w:right="0" w:firstLine="0"/>
              <w:jc w:val="center"/>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t>其他</w:t>
            </w:r>
          </w:p>
        </w:tc>
        <w:tc>
          <w:tcPr>
            <w:tcW w:w="2957" w:type="dxa"/>
            <w:tcBorders>
              <w:top w:val="single" w:color="auto" w:sz="4" w:space="0"/>
              <w:left w:val="single" w:color="auto" w:sz="4" w:space="0"/>
              <w:bottom w:val="single" w:color="auto" w:sz="4" w:space="0"/>
              <w:right w:val="single" w:color="auto" w:sz="4" w:space="0"/>
            </w:tcBorders>
            <w:shd w:val="clear" w:color="auto" w:fill="auto"/>
            <w:vAlign w:val="center"/>
          </w:tcPr>
          <w:p w14:paraId="2C6F6E57">
            <w:pPr>
              <w:pStyle w:val="22"/>
              <w:keepNext w:val="0"/>
              <w:keepLines w:val="0"/>
              <w:widowControl/>
              <w:suppressLineNumbers w:val="0"/>
              <w:spacing w:before="0" w:beforeAutospacing="0" w:after="0" w:afterAutospacing="0"/>
              <w:ind w:left="0" w:right="0"/>
              <w:rPr>
                <w:rFonts w:hint="eastAsia" w:ascii="宋体" w:hAnsi="宋体" w:eastAsia="宋体" w:cs="宋体"/>
                <w:color w:val="auto"/>
                <w:spacing w:val="6"/>
                <w:szCs w:val="21"/>
                <w:highlight w:val="none"/>
              </w:rPr>
            </w:pPr>
          </w:p>
        </w:tc>
        <w:tc>
          <w:tcPr>
            <w:tcW w:w="2042" w:type="dxa"/>
            <w:tcBorders>
              <w:top w:val="single" w:color="auto" w:sz="4" w:space="0"/>
              <w:left w:val="single" w:color="auto" w:sz="4" w:space="0"/>
              <w:bottom w:val="single" w:color="auto" w:sz="4" w:space="0"/>
              <w:right w:val="single" w:color="auto" w:sz="4" w:space="0"/>
            </w:tcBorders>
            <w:shd w:val="clear" w:color="auto" w:fill="auto"/>
            <w:vAlign w:val="center"/>
          </w:tcPr>
          <w:p w14:paraId="66D3803E">
            <w:pPr>
              <w:pStyle w:val="22"/>
              <w:keepNext w:val="0"/>
              <w:keepLines w:val="0"/>
              <w:widowControl/>
              <w:suppressLineNumbers w:val="0"/>
              <w:spacing w:before="0" w:beforeAutospacing="0" w:after="0" w:afterAutospacing="0"/>
              <w:ind w:left="0" w:right="0"/>
              <w:rPr>
                <w:rFonts w:hint="eastAsia" w:ascii="宋体" w:hAnsi="宋体" w:eastAsia="宋体" w:cs="宋体"/>
                <w:color w:val="auto"/>
                <w:spacing w:val="6"/>
                <w:szCs w:val="21"/>
                <w:highlight w:val="none"/>
              </w:rPr>
            </w:pPr>
          </w:p>
        </w:tc>
      </w:tr>
      <w:tr w14:paraId="2A95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6383ECFD">
            <w:pPr>
              <w:pStyle w:val="22"/>
              <w:keepNext w:val="0"/>
              <w:keepLines w:val="0"/>
              <w:widowControl/>
              <w:suppressLineNumbers w:val="0"/>
              <w:spacing w:before="0" w:beforeAutospacing="0" w:after="0" w:afterAutospacing="0"/>
              <w:ind w:left="0" w:right="0"/>
              <w:jc w:val="center"/>
              <w:rPr>
                <w:rFonts w:hint="eastAsia" w:ascii="宋体" w:hAnsi="宋体" w:cs="宋体"/>
                <w:color w:val="auto"/>
                <w:spacing w:val="6"/>
                <w:szCs w:val="21"/>
                <w:highlight w:val="none"/>
                <w:lang w:val="en-US" w:eastAsia="zh-CN"/>
              </w:rPr>
            </w:pP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14:paraId="163CC4EE">
            <w:pPr>
              <w:pStyle w:val="110"/>
              <w:keepNext w:val="0"/>
              <w:keepLines w:val="0"/>
              <w:suppressLineNumbers w:val="0"/>
              <w:spacing w:before="0" w:beforeAutospacing="0" w:after="0" w:afterAutospacing="0"/>
              <w:ind w:left="0" w:right="0" w:firstLine="0"/>
              <w:jc w:val="center"/>
              <w:rPr>
                <w:rFonts w:hint="eastAsia" w:ascii="宋体" w:hAnsi="宋体" w:eastAsia="宋体" w:cs="宋体"/>
                <w:color w:val="auto"/>
                <w:spacing w:val="6"/>
                <w:szCs w:val="21"/>
                <w:highlight w:val="none"/>
                <w:lang w:val="en-US" w:eastAsia="zh-CN"/>
              </w:rPr>
            </w:pPr>
          </w:p>
        </w:tc>
        <w:tc>
          <w:tcPr>
            <w:tcW w:w="2957" w:type="dxa"/>
            <w:tcBorders>
              <w:top w:val="single" w:color="auto" w:sz="4" w:space="0"/>
              <w:left w:val="single" w:color="auto" w:sz="4" w:space="0"/>
              <w:bottom w:val="single" w:color="auto" w:sz="4" w:space="0"/>
              <w:right w:val="single" w:color="auto" w:sz="4" w:space="0"/>
            </w:tcBorders>
            <w:shd w:val="clear" w:color="auto" w:fill="auto"/>
            <w:vAlign w:val="center"/>
          </w:tcPr>
          <w:p w14:paraId="715407A8">
            <w:pPr>
              <w:pStyle w:val="22"/>
              <w:keepNext w:val="0"/>
              <w:keepLines w:val="0"/>
              <w:widowControl/>
              <w:suppressLineNumbers w:val="0"/>
              <w:spacing w:before="0" w:beforeAutospacing="0" w:after="0" w:afterAutospacing="0"/>
              <w:ind w:left="0" w:right="0"/>
              <w:rPr>
                <w:rFonts w:hint="eastAsia" w:ascii="宋体" w:hAnsi="宋体" w:eastAsia="宋体" w:cs="宋体"/>
                <w:color w:val="auto"/>
                <w:spacing w:val="6"/>
                <w:szCs w:val="21"/>
                <w:highlight w:val="none"/>
              </w:rPr>
            </w:pPr>
          </w:p>
        </w:tc>
        <w:tc>
          <w:tcPr>
            <w:tcW w:w="2042" w:type="dxa"/>
            <w:tcBorders>
              <w:top w:val="single" w:color="auto" w:sz="4" w:space="0"/>
              <w:left w:val="single" w:color="auto" w:sz="4" w:space="0"/>
              <w:bottom w:val="single" w:color="auto" w:sz="4" w:space="0"/>
              <w:right w:val="single" w:color="auto" w:sz="4" w:space="0"/>
            </w:tcBorders>
            <w:shd w:val="clear" w:color="auto" w:fill="auto"/>
            <w:vAlign w:val="center"/>
          </w:tcPr>
          <w:p w14:paraId="1CA75BD7">
            <w:pPr>
              <w:pStyle w:val="22"/>
              <w:keepNext w:val="0"/>
              <w:keepLines w:val="0"/>
              <w:widowControl/>
              <w:suppressLineNumbers w:val="0"/>
              <w:spacing w:before="0" w:beforeAutospacing="0" w:after="0" w:afterAutospacing="0"/>
              <w:ind w:left="0" w:right="0"/>
              <w:rPr>
                <w:rFonts w:hint="eastAsia" w:ascii="宋体" w:hAnsi="宋体" w:eastAsia="宋体" w:cs="宋体"/>
                <w:color w:val="auto"/>
                <w:spacing w:val="6"/>
                <w:szCs w:val="21"/>
                <w:highlight w:val="none"/>
              </w:rPr>
            </w:pPr>
          </w:p>
        </w:tc>
      </w:tr>
    </w:tbl>
    <w:p w14:paraId="2B14F0BD">
      <w:pPr>
        <w:pStyle w:val="22"/>
        <w:widowControl/>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bidi="ar"/>
        </w:rPr>
        <w:t>供应商保证：除本表列出的商务偏差外，供应商响应采购文件的全部商务要求。</w:t>
      </w:r>
    </w:p>
    <w:p w14:paraId="19AAB976">
      <w:pPr>
        <w:pStyle w:val="22"/>
        <w:widowControl/>
        <w:rPr>
          <w:rFonts w:hint="eastAsia" w:ascii="宋体" w:hAnsi="宋体" w:eastAsia="宋体" w:cs="宋体"/>
          <w:color w:val="auto"/>
          <w:spacing w:val="6"/>
          <w:sz w:val="21"/>
          <w:szCs w:val="21"/>
          <w:highlight w:val="none"/>
        </w:rPr>
      </w:pPr>
    </w:p>
    <w:p w14:paraId="7EC913A9">
      <w:pPr>
        <w:pStyle w:val="22"/>
        <w:widowControl/>
        <w:spacing w:line="440" w:lineRule="exact"/>
        <w:ind w:firstLine="5550" w:firstLineChars="25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bidi="ar"/>
        </w:rPr>
        <w:t>投标人：</w:t>
      </w:r>
      <w:r>
        <w:rPr>
          <w:rFonts w:hint="eastAsia" w:ascii="宋体" w:hAnsi="宋体" w:eastAsia="宋体" w:cs="宋体"/>
          <w:color w:val="auto"/>
          <w:spacing w:val="6"/>
          <w:sz w:val="21"/>
          <w:szCs w:val="21"/>
          <w:highlight w:val="none"/>
          <w:u w:val="single"/>
          <w:lang w:bidi="ar"/>
        </w:rPr>
        <w:t xml:space="preserve">          </w:t>
      </w:r>
      <w:r>
        <w:rPr>
          <w:rFonts w:hint="eastAsia" w:ascii="宋体" w:hAnsi="宋体" w:eastAsia="宋体" w:cs="宋体"/>
          <w:color w:val="auto"/>
          <w:spacing w:val="6"/>
          <w:sz w:val="21"/>
          <w:szCs w:val="21"/>
          <w:highlight w:val="none"/>
          <w:lang w:bidi="ar"/>
        </w:rPr>
        <w:t>（盖单位章）</w:t>
      </w:r>
    </w:p>
    <w:p w14:paraId="35CC8720">
      <w:pPr>
        <w:pStyle w:val="22"/>
        <w:widowControl/>
        <w:ind w:firstLine="4218" w:firstLineChars="19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bidi="ar"/>
        </w:rPr>
        <w:t xml:space="preserve">                  年     月     日</w:t>
      </w:r>
    </w:p>
    <w:p w14:paraId="007DE688">
      <w:pPr>
        <w:pStyle w:val="22"/>
        <w:widowControl/>
        <w:rPr>
          <w:rFonts w:hint="eastAsia" w:ascii="宋体" w:hAnsi="宋体" w:eastAsia="宋体" w:cs="宋体"/>
          <w:color w:val="auto"/>
          <w:spacing w:val="6"/>
          <w:sz w:val="21"/>
          <w:szCs w:val="21"/>
          <w:highlight w:val="none"/>
        </w:rPr>
      </w:pPr>
    </w:p>
    <w:p w14:paraId="02BA8806">
      <w:pPr>
        <w:pStyle w:val="110"/>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kern w:val="0"/>
          <w:sz w:val="21"/>
          <w:szCs w:val="21"/>
          <w:highlight w:val="none"/>
          <w:lang w:val="en-US" w:bidi="ar"/>
        </w:rPr>
        <w:t>注：供应商可根据需要自行增减表格</w:t>
      </w:r>
      <w:r>
        <w:rPr>
          <w:rFonts w:hint="eastAsia" w:ascii="宋体" w:hAnsi="宋体" w:eastAsia="宋体" w:cs="宋体"/>
          <w:color w:val="auto"/>
          <w:spacing w:val="6"/>
          <w:sz w:val="21"/>
          <w:szCs w:val="21"/>
          <w:highlight w:val="none"/>
        </w:rPr>
        <w:t>。</w:t>
      </w:r>
    </w:p>
    <w:p w14:paraId="572CD0F5">
      <w:pPr>
        <w:rPr>
          <w:rFonts w:hint="eastAsia" w:ascii="宋体" w:hAnsi="宋体" w:eastAsia="宋体" w:cs="宋体"/>
          <w:color w:val="auto"/>
          <w:highlight w:val="none"/>
          <w:lang w:val="en-US"/>
        </w:rPr>
      </w:pPr>
    </w:p>
    <w:p w14:paraId="0DAB4F05">
      <w:pPr>
        <w:widowControl/>
        <w:jc w:val="left"/>
        <w:rPr>
          <w:rFonts w:hint="eastAsia" w:ascii="宋体" w:hAnsi="宋体" w:eastAsia="宋体" w:cs="宋体"/>
          <w:color w:val="auto"/>
          <w:spacing w:val="6"/>
          <w:highlight w:val="none"/>
          <w:lang w:val="zh-CN"/>
        </w:rPr>
      </w:pPr>
      <w:r>
        <w:rPr>
          <w:rFonts w:hint="eastAsia" w:ascii="宋体" w:hAnsi="宋体" w:eastAsia="宋体" w:cs="宋体"/>
          <w:color w:val="auto"/>
          <w:spacing w:val="6"/>
          <w:highlight w:val="none"/>
          <w:lang w:val="zh-CN"/>
        </w:rPr>
        <w:br w:type="page"/>
      </w:r>
    </w:p>
    <w:p w14:paraId="0F4EF777">
      <w:pPr>
        <w:jc w:val="center"/>
        <w:outlineLvl w:val="9"/>
        <w:rPr>
          <w:rFonts w:hint="eastAsia" w:ascii="宋体" w:hAnsi="宋体" w:eastAsia="宋体" w:cs="宋体"/>
          <w:color w:val="auto"/>
          <w:highlight w:val="none"/>
        </w:rPr>
      </w:pPr>
      <w:r>
        <w:rPr>
          <w:rFonts w:hint="eastAsia" w:ascii="宋体" w:hAnsi="宋体" w:eastAsia="宋体" w:cs="宋体"/>
          <w:b/>
          <w:bCs/>
          <w:color w:val="auto"/>
          <w:spacing w:val="6"/>
          <w:kern w:val="0"/>
          <w:sz w:val="24"/>
          <w:szCs w:val="24"/>
          <w:highlight w:val="none"/>
          <w:lang w:val="zh-CN" w:eastAsia="zh-CN" w:bidi="ar-SA"/>
        </w:rPr>
        <w:t>202</w:t>
      </w:r>
      <w:r>
        <w:rPr>
          <w:rFonts w:hint="eastAsia" w:ascii="宋体" w:hAnsi="宋体" w:cs="宋体"/>
          <w:b/>
          <w:bCs/>
          <w:color w:val="auto"/>
          <w:spacing w:val="6"/>
          <w:kern w:val="0"/>
          <w:sz w:val="24"/>
          <w:szCs w:val="24"/>
          <w:highlight w:val="none"/>
          <w:lang w:val="en-US" w:eastAsia="zh-CN" w:bidi="ar-SA"/>
        </w:rPr>
        <w:t>2</w:t>
      </w:r>
      <w:r>
        <w:rPr>
          <w:rFonts w:hint="eastAsia" w:ascii="宋体" w:hAnsi="宋体" w:eastAsia="宋体" w:cs="宋体"/>
          <w:b/>
          <w:bCs/>
          <w:color w:val="auto"/>
          <w:spacing w:val="6"/>
          <w:kern w:val="0"/>
          <w:sz w:val="24"/>
          <w:szCs w:val="24"/>
          <w:highlight w:val="none"/>
          <w:lang w:val="zh-CN" w:eastAsia="zh-CN" w:bidi="ar-SA"/>
        </w:rPr>
        <w:t>年</w:t>
      </w:r>
      <w:r>
        <w:rPr>
          <w:rFonts w:hint="eastAsia" w:ascii="宋体" w:hAnsi="宋体" w:cs="宋体"/>
          <w:b/>
          <w:bCs/>
          <w:color w:val="auto"/>
          <w:spacing w:val="6"/>
          <w:kern w:val="0"/>
          <w:sz w:val="24"/>
          <w:szCs w:val="24"/>
          <w:highlight w:val="none"/>
          <w:lang w:val="en-US" w:eastAsia="zh-CN" w:bidi="ar-SA"/>
        </w:rPr>
        <w:t>9</w:t>
      </w:r>
      <w:r>
        <w:rPr>
          <w:rFonts w:hint="eastAsia" w:ascii="宋体" w:hAnsi="宋体" w:eastAsia="宋体" w:cs="宋体"/>
          <w:b/>
          <w:bCs/>
          <w:color w:val="auto"/>
          <w:spacing w:val="6"/>
          <w:kern w:val="0"/>
          <w:sz w:val="24"/>
          <w:szCs w:val="24"/>
          <w:highlight w:val="none"/>
          <w:lang w:val="zh-CN" w:eastAsia="zh-CN" w:bidi="ar-SA"/>
        </w:rPr>
        <w:t>月1日以来（以合同签订时间为准）</w:t>
      </w:r>
      <w:r>
        <w:rPr>
          <w:rFonts w:hint="eastAsia" w:ascii="宋体" w:hAnsi="宋体" w:cs="宋体"/>
          <w:b/>
          <w:bCs/>
          <w:color w:val="auto"/>
          <w:spacing w:val="6"/>
          <w:kern w:val="0"/>
          <w:sz w:val="24"/>
          <w:szCs w:val="24"/>
          <w:highlight w:val="none"/>
          <w:lang w:val="en-US" w:eastAsia="zh-CN" w:bidi="ar-SA"/>
        </w:rPr>
        <w:t>同类项目成功案例</w:t>
      </w:r>
      <w:r>
        <w:rPr>
          <w:rFonts w:hint="eastAsia" w:ascii="宋体" w:hAnsi="宋体" w:eastAsia="宋体" w:cs="宋体"/>
          <w:b/>
          <w:bCs/>
          <w:color w:val="auto"/>
          <w:spacing w:val="6"/>
          <w:kern w:val="0"/>
          <w:sz w:val="24"/>
          <w:szCs w:val="24"/>
          <w:highlight w:val="none"/>
          <w:lang w:val="zh-CN" w:eastAsia="zh-CN" w:bidi="ar-SA"/>
        </w:rPr>
        <w:t>表</w:t>
      </w:r>
    </w:p>
    <w:tbl>
      <w:tblPr>
        <w:tblStyle w:val="26"/>
        <w:tblW w:w="8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414"/>
        <w:gridCol w:w="1356"/>
        <w:gridCol w:w="1439"/>
        <w:gridCol w:w="1370"/>
        <w:gridCol w:w="1899"/>
      </w:tblGrid>
      <w:tr w14:paraId="2BFA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99" w:type="dxa"/>
            <w:vAlign w:val="center"/>
          </w:tcPr>
          <w:p w14:paraId="70D76C77">
            <w:pPr>
              <w:keepNext w:val="0"/>
              <w:keepLines w:val="0"/>
              <w:suppressLineNumbers w:val="0"/>
              <w:spacing w:before="0" w:beforeAutospacing="0" w:after="0" w:afterAutospacing="0" w:line="400" w:lineRule="exact"/>
              <w:ind w:left="0" w:right="0"/>
              <w:jc w:val="center"/>
              <w:rPr>
                <w:rFonts w:hint="eastAsia" w:ascii="宋体" w:hAnsi="宋体" w:eastAsia="宋体" w:cs="宋体"/>
                <w:b w:val="0"/>
                <w:bCs/>
                <w:color w:val="auto"/>
                <w:sz w:val="21"/>
                <w:szCs w:val="22"/>
                <w:highlight w:val="none"/>
              </w:rPr>
            </w:pPr>
            <w:r>
              <w:rPr>
                <w:rFonts w:hint="eastAsia" w:ascii="宋体" w:hAnsi="宋体" w:eastAsia="宋体" w:cs="宋体"/>
                <w:b w:val="0"/>
                <w:bCs/>
                <w:color w:val="auto"/>
                <w:sz w:val="21"/>
                <w:szCs w:val="22"/>
                <w:highlight w:val="none"/>
              </w:rPr>
              <w:t>序号</w:t>
            </w:r>
          </w:p>
        </w:tc>
        <w:tc>
          <w:tcPr>
            <w:tcW w:w="1414" w:type="dxa"/>
            <w:vAlign w:val="center"/>
          </w:tcPr>
          <w:p w14:paraId="2764B0CE">
            <w:pPr>
              <w:keepNext w:val="0"/>
              <w:keepLines w:val="0"/>
              <w:suppressLineNumbers w:val="0"/>
              <w:spacing w:before="0" w:beforeAutospacing="0" w:after="0" w:afterAutospacing="0" w:line="400" w:lineRule="exact"/>
              <w:ind w:left="0" w:right="0"/>
              <w:jc w:val="center"/>
              <w:rPr>
                <w:rFonts w:hint="eastAsia" w:ascii="宋体" w:hAnsi="宋体" w:eastAsia="宋体" w:cs="宋体"/>
                <w:b w:val="0"/>
                <w:bCs/>
                <w:color w:val="auto"/>
                <w:sz w:val="21"/>
                <w:szCs w:val="22"/>
                <w:highlight w:val="none"/>
              </w:rPr>
            </w:pPr>
            <w:r>
              <w:rPr>
                <w:rFonts w:hint="eastAsia" w:ascii="宋体" w:hAnsi="宋体" w:eastAsia="宋体" w:cs="宋体"/>
                <w:b w:val="0"/>
                <w:bCs/>
                <w:color w:val="auto"/>
                <w:sz w:val="21"/>
                <w:szCs w:val="22"/>
                <w:highlight w:val="none"/>
              </w:rPr>
              <w:t>合同日期</w:t>
            </w:r>
          </w:p>
        </w:tc>
        <w:tc>
          <w:tcPr>
            <w:tcW w:w="1356" w:type="dxa"/>
            <w:vAlign w:val="center"/>
          </w:tcPr>
          <w:p w14:paraId="626C71E3">
            <w:pPr>
              <w:keepNext w:val="0"/>
              <w:keepLines w:val="0"/>
              <w:suppressLineNumbers w:val="0"/>
              <w:spacing w:before="0" w:beforeAutospacing="0" w:after="0" w:afterAutospacing="0" w:line="400" w:lineRule="exact"/>
              <w:ind w:left="0" w:right="0"/>
              <w:jc w:val="center"/>
              <w:rPr>
                <w:rFonts w:hint="eastAsia" w:ascii="宋体" w:hAnsi="宋体" w:eastAsia="宋体" w:cs="宋体"/>
                <w:b w:val="0"/>
                <w:bCs/>
                <w:color w:val="auto"/>
                <w:sz w:val="21"/>
                <w:szCs w:val="22"/>
                <w:highlight w:val="none"/>
              </w:rPr>
            </w:pPr>
            <w:r>
              <w:rPr>
                <w:rFonts w:hint="eastAsia" w:ascii="宋体" w:hAnsi="宋体" w:eastAsia="宋体" w:cs="宋体"/>
                <w:b w:val="0"/>
                <w:bCs/>
                <w:color w:val="auto"/>
                <w:sz w:val="21"/>
                <w:szCs w:val="22"/>
                <w:highlight w:val="none"/>
              </w:rPr>
              <w:t>项目名称</w:t>
            </w:r>
          </w:p>
        </w:tc>
        <w:tc>
          <w:tcPr>
            <w:tcW w:w="1439" w:type="dxa"/>
            <w:vAlign w:val="center"/>
          </w:tcPr>
          <w:p w14:paraId="7B5C6EB3">
            <w:pPr>
              <w:keepNext w:val="0"/>
              <w:keepLines w:val="0"/>
              <w:suppressLineNumbers w:val="0"/>
              <w:spacing w:before="0" w:beforeAutospacing="0" w:after="0" w:afterAutospacing="0" w:line="400" w:lineRule="exact"/>
              <w:ind w:left="0" w:right="0"/>
              <w:jc w:val="center"/>
              <w:rPr>
                <w:rFonts w:hint="eastAsia" w:ascii="宋体" w:hAnsi="宋体" w:eastAsia="宋体" w:cs="宋体"/>
                <w:b w:val="0"/>
                <w:bCs/>
                <w:color w:val="auto"/>
                <w:sz w:val="21"/>
                <w:szCs w:val="22"/>
                <w:highlight w:val="none"/>
              </w:rPr>
            </w:pPr>
            <w:r>
              <w:rPr>
                <w:rFonts w:hint="eastAsia" w:ascii="宋体" w:hAnsi="宋体" w:eastAsia="宋体" w:cs="宋体"/>
                <w:b w:val="0"/>
                <w:bCs/>
                <w:color w:val="auto"/>
                <w:sz w:val="21"/>
                <w:szCs w:val="22"/>
                <w:highlight w:val="none"/>
              </w:rPr>
              <w:t>合同金额</w:t>
            </w:r>
          </w:p>
        </w:tc>
        <w:tc>
          <w:tcPr>
            <w:tcW w:w="1370" w:type="dxa"/>
            <w:vAlign w:val="center"/>
          </w:tcPr>
          <w:p w14:paraId="386BA5AE">
            <w:pPr>
              <w:keepNext w:val="0"/>
              <w:keepLines w:val="0"/>
              <w:suppressLineNumbers w:val="0"/>
              <w:spacing w:before="0" w:beforeAutospacing="0" w:after="0" w:afterAutospacing="0" w:line="400" w:lineRule="exact"/>
              <w:ind w:left="0" w:right="0"/>
              <w:jc w:val="center"/>
              <w:rPr>
                <w:rFonts w:hint="eastAsia" w:ascii="宋体" w:hAnsi="宋体" w:eastAsia="宋体" w:cs="宋体"/>
                <w:b w:val="0"/>
                <w:bCs/>
                <w:color w:val="auto"/>
                <w:sz w:val="21"/>
                <w:szCs w:val="22"/>
                <w:highlight w:val="none"/>
              </w:rPr>
            </w:pPr>
            <w:r>
              <w:rPr>
                <w:rFonts w:hint="eastAsia" w:ascii="宋体" w:hAnsi="宋体" w:eastAsia="宋体" w:cs="宋体"/>
                <w:b w:val="0"/>
                <w:bCs/>
                <w:color w:val="auto"/>
                <w:sz w:val="21"/>
                <w:szCs w:val="22"/>
                <w:highlight w:val="none"/>
              </w:rPr>
              <w:t>客户名称</w:t>
            </w:r>
          </w:p>
        </w:tc>
        <w:tc>
          <w:tcPr>
            <w:tcW w:w="1899" w:type="dxa"/>
            <w:vAlign w:val="center"/>
          </w:tcPr>
          <w:p w14:paraId="544DE390">
            <w:pPr>
              <w:keepNext w:val="0"/>
              <w:keepLines w:val="0"/>
              <w:suppressLineNumbers w:val="0"/>
              <w:spacing w:before="0" w:beforeAutospacing="0" w:after="0" w:afterAutospacing="0" w:line="400" w:lineRule="exact"/>
              <w:ind w:left="0" w:right="0"/>
              <w:jc w:val="center"/>
              <w:rPr>
                <w:rFonts w:hint="eastAsia" w:ascii="宋体" w:hAnsi="宋体" w:eastAsia="宋体" w:cs="宋体"/>
                <w:b w:val="0"/>
                <w:bCs/>
                <w:color w:val="auto"/>
                <w:sz w:val="21"/>
                <w:szCs w:val="22"/>
                <w:highlight w:val="none"/>
              </w:rPr>
            </w:pPr>
            <w:r>
              <w:rPr>
                <w:rFonts w:hint="eastAsia" w:ascii="宋体" w:hAnsi="宋体" w:eastAsia="宋体" w:cs="宋体"/>
                <w:b w:val="0"/>
                <w:bCs/>
                <w:color w:val="auto"/>
                <w:sz w:val="21"/>
                <w:szCs w:val="22"/>
                <w:highlight w:val="none"/>
              </w:rPr>
              <w:t>客户联系电话</w:t>
            </w:r>
          </w:p>
        </w:tc>
      </w:tr>
      <w:tr w14:paraId="6E8C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99" w:type="dxa"/>
          </w:tcPr>
          <w:p w14:paraId="65D69C48">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414" w:type="dxa"/>
          </w:tcPr>
          <w:p w14:paraId="29D97699">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356" w:type="dxa"/>
          </w:tcPr>
          <w:p w14:paraId="1FE9B754">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439" w:type="dxa"/>
          </w:tcPr>
          <w:p w14:paraId="20AF7553">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370" w:type="dxa"/>
          </w:tcPr>
          <w:p w14:paraId="40EC3B97">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899" w:type="dxa"/>
          </w:tcPr>
          <w:p w14:paraId="57716AF7">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r>
      <w:tr w14:paraId="1D98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99" w:type="dxa"/>
          </w:tcPr>
          <w:p w14:paraId="39994919">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414" w:type="dxa"/>
          </w:tcPr>
          <w:p w14:paraId="00A51DED">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356" w:type="dxa"/>
          </w:tcPr>
          <w:p w14:paraId="3A0564F7">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439" w:type="dxa"/>
          </w:tcPr>
          <w:p w14:paraId="1C26706A">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370" w:type="dxa"/>
          </w:tcPr>
          <w:p w14:paraId="3CDCC6D8">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899" w:type="dxa"/>
          </w:tcPr>
          <w:p w14:paraId="758B8B1C">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r>
      <w:tr w14:paraId="16F7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99" w:type="dxa"/>
          </w:tcPr>
          <w:p w14:paraId="15F99EF3">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414" w:type="dxa"/>
          </w:tcPr>
          <w:p w14:paraId="479E64D5">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356" w:type="dxa"/>
          </w:tcPr>
          <w:p w14:paraId="107FB2C1">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439" w:type="dxa"/>
          </w:tcPr>
          <w:p w14:paraId="051EE142">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370" w:type="dxa"/>
          </w:tcPr>
          <w:p w14:paraId="137E105A">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899" w:type="dxa"/>
          </w:tcPr>
          <w:p w14:paraId="1912539D">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r>
      <w:tr w14:paraId="3CDA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99" w:type="dxa"/>
          </w:tcPr>
          <w:p w14:paraId="1EE911BD">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414" w:type="dxa"/>
          </w:tcPr>
          <w:p w14:paraId="5984F117">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356" w:type="dxa"/>
          </w:tcPr>
          <w:p w14:paraId="68DFC775">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439" w:type="dxa"/>
          </w:tcPr>
          <w:p w14:paraId="1D2B5932">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370" w:type="dxa"/>
          </w:tcPr>
          <w:p w14:paraId="6E8FBFDF">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899" w:type="dxa"/>
          </w:tcPr>
          <w:p w14:paraId="4FDA7A1A">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r>
      <w:tr w14:paraId="6FEC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99" w:type="dxa"/>
          </w:tcPr>
          <w:p w14:paraId="004D05F2">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414" w:type="dxa"/>
          </w:tcPr>
          <w:p w14:paraId="14E1D46A">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356" w:type="dxa"/>
          </w:tcPr>
          <w:p w14:paraId="055987BF">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439" w:type="dxa"/>
          </w:tcPr>
          <w:p w14:paraId="3149962A">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370" w:type="dxa"/>
          </w:tcPr>
          <w:p w14:paraId="29B5B794">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899" w:type="dxa"/>
          </w:tcPr>
          <w:p w14:paraId="30A361F8">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r>
      <w:tr w14:paraId="682C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99" w:type="dxa"/>
          </w:tcPr>
          <w:p w14:paraId="1402AE1E">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414" w:type="dxa"/>
          </w:tcPr>
          <w:p w14:paraId="1714F1F0">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356" w:type="dxa"/>
          </w:tcPr>
          <w:p w14:paraId="2C597508">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439" w:type="dxa"/>
          </w:tcPr>
          <w:p w14:paraId="6F65612B">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370" w:type="dxa"/>
          </w:tcPr>
          <w:p w14:paraId="3E9B7975">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899" w:type="dxa"/>
          </w:tcPr>
          <w:p w14:paraId="5D090B10">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r>
      <w:tr w14:paraId="659D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99" w:type="dxa"/>
          </w:tcPr>
          <w:p w14:paraId="468DF0EE">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414" w:type="dxa"/>
          </w:tcPr>
          <w:p w14:paraId="4F8482E6">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356" w:type="dxa"/>
          </w:tcPr>
          <w:p w14:paraId="02578BC3">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439" w:type="dxa"/>
          </w:tcPr>
          <w:p w14:paraId="3C82D00E">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370" w:type="dxa"/>
          </w:tcPr>
          <w:p w14:paraId="3C3F5351">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899" w:type="dxa"/>
          </w:tcPr>
          <w:p w14:paraId="21155998">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r>
      <w:tr w14:paraId="5484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99" w:type="dxa"/>
          </w:tcPr>
          <w:p w14:paraId="77BB2A44">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414" w:type="dxa"/>
          </w:tcPr>
          <w:p w14:paraId="6AF6D602">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356" w:type="dxa"/>
          </w:tcPr>
          <w:p w14:paraId="25E7487A">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439" w:type="dxa"/>
          </w:tcPr>
          <w:p w14:paraId="5D497FC0">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370" w:type="dxa"/>
          </w:tcPr>
          <w:p w14:paraId="3764AC35">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c>
          <w:tcPr>
            <w:tcW w:w="1899" w:type="dxa"/>
          </w:tcPr>
          <w:p w14:paraId="3DCC6DF6">
            <w:pPr>
              <w:keepNext w:val="0"/>
              <w:keepLines w:val="0"/>
              <w:widowControl/>
              <w:suppressLineNumbers w:val="0"/>
              <w:spacing w:before="0" w:beforeAutospacing="0" w:after="0" w:afterAutospacing="0"/>
              <w:ind w:left="0" w:right="0"/>
              <w:rPr>
                <w:rFonts w:hint="eastAsia" w:ascii="宋体" w:hAnsi="宋体" w:eastAsia="宋体" w:cs="宋体"/>
                <w:b w:val="0"/>
                <w:bCs/>
                <w:color w:val="auto"/>
                <w:sz w:val="21"/>
                <w:szCs w:val="22"/>
                <w:highlight w:val="none"/>
              </w:rPr>
            </w:pPr>
          </w:p>
        </w:tc>
      </w:tr>
    </w:tbl>
    <w:p w14:paraId="42C1125B">
      <w:pPr>
        <w:spacing w:line="380" w:lineRule="exac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注：投标供应商应在本表后附相关证明材料。</w:t>
      </w:r>
    </w:p>
    <w:p w14:paraId="0518517F">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投标人：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（盖单位章）</w:t>
      </w:r>
    </w:p>
    <w:p w14:paraId="479DC071">
      <w:pPr>
        <w:pStyle w:val="110"/>
        <w:spacing w:line="42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法定代表人或其委托代理人：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（签字或盖章）</w:t>
      </w:r>
    </w:p>
    <w:p w14:paraId="22F210F5">
      <w:pPr>
        <w:pStyle w:val="110"/>
        <w:spacing w:line="420" w:lineRule="exact"/>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rPr>
        <w:t xml:space="preserve">  年   月   日</w:t>
      </w:r>
    </w:p>
    <w:p w14:paraId="538BFD3C">
      <w:pPr>
        <w:jc w:val="center"/>
        <w:rPr>
          <w:rFonts w:hint="eastAsia" w:ascii="宋体" w:hAnsi="宋体" w:eastAsia="宋体" w:cs="宋体"/>
          <w:color w:val="auto"/>
          <w:spacing w:val="6"/>
          <w:sz w:val="24"/>
          <w:szCs w:val="24"/>
          <w:highlight w:val="none"/>
          <w:lang w:val="zh-CN"/>
        </w:rPr>
      </w:pPr>
    </w:p>
    <w:p w14:paraId="6431A6F4">
      <w:pPr>
        <w:jc w:val="center"/>
        <w:rPr>
          <w:rFonts w:hint="eastAsia" w:ascii="宋体" w:hAnsi="宋体" w:eastAsia="宋体" w:cs="宋体"/>
          <w:color w:val="auto"/>
          <w:spacing w:val="6"/>
          <w:sz w:val="24"/>
          <w:szCs w:val="24"/>
          <w:highlight w:val="none"/>
          <w:lang w:val="zh-CN"/>
        </w:rPr>
      </w:pPr>
    </w:p>
    <w:p w14:paraId="16B6C3CC">
      <w:pPr>
        <w:bidi w:val="0"/>
        <w:rPr>
          <w:rFonts w:hint="eastAsia" w:ascii="宋体" w:hAnsi="宋体" w:eastAsia="宋体" w:cs="宋体"/>
          <w:lang w:val="zh-CN"/>
        </w:rPr>
      </w:pPr>
    </w:p>
    <w:p w14:paraId="19F1D3E4">
      <w:pPr>
        <w:bidi w:val="0"/>
        <w:rPr>
          <w:rFonts w:hint="eastAsia" w:ascii="宋体" w:hAnsi="宋体" w:eastAsia="宋体" w:cs="宋体"/>
          <w:lang w:val="zh-CN"/>
        </w:rPr>
      </w:pPr>
    </w:p>
    <w:p w14:paraId="45F6BF31">
      <w:pPr>
        <w:bidi w:val="0"/>
        <w:rPr>
          <w:rFonts w:hint="eastAsia" w:ascii="宋体" w:hAnsi="宋体" w:eastAsia="宋体" w:cs="宋体"/>
          <w:lang w:val="zh-CN"/>
        </w:rPr>
      </w:pPr>
    </w:p>
    <w:p w14:paraId="5211E090">
      <w:pPr>
        <w:rPr>
          <w:rFonts w:hint="eastAsia" w:ascii="宋体" w:hAnsi="宋体" w:eastAsia="宋体" w:cs="宋体"/>
          <w:color w:val="auto"/>
          <w:spacing w:val="6"/>
          <w:sz w:val="24"/>
          <w:szCs w:val="24"/>
          <w:highlight w:val="none"/>
          <w:lang w:val="zh-CN"/>
        </w:rPr>
      </w:pPr>
    </w:p>
    <w:p w14:paraId="11BEE495">
      <w:pPr>
        <w:rPr>
          <w:rFonts w:hint="eastAsia" w:ascii="宋体" w:hAnsi="宋体" w:eastAsia="宋体" w:cs="宋体"/>
          <w:color w:val="auto"/>
          <w:spacing w:val="6"/>
          <w:sz w:val="24"/>
          <w:szCs w:val="24"/>
          <w:highlight w:val="none"/>
          <w:lang w:val="zh-CN"/>
        </w:rPr>
      </w:pPr>
    </w:p>
    <w:p w14:paraId="0CFB405B">
      <w:pPr>
        <w:rPr>
          <w:rFonts w:hint="eastAsia" w:ascii="宋体" w:hAnsi="宋体" w:eastAsia="宋体" w:cs="宋体"/>
          <w:color w:val="auto"/>
          <w:spacing w:val="6"/>
          <w:sz w:val="24"/>
          <w:szCs w:val="24"/>
          <w:highlight w:val="none"/>
          <w:lang w:val="zh-CN"/>
        </w:rPr>
      </w:pPr>
      <w:r>
        <w:rPr>
          <w:rFonts w:hint="eastAsia" w:ascii="宋体" w:hAnsi="宋体" w:eastAsia="宋体" w:cs="宋体"/>
          <w:color w:val="auto"/>
          <w:spacing w:val="6"/>
          <w:sz w:val="24"/>
          <w:szCs w:val="24"/>
          <w:highlight w:val="none"/>
          <w:lang w:val="zh-CN"/>
        </w:rPr>
        <w:br w:type="page"/>
      </w:r>
    </w:p>
    <w:p w14:paraId="5D1EDFB0">
      <w:pPr>
        <w:jc w:val="center"/>
        <w:rPr>
          <w:rFonts w:hint="eastAsia" w:ascii="宋体" w:hAnsi="宋体" w:eastAsia="宋体" w:cs="宋体"/>
          <w:bCs/>
          <w:color w:val="auto"/>
          <w:spacing w:val="6"/>
          <w:sz w:val="21"/>
          <w:szCs w:val="21"/>
          <w:highlight w:val="none"/>
        </w:rPr>
      </w:pPr>
    </w:p>
    <w:p w14:paraId="51B7DE60">
      <w:pPr>
        <w:jc w:val="center"/>
        <w:rPr>
          <w:rFonts w:hint="eastAsia" w:ascii="宋体" w:hAnsi="宋体" w:eastAsia="宋体" w:cs="宋体"/>
          <w:b/>
          <w:bCs w:val="0"/>
          <w:color w:val="auto"/>
          <w:spacing w:val="6"/>
          <w:sz w:val="28"/>
          <w:szCs w:val="28"/>
          <w:highlight w:val="none"/>
        </w:rPr>
      </w:pPr>
      <w:r>
        <w:rPr>
          <w:rFonts w:hint="eastAsia" w:ascii="宋体" w:hAnsi="宋体" w:eastAsia="宋体" w:cs="宋体"/>
          <w:b/>
          <w:bCs w:val="0"/>
          <w:color w:val="auto"/>
          <w:spacing w:val="10"/>
          <w:sz w:val="24"/>
          <w:szCs w:val="24"/>
          <w:highlight w:val="none"/>
          <w:lang w:val="en-US" w:eastAsia="zh-CN"/>
        </w:rPr>
        <w:t>综合</w:t>
      </w:r>
      <w:r>
        <w:rPr>
          <w:rFonts w:hint="eastAsia" w:ascii="宋体" w:hAnsi="宋体" w:eastAsia="宋体" w:cs="宋体"/>
          <w:b/>
          <w:bCs w:val="0"/>
          <w:color w:val="auto"/>
          <w:spacing w:val="10"/>
          <w:sz w:val="24"/>
          <w:szCs w:val="24"/>
          <w:highlight w:val="none"/>
        </w:rPr>
        <w:t>标需要提供的其他资料</w:t>
      </w:r>
    </w:p>
    <w:p w14:paraId="377DE522">
      <w:pPr>
        <w:jc w:val="center"/>
        <w:rPr>
          <w:rFonts w:hint="eastAsia" w:ascii="宋体" w:hAnsi="宋体" w:eastAsia="宋体" w:cs="宋体"/>
          <w:bCs/>
          <w:color w:val="auto"/>
          <w:spacing w:val="6"/>
          <w:sz w:val="21"/>
          <w:szCs w:val="21"/>
          <w:highlight w:val="none"/>
        </w:rPr>
      </w:pPr>
    </w:p>
    <w:p w14:paraId="0DBAA936">
      <w:pPr>
        <w:spacing w:line="420" w:lineRule="exact"/>
        <w:ind w:firstLine="444" w:firstLineChars="200"/>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投标人根据第五章“评标办法”第2.2.</w:t>
      </w:r>
      <w:r>
        <w:rPr>
          <w:rFonts w:hint="eastAsia" w:ascii="宋体" w:hAnsi="宋体" w:eastAsia="宋体" w:cs="宋体"/>
          <w:bCs/>
          <w:color w:val="auto"/>
          <w:spacing w:val="6"/>
          <w:sz w:val="21"/>
          <w:szCs w:val="21"/>
          <w:highlight w:val="none"/>
          <w:lang w:val="en-US" w:eastAsia="zh-CN"/>
        </w:rPr>
        <w:t>2</w:t>
      </w:r>
      <w:r>
        <w:rPr>
          <w:rFonts w:hint="eastAsia" w:ascii="宋体" w:hAnsi="宋体" w:eastAsia="宋体" w:cs="宋体"/>
          <w:bCs/>
          <w:color w:val="auto"/>
          <w:spacing w:val="6"/>
          <w:sz w:val="21"/>
          <w:szCs w:val="21"/>
          <w:highlight w:val="none"/>
        </w:rPr>
        <w:t>（</w:t>
      </w:r>
      <w:r>
        <w:rPr>
          <w:rFonts w:hint="eastAsia" w:ascii="宋体" w:hAnsi="宋体" w:eastAsia="宋体" w:cs="宋体"/>
          <w:bCs/>
          <w:color w:val="auto"/>
          <w:spacing w:val="6"/>
          <w:sz w:val="21"/>
          <w:szCs w:val="21"/>
          <w:highlight w:val="none"/>
          <w:lang w:val="en-US" w:eastAsia="zh-CN"/>
        </w:rPr>
        <w:t>2</w:t>
      </w:r>
      <w:r>
        <w:rPr>
          <w:rFonts w:hint="eastAsia" w:ascii="宋体" w:hAnsi="宋体" w:eastAsia="宋体" w:cs="宋体"/>
          <w:bCs/>
          <w:color w:val="auto"/>
          <w:spacing w:val="6"/>
          <w:sz w:val="21"/>
          <w:szCs w:val="21"/>
          <w:highlight w:val="none"/>
        </w:rPr>
        <w:t>）目商务标评分因素要求的材料及自身情况自行填报。</w:t>
      </w:r>
    </w:p>
    <w:p w14:paraId="42AC6B7B">
      <w:pPr>
        <w:spacing w:line="420" w:lineRule="exact"/>
        <w:rPr>
          <w:rFonts w:hint="eastAsia" w:ascii="宋体" w:hAnsi="宋体" w:eastAsia="宋体" w:cs="宋体"/>
          <w:bCs/>
          <w:color w:val="auto"/>
          <w:spacing w:val="6"/>
          <w:sz w:val="21"/>
          <w:szCs w:val="21"/>
          <w:highlight w:val="none"/>
        </w:rPr>
      </w:pPr>
    </w:p>
    <w:p w14:paraId="19F17F81">
      <w:pPr>
        <w:spacing w:line="420" w:lineRule="exact"/>
        <w:ind w:firstLine="444" w:firstLineChars="200"/>
        <w:jc w:val="left"/>
        <w:rPr>
          <w:rFonts w:hint="eastAsia" w:ascii="宋体" w:hAnsi="宋体" w:eastAsia="宋体" w:cs="宋体"/>
          <w:bCs/>
          <w:color w:val="auto"/>
          <w:spacing w:val="6"/>
          <w:sz w:val="21"/>
          <w:szCs w:val="21"/>
          <w:highlight w:val="none"/>
          <w:lang w:val="en-US" w:eastAsia="zh-CN"/>
        </w:rPr>
      </w:pPr>
      <w:bookmarkStart w:id="578" w:name="_Hlk89442579"/>
      <w:r>
        <w:rPr>
          <w:rFonts w:hint="eastAsia" w:ascii="宋体" w:hAnsi="宋体" w:eastAsia="宋体" w:cs="宋体"/>
          <w:bCs/>
          <w:color w:val="auto"/>
          <w:spacing w:val="6"/>
          <w:sz w:val="21"/>
          <w:szCs w:val="21"/>
          <w:highlight w:val="none"/>
          <w:lang w:val="en-US" w:eastAsia="zh-CN"/>
        </w:rPr>
        <w:t>1.</w:t>
      </w:r>
      <w:r>
        <w:rPr>
          <w:rFonts w:hint="eastAsia" w:ascii="宋体" w:hAnsi="宋体" w:eastAsia="宋体" w:cs="宋体"/>
          <w:bCs/>
          <w:color w:val="auto"/>
          <w:spacing w:val="6"/>
          <w:sz w:val="21"/>
          <w:szCs w:val="21"/>
          <w:highlight w:val="none"/>
        </w:rPr>
        <w:t>投标产品的著作权证书</w:t>
      </w:r>
      <w:bookmarkStart w:id="598" w:name="_GoBack"/>
      <w:bookmarkEnd w:id="598"/>
    </w:p>
    <w:p w14:paraId="1A04213C">
      <w:pPr>
        <w:spacing w:line="420" w:lineRule="exact"/>
        <w:ind w:firstLine="444" w:firstLineChars="200"/>
        <w:jc w:val="left"/>
        <w:rPr>
          <w:rFonts w:hint="eastAsia" w:ascii="宋体" w:hAnsi="宋体" w:eastAsia="宋体" w:cs="宋体"/>
          <w:bCs/>
          <w:color w:val="auto"/>
          <w:spacing w:val="6"/>
          <w:sz w:val="21"/>
          <w:szCs w:val="21"/>
          <w:highlight w:val="none"/>
        </w:rPr>
      </w:pPr>
      <w:r>
        <w:rPr>
          <w:rFonts w:hint="eastAsia" w:ascii="宋体" w:hAnsi="宋体" w:cs="宋体"/>
          <w:bCs/>
          <w:color w:val="auto"/>
          <w:spacing w:val="6"/>
          <w:sz w:val="21"/>
          <w:szCs w:val="21"/>
          <w:highlight w:val="none"/>
          <w:lang w:val="en-US" w:eastAsia="zh-CN"/>
        </w:rPr>
        <w:t>2</w:t>
      </w:r>
      <w:r>
        <w:rPr>
          <w:rFonts w:hint="eastAsia" w:ascii="宋体" w:hAnsi="宋体" w:eastAsia="宋体" w:cs="宋体"/>
          <w:bCs/>
          <w:color w:val="auto"/>
          <w:spacing w:val="6"/>
          <w:sz w:val="21"/>
          <w:szCs w:val="21"/>
          <w:highlight w:val="none"/>
          <w:lang w:val="en-US" w:eastAsia="zh-CN"/>
        </w:rPr>
        <w:t>.</w:t>
      </w:r>
      <w:r>
        <w:rPr>
          <w:rFonts w:hint="eastAsia" w:ascii="宋体" w:hAnsi="宋体" w:eastAsia="宋体" w:cs="宋体"/>
          <w:bCs/>
          <w:color w:val="auto"/>
          <w:spacing w:val="6"/>
          <w:sz w:val="21"/>
          <w:szCs w:val="21"/>
          <w:highlight w:val="none"/>
        </w:rPr>
        <w:t>项目</w:t>
      </w:r>
      <w:r>
        <w:rPr>
          <w:rFonts w:hint="eastAsia" w:ascii="宋体" w:hAnsi="宋体" w:eastAsia="宋体" w:cs="宋体"/>
          <w:bCs/>
          <w:color w:val="auto"/>
          <w:spacing w:val="6"/>
          <w:sz w:val="21"/>
          <w:szCs w:val="21"/>
          <w:highlight w:val="none"/>
          <w:lang w:val="en-US" w:eastAsia="zh-CN"/>
        </w:rPr>
        <w:t>团队</w:t>
      </w:r>
      <w:r>
        <w:rPr>
          <w:rFonts w:hint="eastAsia" w:ascii="宋体" w:hAnsi="宋体" w:eastAsia="宋体" w:cs="宋体"/>
          <w:bCs/>
          <w:color w:val="auto"/>
          <w:spacing w:val="6"/>
          <w:sz w:val="21"/>
          <w:szCs w:val="21"/>
          <w:highlight w:val="none"/>
        </w:rPr>
        <w:t>人员</w:t>
      </w:r>
    </w:p>
    <w:p w14:paraId="453CB6D7">
      <w:pPr>
        <w:rPr>
          <w:rFonts w:hint="eastAsia"/>
          <w:i w:val="0"/>
          <w:iCs w:val="0"/>
          <w:highlight w:val="none"/>
          <w:lang w:val="en-US"/>
        </w:rPr>
      </w:pPr>
    </w:p>
    <w:bookmarkEnd w:id="578"/>
    <w:p w14:paraId="7A8EB458">
      <w:pPr>
        <w:bidi w:val="0"/>
        <w:rPr>
          <w:rFonts w:hint="eastAsia" w:ascii="宋体" w:hAnsi="宋体" w:eastAsia="宋体" w:cs="宋体"/>
        </w:rPr>
      </w:pPr>
      <w:bookmarkStart w:id="579" w:name="_Toc1660869"/>
      <w:r>
        <w:rPr>
          <w:rFonts w:hint="eastAsia" w:ascii="宋体" w:hAnsi="宋体" w:eastAsia="宋体" w:cs="宋体"/>
        </w:rPr>
        <w:br w:type="page"/>
      </w:r>
      <w:bookmarkStart w:id="580" w:name="_Toc1660867"/>
    </w:p>
    <w:p w14:paraId="368D6464">
      <w:pPr>
        <w:pStyle w:val="3"/>
        <w:outlineLvl w:val="1"/>
        <w:rPr>
          <w:rFonts w:hint="eastAsia" w:ascii="宋体" w:hAnsi="宋体" w:eastAsia="宋体" w:cs="宋体"/>
          <w:b w:val="0"/>
          <w:bCs w:val="0"/>
          <w:color w:val="auto"/>
          <w:spacing w:val="6"/>
          <w:sz w:val="28"/>
          <w:szCs w:val="28"/>
          <w:highlight w:val="none"/>
          <w:lang w:val="en-US" w:eastAsia="zh-CN"/>
        </w:rPr>
      </w:pPr>
      <w:bookmarkStart w:id="581" w:name="_Toc19307"/>
      <w:bookmarkStart w:id="582" w:name="_Toc1144"/>
      <w:bookmarkStart w:id="583" w:name="_Toc2768"/>
      <w:bookmarkStart w:id="584" w:name="_Toc31979"/>
      <w:bookmarkStart w:id="585" w:name="_Toc26519"/>
      <w:r>
        <w:rPr>
          <w:rFonts w:hint="eastAsia" w:ascii="宋体" w:hAnsi="宋体" w:eastAsia="宋体" w:cs="宋体"/>
          <w:b w:val="0"/>
          <w:bCs w:val="0"/>
          <w:color w:val="auto"/>
          <w:spacing w:val="6"/>
          <w:sz w:val="28"/>
          <w:szCs w:val="28"/>
          <w:highlight w:val="none"/>
          <w:lang w:val="en-US" w:eastAsia="zh-CN"/>
        </w:rPr>
        <w:t>八、技术</w:t>
      </w:r>
      <w:bookmarkEnd w:id="580"/>
      <w:r>
        <w:rPr>
          <w:rFonts w:hint="eastAsia" w:ascii="宋体" w:hAnsi="宋体" w:eastAsia="宋体" w:cs="宋体"/>
          <w:b w:val="0"/>
          <w:bCs w:val="0"/>
          <w:color w:val="auto"/>
          <w:spacing w:val="6"/>
          <w:sz w:val="28"/>
          <w:szCs w:val="28"/>
          <w:highlight w:val="none"/>
          <w:lang w:val="en-US" w:eastAsia="zh-CN"/>
        </w:rPr>
        <w:t>标评审材料</w:t>
      </w:r>
      <w:bookmarkEnd w:id="581"/>
      <w:bookmarkEnd w:id="582"/>
      <w:bookmarkEnd w:id="583"/>
      <w:bookmarkEnd w:id="584"/>
      <w:bookmarkEnd w:id="585"/>
    </w:p>
    <w:p w14:paraId="3D11A702">
      <w:pPr>
        <w:jc w:val="center"/>
        <w:rPr>
          <w:rFonts w:hint="eastAsia" w:ascii="宋体" w:hAnsi="宋体" w:eastAsia="宋体" w:cs="宋体"/>
          <w:b/>
          <w:bCs w:val="0"/>
          <w:color w:val="auto"/>
          <w:spacing w:val="10"/>
          <w:sz w:val="24"/>
          <w:szCs w:val="24"/>
          <w:highlight w:val="none"/>
        </w:rPr>
      </w:pPr>
      <w:r>
        <w:rPr>
          <w:rFonts w:hint="eastAsia" w:ascii="宋体" w:hAnsi="宋体" w:eastAsia="宋体" w:cs="宋体"/>
          <w:b/>
          <w:bCs w:val="0"/>
          <w:color w:val="auto"/>
          <w:spacing w:val="10"/>
          <w:sz w:val="24"/>
          <w:szCs w:val="24"/>
          <w:highlight w:val="none"/>
        </w:rPr>
        <w:t>服务要求响应与偏差表</w:t>
      </w:r>
    </w:p>
    <w:tbl>
      <w:tblPr>
        <w:tblStyle w:val="26"/>
        <w:tblW w:w="9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083"/>
        <w:gridCol w:w="2409"/>
        <w:gridCol w:w="1374"/>
        <w:gridCol w:w="1242"/>
        <w:gridCol w:w="1946"/>
      </w:tblGrid>
      <w:tr w14:paraId="4366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exact"/>
        </w:trPr>
        <w:tc>
          <w:tcPr>
            <w:tcW w:w="750" w:type="dxa"/>
            <w:noWrap w:val="0"/>
            <w:vAlign w:val="center"/>
          </w:tcPr>
          <w:p w14:paraId="5D2E2163">
            <w:pPr>
              <w:pStyle w:val="176"/>
              <w:ind w:firstLine="0" w:firstLineChars="0"/>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序号</w:t>
            </w:r>
          </w:p>
        </w:tc>
        <w:tc>
          <w:tcPr>
            <w:tcW w:w="2083" w:type="dxa"/>
            <w:noWrap w:val="0"/>
            <w:vAlign w:val="center"/>
          </w:tcPr>
          <w:p w14:paraId="7426981C">
            <w:pPr>
              <w:pStyle w:val="176"/>
              <w:ind w:firstLine="0" w:firstLineChars="0"/>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招标文件服务要求</w:t>
            </w:r>
          </w:p>
        </w:tc>
        <w:tc>
          <w:tcPr>
            <w:tcW w:w="2409" w:type="dxa"/>
            <w:noWrap w:val="0"/>
            <w:vAlign w:val="center"/>
          </w:tcPr>
          <w:p w14:paraId="4942FA40">
            <w:pPr>
              <w:pStyle w:val="176"/>
              <w:ind w:firstLine="0" w:firstLineChars="0"/>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投标人承诺的服务响应</w:t>
            </w:r>
          </w:p>
        </w:tc>
        <w:tc>
          <w:tcPr>
            <w:tcW w:w="1374" w:type="dxa"/>
            <w:noWrap w:val="0"/>
            <w:vAlign w:val="center"/>
          </w:tcPr>
          <w:p w14:paraId="6C5436CD">
            <w:pPr>
              <w:pStyle w:val="176"/>
              <w:ind w:firstLine="0" w:firstLineChars="0"/>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偏差描述</w:t>
            </w:r>
          </w:p>
        </w:tc>
        <w:tc>
          <w:tcPr>
            <w:tcW w:w="1242" w:type="dxa"/>
            <w:noWrap w:val="0"/>
            <w:vAlign w:val="center"/>
          </w:tcPr>
          <w:p w14:paraId="43C1C796">
            <w:pPr>
              <w:pStyle w:val="176"/>
              <w:ind w:firstLine="0" w:firstLineChars="0"/>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结论</w:t>
            </w:r>
          </w:p>
        </w:tc>
        <w:tc>
          <w:tcPr>
            <w:tcW w:w="1946" w:type="dxa"/>
            <w:noWrap w:val="0"/>
            <w:vAlign w:val="center"/>
          </w:tcPr>
          <w:p w14:paraId="2E871F58">
            <w:pPr>
              <w:pStyle w:val="176"/>
              <w:ind w:firstLine="0" w:firstLineChars="0"/>
              <w:rPr>
                <w:rFonts w:hint="eastAsia" w:ascii="新宋体" w:hAnsi="新宋体" w:eastAsia="新宋体" w:cs="新宋体"/>
                <w:spacing w:val="14"/>
                <w:kern w:val="0"/>
                <w:sz w:val="24"/>
                <w:szCs w:val="24"/>
              </w:rPr>
            </w:pPr>
            <w:r>
              <w:rPr>
                <w:rFonts w:hint="eastAsia" w:ascii="宋体" w:hAnsi="宋体" w:eastAsia="宋体" w:cs="宋体"/>
                <w:b w:val="0"/>
                <w:bCs w:val="0"/>
                <w:kern w:val="0"/>
                <w:sz w:val="21"/>
                <w:szCs w:val="21"/>
                <w:lang w:val="en-US" w:eastAsia="zh-CN" w:bidi="ar-SA"/>
              </w:rPr>
              <w:t>备注：标▲项</w:t>
            </w:r>
            <w:r>
              <w:rPr>
                <w:rFonts w:hint="eastAsia" w:ascii="宋体" w:hAnsi="宋体" w:cs="宋体"/>
                <w:b w:val="0"/>
                <w:bCs w:val="0"/>
                <w:kern w:val="0"/>
                <w:sz w:val="21"/>
                <w:szCs w:val="21"/>
                <w:lang w:val="en-US" w:eastAsia="zh-CN" w:bidi="ar-SA"/>
              </w:rPr>
              <w:t>功能截图</w:t>
            </w:r>
            <w:r>
              <w:rPr>
                <w:rFonts w:hint="eastAsia" w:ascii="宋体" w:hAnsi="宋体" w:eastAsia="宋体" w:cs="宋体"/>
                <w:b w:val="0"/>
                <w:bCs w:val="0"/>
                <w:kern w:val="0"/>
                <w:sz w:val="21"/>
                <w:szCs w:val="21"/>
                <w:lang w:val="en-US" w:eastAsia="zh-CN" w:bidi="ar-SA"/>
              </w:rPr>
              <w:t>所在页码</w:t>
            </w:r>
          </w:p>
        </w:tc>
      </w:tr>
      <w:tr w14:paraId="13B3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750" w:type="dxa"/>
            <w:noWrap w:val="0"/>
            <w:vAlign w:val="center"/>
          </w:tcPr>
          <w:p w14:paraId="77A6D9ED">
            <w:pPr>
              <w:pStyle w:val="176"/>
              <w:ind w:firstLine="0" w:firstLineChars="0"/>
              <w:jc w:val="center"/>
              <w:rPr>
                <w:rFonts w:hint="eastAsia" w:ascii="新宋体" w:hAnsi="新宋体" w:eastAsia="新宋体" w:cs="新宋体"/>
                <w:spacing w:val="14"/>
                <w:kern w:val="0"/>
                <w:sz w:val="24"/>
                <w:szCs w:val="24"/>
                <w:lang w:val="en-US" w:eastAsia="zh-CN" w:bidi="ar-SA"/>
              </w:rPr>
            </w:pPr>
            <w:r>
              <w:rPr>
                <w:rFonts w:hint="eastAsia" w:ascii="新宋体" w:hAnsi="新宋体" w:eastAsia="新宋体" w:cs="新宋体"/>
                <w:spacing w:val="14"/>
                <w:kern w:val="0"/>
                <w:sz w:val="24"/>
                <w:szCs w:val="24"/>
                <w:lang w:val="en-US" w:eastAsia="zh-CN" w:bidi="ar-SA"/>
              </w:rPr>
              <w:t>1</w:t>
            </w:r>
          </w:p>
        </w:tc>
        <w:tc>
          <w:tcPr>
            <w:tcW w:w="2083" w:type="dxa"/>
            <w:noWrap w:val="0"/>
            <w:vAlign w:val="center"/>
          </w:tcPr>
          <w:p w14:paraId="011D32A7">
            <w:pPr>
              <w:pStyle w:val="138"/>
              <w:jc w:val="center"/>
              <w:rPr>
                <w:rFonts w:hint="eastAsia" w:ascii="新宋体" w:hAnsi="新宋体" w:eastAsia="新宋体" w:cs="新宋体"/>
                <w:spacing w:val="14"/>
                <w:kern w:val="0"/>
                <w:sz w:val="24"/>
                <w:szCs w:val="24"/>
              </w:rPr>
            </w:pPr>
          </w:p>
        </w:tc>
        <w:tc>
          <w:tcPr>
            <w:tcW w:w="2409" w:type="dxa"/>
            <w:noWrap w:val="0"/>
            <w:vAlign w:val="center"/>
          </w:tcPr>
          <w:p w14:paraId="4358813F">
            <w:pPr>
              <w:pStyle w:val="138"/>
              <w:jc w:val="center"/>
              <w:rPr>
                <w:rFonts w:hint="eastAsia" w:ascii="新宋体" w:hAnsi="新宋体" w:eastAsia="新宋体" w:cs="新宋体"/>
                <w:spacing w:val="14"/>
                <w:kern w:val="0"/>
                <w:sz w:val="24"/>
                <w:szCs w:val="24"/>
              </w:rPr>
            </w:pPr>
          </w:p>
        </w:tc>
        <w:tc>
          <w:tcPr>
            <w:tcW w:w="1374" w:type="dxa"/>
            <w:noWrap w:val="0"/>
            <w:vAlign w:val="center"/>
          </w:tcPr>
          <w:p w14:paraId="08529C32">
            <w:pPr>
              <w:pStyle w:val="176"/>
              <w:ind w:firstLine="474"/>
              <w:jc w:val="center"/>
              <w:rPr>
                <w:rFonts w:hint="eastAsia" w:ascii="新宋体" w:hAnsi="新宋体" w:eastAsia="新宋体" w:cs="新宋体"/>
                <w:spacing w:val="14"/>
                <w:kern w:val="0"/>
                <w:sz w:val="24"/>
                <w:szCs w:val="24"/>
              </w:rPr>
            </w:pPr>
          </w:p>
        </w:tc>
        <w:tc>
          <w:tcPr>
            <w:tcW w:w="1242" w:type="dxa"/>
            <w:noWrap w:val="0"/>
            <w:vAlign w:val="center"/>
          </w:tcPr>
          <w:p w14:paraId="239CF646">
            <w:pPr>
              <w:pStyle w:val="176"/>
              <w:ind w:firstLine="474"/>
              <w:jc w:val="center"/>
              <w:rPr>
                <w:rFonts w:hint="eastAsia" w:ascii="新宋体" w:hAnsi="新宋体" w:eastAsia="新宋体" w:cs="新宋体"/>
                <w:spacing w:val="14"/>
                <w:kern w:val="0"/>
                <w:sz w:val="24"/>
                <w:szCs w:val="24"/>
              </w:rPr>
            </w:pPr>
          </w:p>
        </w:tc>
        <w:tc>
          <w:tcPr>
            <w:tcW w:w="1946" w:type="dxa"/>
            <w:noWrap w:val="0"/>
            <w:vAlign w:val="center"/>
          </w:tcPr>
          <w:p w14:paraId="366D3941">
            <w:pPr>
              <w:pStyle w:val="176"/>
              <w:ind w:firstLine="474"/>
              <w:jc w:val="center"/>
              <w:rPr>
                <w:rFonts w:hint="eastAsia" w:ascii="新宋体" w:hAnsi="新宋体" w:eastAsia="新宋体" w:cs="新宋体"/>
                <w:spacing w:val="14"/>
                <w:kern w:val="0"/>
                <w:sz w:val="24"/>
                <w:szCs w:val="24"/>
              </w:rPr>
            </w:pPr>
          </w:p>
        </w:tc>
      </w:tr>
      <w:tr w14:paraId="3A02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750" w:type="dxa"/>
            <w:noWrap w:val="0"/>
            <w:vAlign w:val="center"/>
          </w:tcPr>
          <w:p w14:paraId="5B13BBDE">
            <w:pPr>
              <w:pStyle w:val="176"/>
              <w:ind w:firstLine="0" w:firstLineChars="0"/>
              <w:jc w:val="center"/>
              <w:rPr>
                <w:rFonts w:hint="eastAsia" w:ascii="新宋体" w:hAnsi="新宋体" w:eastAsia="新宋体" w:cs="新宋体"/>
                <w:spacing w:val="14"/>
                <w:kern w:val="0"/>
                <w:sz w:val="24"/>
                <w:szCs w:val="24"/>
                <w:lang w:val="en-US" w:eastAsia="zh-CN" w:bidi="ar-SA"/>
              </w:rPr>
            </w:pPr>
            <w:r>
              <w:rPr>
                <w:rFonts w:hint="eastAsia" w:ascii="新宋体" w:hAnsi="新宋体" w:eastAsia="新宋体" w:cs="新宋体"/>
                <w:spacing w:val="14"/>
                <w:kern w:val="0"/>
                <w:sz w:val="24"/>
                <w:szCs w:val="24"/>
                <w:lang w:val="en-US" w:eastAsia="zh-CN" w:bidi="ar-SA"/>
              </w:rPr>
              <w:t>2</w:t>
            </w:r>
          </w:p>
        </w:tc>
        <w:tc>
          <w:tcPr>
            <w:tcW w:w="2083" w:type="dxa"/>
            <w:noWrap w:val="0"/>
            <w:vAlign w:val="center"/>
          </w:tcPr>
          <w:p w14:paraId="0C9B6A22">
            <w:pPr>
              <w:pStyle w:val="138"/>
              <w:jc w:val="center"/>
              <w:rPr>
                <w:rFonts w:hint="eastAsia" w:ascii="新宋体" w:hAnsi="新宋体" w:eastAsia="新宋体" w:cs="新宋体"/>
                <w:spacing w:val="14"/>
                <w:kern w:val="0"/>
                <w:sz w:val="24"/>
                <w:szCs w:val="24"/>
              </w:rPr>
            </w:pPr>
          </w:p>
        </w:tc>
        <w:tc>
          <w:tcPr>
            <w:tcW w:w="2409" w:type="dxa"/>
            <w:noWrap w:val="0"/>
            <w:vAlign w:val="center"/>
          </w:tcPr>
          <w:p w14:paraId="061559C8">
            <w:pPr>
              <w:pStyle w:val="138"/>
              <w:jc w:val="center"/>
              <w:rPr>
                <w:rFonts w:hint="eastAsia" w:ascii="新宋体" w:hAnsi="新宋体" w:eastAsia="新宋体" w:cs="新宋体"/>
                <w:spacing w:val="14"/>
                <w:kern w:val="0"/>
                <w:sz w:val="24"/>
                <w:szCs w:val="24"/>
              </w:rPr>
            </w:pPr>
          </w:p>
        </w:tc>
        <w:tc>
          <w:tcPr>
            <w:tcW w:w="1374" w:type="dxa"/>
            <w:noWrap w:val="0"/>
            <w:vAlign w:val="center"/>
          </w:tcPr>
          <w:p w14:paraId="16215A56">
            <w:pPr>
              <w:pStyle w:val="176"/>
              <w:ind w:firstLine="474"/>
              <w:jc w:val="center"/>
              <w:rPr>
                <w:rFonts w:hint="eastAsia" w:ascii="新宋体" w:hAnsi="新宋体" w:eastAsia="新宋体" w:cs="新宋体"/>
                <w:spacing w:val="14"/>
                <w:kern w:val="0"/>
                <w:sz w:val="24"/>
                <w:szCs w:val="24"/>
              </w:rPr>
            </w:pPr>
          </w:p>
        </w:tc>
        <w:tc>
          <w:tcPr>
            <w:tcW w:w="1242" w:type="dxa"/>
            <w:noWrap w:val="0"/>
            <w:vAlign w:val="center"/>
          </w:tcPr>
          <w:p w14:paraId="29A08BCD">
            <w:pPr>
              <w:pStyle w:val="176"/>
              <w:ind w:firstLine="474"/>
              <w:jc w:val="center"/>
              <w:rPr>
                <w:rFonts w:hint="eastAsia" w:ascii="新宋体" w:hAnsi="新宋体" w:eastAsia="新宋体" w:cs="新宋体"/>
                <w:spacing w:val="14"/>
                <w:kern w:val="0"/>
                <w:sz w:val="24"/>
                <w:szCs w:val="24"/>
              </w:rPr>
            </w:pPr>
          </w:p>
        </w:tc>
        <w:tc>
          <w:tcPr>
            <w:tcW w:w="1946" w:type="dxa"/>
            <w:noWrap w:val="0"/>
            <w:vAlign w:val="center"/>
          </w:tcPr>
          <w:p w14:paraId="742B1131">
            <w:pPr>
              <w:pStyle w:val="176"/>
              <w:ind w:firstLine="474"/>
              <w:jc w:val="center"/>
              <w:rPr>
                <w:rFonts w:hint="eastAsia" w:ascii="新宋体" w:hAnsi="新宋体" w:eastAsia="新宋体" w:cs="新宋体"/>
                <w:spacing w:val="14"/>
                <w:kern w:val="0"/>
                <w:sz w:val="24"/>
                <w:szCs w:val="24"/>
              </w:rPr>
            </w:pPr>
          </w:p>
        </w:tc>
      </w:tr>
      <w:tr w14:paraId="0EC5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750" w:type="dxa"/>
            <w:noWrap w:val="0"/>
            <w:vAlign w:val="center"/>
          </w:tcPr>
          <w:p w14:paraId="512F68DC">
            <w:pPr>
              <w:pStyle w:val="176"/>
              <w:ind w:firstLine="0" w:firstLineChars="0"/>
              <w:jc w:val="center"/>
              <w:rPr>
                <w:rFonts w:hint="eastAsia" w:ascii="新宋体" w:hAnsi="新宋体" w:eastAsia="新宋体" w:cs="新宋体"/>
                <w:spacing w:val="14"/>
                <w:kern w:val="0"/>
                <w:sz w:val="24"/>
                <w:szCs w:val="24"/>
                <w:lang w:val="en-US" w:eastAsia="zh-CN" w:bidi="ar-SA"/>
              </w:rPr>
            </w:pPr>
            <w:r>
              <w:rPr>
                <w:rFonts w:hint="eastAsia" w:ascii="新宋体" w:hAnsi="新宋体" w:eastAsia="新宋体" w:cs="新宋体"/>
                <w:spacing w:val="14"/>
                <w:kern w:val="0"/>
                <w:sz w:val="24"/>
                <w:szCs w:val="24"/>
                <w:lang w:val="en-US" w:eastAsia="zh-CN" w:bidi="ar-SA"/>
              </w:rPr>
              <w:t>3</w:t>
            </w:r>
          </w:p>
        </w:tc>
        <w:tc>
          <w:tcPr>
            <w:tcW w:w="2083" w:type="dxa"/>
            <w:noWrap w:val="0"/>
            <w:vAlign w:val="center"/>
          </w:tcPr>
          <w:p w14:paraId="567FB6B2">
            <w:pPr>
              <w:pStyle w:val="138"/>
              <w:jc w:val="center"/>
              <w:rPr>
                <w:rFonts w:hint="eastAsia" w:ascii="新宋体" w:hAnsi="新宋体" w:eastAsia="新宋体" w:cs="新宋体"/>
                <w:spacing w:val="14"/>
                <w:kern w:val="0"/>
                <w:sz w:val="24"/>
                <w:szCs w:val="24"/>
              </w:rPr>
            </w:pPr>
          </w:p>
        </w:tc>
        <w:tc>
          <w:tcPr>
            <w:tcW w:w="2409" w:type="dxa"/>
            <w:noWrap w:val="0"/>
            <w:vAlign w:val="center"/>
          </w:tcPr>
          <w:p w14:paraId="2E88D478">
            <w:pPr>
              <w:pStyle w:val="138"/>
              <w:jc w:val="center"/>
              <w:rPr>
                <w:rFonts w:hint="eastAsia" w:ascii="新宋体" w:hAnsi="新宋体" w:eastAsia="新宋体" w:cs="新宋体"/>
                <w:spacing w:val="14"/>
                <w:kern w:val="0"/>
                <w:sz w:val="24"/>
                <w:szCs w:val="24"/>
              </w:rPr>
            </w:pPr>
          </w:p>
        </w:tc>
        <w:tc>
          <w:tcPr>
            <w:tcW w:w="1374" w:type="dxa"/>
            <w:noWrap w:val="0"/>
            <w:vAlign w:val="center"/>
          </w:tcPr>
          <w:p w14:paraId="5B2BA37F">
            <w:pPr>
              <w:pStyle w:val="176"/>
              <w:ind w:firstLine="474"/>
              <w:jc w:val="center"/>
              <w:rPr>
                <w:rFonts w:hint="eastAsia" w:ascii="新宋体" w:hAnsi="新宋体" w:eastAsia="新宋体" w:cs="新宋体"/>
                <w:spacing w:val="14"/>
                <w:kern w:val="0"/>
                <w:sz w:val="24"/>
                <w:szCs w:val="24"/>
              </w:rPr>
            </w:pPr>
          </w:p>
        </w:tc>
        <w:tc>
          <w:tcPr>
            <w:tcW w:w="1242" w:type="dxa"/>
            <w:noWrap w:val="0"/>
            <w:vAlign w:val="center"/>
          </w:tcPr>
          <w:p w14:paraId="77036C57">
            <w:pPr>
              <w:pStyle w:val="176"/>
              <w:ind w:firstLine="474"/>
              <w:jc w:val="center"/>
              <w:rPr>
                <w:rFonts w:hint="eastAsia" w:ascii="新宋体" w:hAnsi="新宋体" w:eastAsia="新宋体" w:cs="新宋体"/>
                <w:spacing w:val="14"/>
                <w:kern w:val="0"/>
                <w:sz w:val="24"/>
                <w:szCs w:val="24"/>
              </w:rPr>
            </w:pPr>
          </w:p>
        </w:tc>
        <w:tc>
          <w:tcPr>
            <w:tcW w:w="1946" w:type="dxa"/>
            <w:noWrap w:val="0"/>
            <w:vAlign w:val="center"/>
          </w:tcPr>
          <w:p w14:paraId="28376ACC">
            <w:pPr>
              <w:pStyle w:val="176"/>
              <w:ind w:firstLine="474"/>
              <w:jc w:val="center"/>
              <w:rPr>
                <w:rFonts w:hint="eastAsia" w:ascii="新宋体" w:hAnsi="新宋体" w:eastAsia="新宋体" w:cs="新宋体"/>
                <w:spacing w:val="14"/>
                <w:kern w:val="0"/>
                <w:sz w:val="24"/>
                <w:szCs w:val="24"/>
              </w:rPr>
            </w:pPr>
          </w:p>
        </w:tc>
      </w:tr>
      <w:tr w14:paraId="59BB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750" w:type="dxa"/>
            <w:noWrap w:val="0"/>
            <w:vAlign w:val="center"/>
          </w:tcPr>
          <w:p w14:paraId="15143D61">
            <w:pPr>
              <w:pStyle w:val="176"/>
              <w:ind w:firstLine="0" w:firstLineChars="0"/>
              <w:jc w:val="center"/>
              <w:rPr>
                <w:rFonts w:hint="eastAsia" w:ascii="新宋体" w:hAnsi="新宋体" w:eastAsia="新宋体" w:cs="新宋体"/>
                <w:spacing w:val="14"/>
                <w:kern w:val="0"/>
                <w:sz w:val="24"/>
                <w:szCs w:val="24"/>
                <w:lang w:val="en-US" w:eastAsia="zh-CN" w:bidi="ar-SA"/>
              </w:rPr>
            </w:pPr>
            <w:r>
              <w:rPr>
                <w:rFonts w:hint="eastAsia" w:ascii="新宋体" w:hAnsi="新宋体" w:eastAsia="新宋体" w:cs="新宋体"/>
                <w:spacing w:val="14"/>
                <w:kern w:val="0"/>
                <w:sz w:val="24"/>
                <w:szCs w:val="24"/>
                <w:lang w:val="en-US" w:eastAsia="zh-CN" w:bidi="ar-SA"/>
              </w:rPr>
              <w:t>4</w:t>
            </w:r>
          </w:p>
        </w:tc>
        <w:tc>
          <w:tcPr>
            <w:tcW w:w="2083" w:type="dxa"/>
            <w:noWrap w:val="0"/>
            <w:vAlign w:val="center"/>
          </w:tcPr>
          <w:p w14:paraId="2DA960AB">
            <w:pPr>
              <w:pStyle w:val="138"/>
              <w:jc w:val="center"/>
              <w:rPr>
                <w:rFonts w:hint="eastAsia" w:ascii="新宋体" w:hAnsi="新宋体" w:eastAsia="新宋体" w:cs="新宋体"/>
                <w:spacing w:val="14"/>
                <w:kern w:val="0"/>
                <w:sz w:val="24"/>
                <w:szCs w:val="24"/>
              </w:rPr>
            </w:pPr>
          </w:p>
        </w:tc>
        <w:tc>
          <w:tcPr>
            <w:tcW w:w="2409" w:type="dxa"/>
            <w:noWrap w:val="0"/>
            <w:vAlign w:val="center"/>
          </w:tcPr>
          <w:p w14:paraId="7D8E8AF9">
            <w:pPr>
              <w:pStyle w:val="138"/>
              <w:jc w:val="center"/>
              <w:rPr>
                <w:rFonts w:hint="eastAsia" w:ascii="新宋体" w:hAnsi="新宋体" w:eastAsia="新宋体" w:cs="新宋体"/>
                <w:spacing w:val="14"/>
                <w:kern w:val="0"/>
                <w:sz w:val="24"/>
                <w:szCs w:val="24"/>
              </w:rPr>
            </w:pPr>
          </w:p>
        </w:tc>
        <w:tc>
          <w:tcPr>
            <w:tcW w:w="1374" w:type="dxa"/>
            <w:noWrap w:val="0"/>
            <w:vAlign w:val="center"/>
          </w:tcPr>
          <w:p w14:paraId="6E74D1B1">
            <w:pPr>
              <w:pStyle w:val="176"/>
              <w:ind w:firstLine="474"/>
              <w:jc w:val="center"/>
              <w:rPr>
                <w:rFonts w:hint="eastAsia" w:ascii="新宋体" w:hAnsi="新宋体" w:eastAsia="新宋体" w:cs="新宋体"/>
                <w:spacing w:val="14"/>
                <w:kern w:val="0"/>
                <w:sz w:val="24"/>
                <w:szCs w:val="24"/>
              </w:rPr>
            </w:pPr>
          </w:p>
        </w:tc>
        <w:tc>
          <w:tcPr>
            <w:tcW w:w="1242" w:type="dxa"/>
            <w:noWrap w:val="0"/>
            <w:vAlign w:val="center"/>
          </w:tcPr>
          <w:p w14:paraId="76839F88">
            <w:pPr>
              <w:pStyle w:val="176"/>
              <w:ind w:firstLine="474"/>
              <w:jc w:val="center"/>
              <w:rPr>
                <w:rFonts w:hint="eastAsia" w:ascii="新宋体" w:hAnsi="新宋体" w:eastAsia="新宋体" w:cs="新宋体"/>
                <w:spacing w:val="14"/>
                <w:kern w:val="0"/>
                <w:sz w:val="24"/>
                <w:szCs w:val="24"/>
              </w:rPr>
            </w:pPr>
          </w:p>
        </w:tc>
        <w:tc>
          <w:tcPr>
            <w:tcW w:w="1946" w:type="dxa"/>
            <w:noWrap w:val="0"/>
            <w:vAlign w:val="center"/>
          </w:tcPr>
          <w:p w14:paraId="4135342F">
            <w:pPr>
              <w:pStyle w:val="176"/>
              <w:ind w:firstLine="474"/>
              <w:jc w:val="center"/>
              <w:rPr>
                <w:rFonts w:hint="eastAsia" w:ascii="新宋体" w:hAnsi="新宋体" w:eastAsia="新宋体" w:cs="新宋体"/>
                <w:spacing w:val="14"/>
                <w:kern w:val="0"/>
                <w:sz w:val="24"/>
                <w:szCs w:val="24"/>
              </w:rPr>
            </w:pPr>
          </w:p>
        </w:tc>
      </w:tr>
      <w:tr w14:paraId="4D4C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750" w:type="dxa"/>
            <w:noWrap w:val="0"/>
            <w:vAlign w:val="center"/>
          </w:tcPr>
          <w:p w14:paraId="4E6785BC">
            <w:pPr>
              <w:pStyle w:val="176"/>
              <w:ind w:firstLine="0" w:firstLineChars="0"/>
              <w:jc w:val="center"/>
              <w:rPr>
                <w:rFonts w:hint="eastAsia" w:ascii="新宋体" w:hAnsi="新宋体" w:eastAsia="新宋体" w:cs="新宋体"/>
                <w:spacing w:val="14"/>
                <w:kern w:val="0"/>
                <w:sz w:val="24"/>
                <w:szCs w:val="24"/>
                <w:lang w:val="en-US" w:eastAsia="zh-CN" w:bidi="ar-SA"/>
              </w:rPr>
            </w:pPr>
            <w:r>
              <w:rPr>
                <w:rFonts w:hint="eastAsia" w:ascii="新宋体" w:hAnsi="新宋体" w:eastAsia="新宋体" w:cs="新宋体"/>
                <w:spacing w:val="14"/>
                <w:kern w:val="0"/>
                <w:sz w:val="24"/>
                <w:szCs w:val="24"/>
                <w:lang w:val="en-US" w:eastAsia="zh-CN" w:bidi="ar-SA"/>
              </w:rPr>
              <w:t>5</w:t>
            </w:r>
          </w:p>
        </w:tc>
        <w:tc>
          <w:tcPr>
            <w:tcW w:w="2083" w:type="dxa"/>
            <w:noWrap w:val="0"/>
            <w:vAlign w:val="center"/>
          </w:tcPr>
          <w:p w14:paraId="24F543D3">
            <w:pPr>
              <w:pStyle w:val="138"/>
              <w:jc w:val="center"/>
              <w:rPr>
                <w:rFonts w:hint="eastAsia" w:ascii="新宋体" w:hAnsi="新宋体" w:eastAsia="新宋体" w:cs="新宋体"/>
                <w:spacing w:val="14"/>
                <w:kern w:val="0"/>
                <w:sz w:val="24"/>
                <w:szCs w:val="24"/>
              </w:rPr>
            </w:pPr>
          </w:p>
        </w:tc>
        <w:tc>
          <w:tcPr>
            <w:tcW w:w="2409" w:type="dxa"/>
            <w:noWrap w:val="0"/>
            <w:vAlign w:val="center"/>
          </w:tcPr>
          <w:p w14:paraId="74411DAF">
            <w:pPr>
              <w:pStyle w:val="138"/>
              <w:jc w:val="center"/>
              <w:rPr>
                <w:rFonts w:hint="eastAsia" w:ascii="新宋体" w:hAnsi="新宋体" w:eastAsia="新宋体" w:cs="新宋体"/>
                <w:spacing w:val="14"/>
                <w:kern w:val="0"/>
                <w:sz w:val="24"/>
                <w:szCs w:val="24"/>
              </w:rPr>
            </w:pPr>
          </w:p>
        </w:tc>
        <w:tc>
          <w:tcPr>
            <w:tcW w:w="1374" w:type="dxa"/>
            <w:noWrap w:val="0"/>
            <w:vAlign w:val="center"/>
          </w:tcPr>
          <w:p w14:paraId="040A6E8C">
            <w:pPr>
              <w:pStyle w:val="176"/>
              <w:ind w:firstLine="474"/>
              <w:jc w:val="center"/>
              <w:rPr>
                <w:rFonts w:hint="eastAsia" w:ascii="新宋体" w:hAnsi="新宋体" w:eastAsia="新宋体" w:cs="新宋体"/>
                <w:spacing w:val="14"/>
                <w:kern w:val="0"/>
                <w:sz w:val="24"/>
                <w:szCs w:val="24"/>
              </w:rPr>
            </w:pPr>
          </w:p>
        </w:tc>
        <w:tc>
          <w:tcPr>
            <w:tcW w:w="1242" w:type="dxa"/>
            <w:noWrap w:val="0"/>
            <w:vAlign w:val="center"/>
          </w:tcPr>
          <w:p w14:paraId="5AAB6516">
            <w:pPr>
              <w:pStyle w:val="176"/>
              <w:ind w:firstLine="474"/>
              <w:jc w:val="center"/>
              <w:rPr>
                <w:rFonts w:hint="eastAsia" w:ascii="新宋体" w:hAnsi="新宋体" w:eastAsia="新宋体" w:cs="新宋体"/>
                <w:spacing w:val="14"/>
                <w:kern w:val="0"/>
                <w:sz w:val="24"/>
                <w:szCs w:val="24"/>
              </w:rPr>
            </w:pPr>
          </w:p>
        </w:tc>
        <w:tc>
          <w:tcPr>
            <w:tcW w:w="1946" w:type="dxa"/>
            <w:noWrap w:val="0"/>
            <w:vAlign w:val="center"/>
          </w:tcPr>
          <w:p w14:paraId="2C54E465">
            <w:pPr>
              <w:pStyle w:val="176"/>
              <w:ind w:firstLine="474"/>
              <w:jc w:val="center"/>
              <w:rPr>
                <w:rFonts w:hint="eastAsia" w:ascii="新宋体" w:hAnsi="新宋体" w:eastAsia="新宋体" w:cs="新宋体"/>
                <w:spacing w:val="14"/>
                <w:kern w:val="0"/>
                <w:sz w:val="24"/>
                <w:szCs w:val="24"/>
              </w:rPr>
            </w:pPr>
          </w:p>
        </w:tc>
      </w:tr>
      <w:tr w14:paraId="489C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750" w:type="dxa"/>
            <w:noWrap w:val="0"/>
            <w:vAlign w:val="center"/>
          </w:tcPr>
          <w:p w14:paraId="7B0F2E1A">
            <w:pPr>
              <w:pStyle w:val="176"/>
              <w:ind w:firstLine="0" w:firstLineChars="0"/>
              <w:jc w:val="center"/>
              <w:rPr>
                <w:rFonts w:hint="eastAsia" w:ascii="新宋体" w:hAnsi="新宋体" w:eastAsia="新宋体" w:cs="新宋体"/>
                <w:spacing w:val="14"/>
                <w:kern w:val="0"/>
                <w:sz w:val="24"/>
                <w:szCs w:val="24"/>
                <w:lang w:val="en-US" w:eastAsia="zh-CN" w:bidi="ar-SA"/>
              </w:rPr>
            </w:pPr>
            <w:r>
              <w:rPr>
                <w:rFonts w:hint="eastAsia" w:ascii="新宋体" w:hAnsi="新宋体" w:eastAsia="新宋体" w:cs="新宋体"/>
                <w:spacing w:val="14"/>
                <w:kern w:val="0"/>
                <w:sz w:val="24"/>
                <w:szCs w:val="24"/>
                <w:lang w:val="en-US" w:eastAsia="zh-CN" w:bidi="ar-SA"/>
              </w:rPr>
              <w:t>6</w:t>
            </w:r>
          </w:p>
        </w:tc>
        <w:tc>
          <w:tcPr>
            <w:tcW w:w="2083" w:type="dxa"/>
            <w:noWrap w:val="0"/>
            <w:vAlign w:val="center"/>
          </w:tcPr>
          <w:p w14:paraId="6289062E">
            <w:pPr>
              <w:pStyle w:val="138"/>
              <w:jc w:val="center"/>
              <w:rPr>
                <w:rFonts w:hint="eastAsia" w:ascii="新宋体" w:hAnsi="新宋体" w:eastAsia="新宋体" w:cs="新宋体"/>
                <w:spacing w:val="14"/>
                <w:kern w:val="0"/>
                <w:sz w:val="24"/>
                <w:szCs w:val="24"/>
              </w:rPr>
            </w:pPr>
          </w:p>
        </w:tc>
        <w:tc>
          <w:tcPr>
            <w:tcW w:w="2409" w:type="dxa"/>
            <w:noWrap w:val="0"/>
            <w:vAlign w:val="center"/>
          </w:tcPr>
          <w:p w14:paraId="5F8922E6">
            <w:pPr>
              <w:pStyle w:val="138"/>
              <w:jc w:val="center"/>
              <w:rPr>
                <w:rFonts w:hint="eastAsia" w:ascii="新宋体" w:hAnsi="新宋体" w:eastAsia="新宋体" w:cs="新宋体"/>
                <w:spacing w:val="14"/>
                <w:kern w:val="0"/>
                <w:sz w:val="24"/>
                <w:szCs w:val="24"/>
              </w:rPr>
            </w:pPr>
          </w:p>
        </w:tc>
        <w:tc>
          <w:tcPr>
            <w:tcW w:w="1374" w:type="dxa"/>
            <w:noWrap w:val="0"/>
            <w:vAlign w:val="center"/>
          </w:tcPr>
          <w:p w14:paraId="384DE4C8">
            <w:pPr>
              <w:pStyle w:val="176"/>
              <w:ind w:firstLine="474"/>
              <w:jc w:val="center"/>
              <w:rPr>
                <w:rFonts w:hint="eastAsia" w:ascii="新宋体" w:hAnsi="新宋体" w:eastAsia="新宋体" w:cs="新宋体"/>
                <w:spacing w:val="14"/>
                <w:kern w:val="0"/>
                <w:sz w:val="24"/>
                <w:szCs w:val="24"/>
              </w:rPr>
            </w:pPr>
          </w:p>
        </w:tc>
        <w:tc>
          <w:tcPr>
            <w:tcW w:w="1242" w:type="dxa"/>
            <w:noWrap w:val="0"/>
            <w:vAlign w:val="center"/>
          </w:tcPr>
          <w:p w14:paraId="6B2804BC">
            <w:pPr>
              <w:pStyle w:val="176"/>
              <w:ind w:firstLine="474"/>
              <w:jc w:val="center"/>
              <w:rPr>
                <w:rFonts w:hint="eastAsia" w:ascii="新宋体" w:hAnsi="新宋体" w:eastAsia="新宋体" w:cs="新宋体"/>
                <w:spacing w:val="14"/>
                <w:kern w:val="0"/>
                <w:sz w:val="24"/>
                <w:szCs w:val="24"/>
              </w:rPr>
            </w:pPr>
          </w:p>
        </w:tc>
        <w:tc>
          <w:tcPr>
            <w:tcW w:w="1946" w:type="dxa"/>
            <w:noWrap w:val="0"/>
            <w:vAlign w:val="center"/>
          </w:tcPr>
          <w:p w14:paraId="1B6A1B10">
            <w:pPr>
              <w:pStyle w:val="176"/>
              <w:ind w:firstLine="474"/>
              <w:jc w:val="center"/>
              <w:rPr>
                <w:rFonts w:hint="eastAsia" w:ascii="新宋体" w:hAnsi="新宋体" w:eastAsia="新宋体" w:cs="新宋体"/>
                <w:spacing w:val="14"/>
                <w:kern w:val="0"/>
                <w:sz w:val="24"/>
                <w:szCs w:val="24"/>
              </w:rPr>
            </w:pPr>
          </w:p>
        </w:tc>
      </w:tr>
      <w:tr w14:paraId="3E70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750" w:type="dxa"/>
            <w:noWrap w:val="0"/>
            <w:vAlign w:val="center"/>
          </w:tcPr>
          <w:p w14:paraId="5B5012D4">
            <w:pPr>
              <w:pStyle w:val="176"/>
              <w:ind w:firstLine="0" w:firstLineChars="0"/>
              <w:jc w:val="center"/>
              <w:rPr>
                <w:rFonts w:hint="eastAsia" w:ascii="新宋体" w:hAnsi="新宋体" w:eastAsia="新宋体" w:cs="新宋体"/>
                <w:spacing w:val="14"/>
                <w:kern w:val="0"/>
                <w:sz w:val="24"/>
                <w:szCs w:val="24"/>
                <w:lang w:val="en-US" w:eastAsia="zh-CN" w:bidi="ar-SA"/>
              </w:rPr>
            </w:pPr>
            <w:r>
              <w:rPr>
                <w:rFonts w:hint="eastAsia" w:ascii="新宋体" w:hAnsi="新宋体" w:eastAsia="新宋体" w:cs="新宋体"/>
                <w:spacing w:val="14"/>
                <w:kern w:val="0"/>
                <w:sz w:val="24"/>
                <w:szCs w:val="24"/>
                <w:lang w:val="en-US" w:eastAsia="zh-CN" w:bidi="ar-SA"/>
              </w:rPr>
              <w:t>7</w:t>
            </w:r>
          </w:p>
        </w:tc>
        <w:tc>
          <w:tcPr>
            <w:tcW w:w="2083" w:type="dxa"/>
            <w:noWrap w:val="0"/>
            <w:vAlign w:val="center"/>
          </w:tcPr>
          <w:p w14:paraId="54C82A34">
            <w:pPr>
              <w:pStyle w:val="138"/>
              <w:jc w:val="center"/>
              <w:rPr>
                <w:rFonts w:hint="eastAsia" w:ascii="新宋体" w:hAnsi="新宋体" w:eastAsia="新宋体" w:cs="新宋体"/>
                <w:spacing w:val="14"/>
                <w:kern w:val="0"/>
                <w:sz w:val="24"/>
                <w:szCs w:val="24"/>
              </w:rPr>
            </w:pPr>
          </w:p>
        </w:tc>
        <w:tc>
          <w:tcPr>
            <w:tcW w:w="2409" w:type="dxa"/>
            <w:noWrap w:val="0"/>
            <w:vAlign w:val="center"/>
          </w:tcPr>
          <w:p w14:paraId="49FE42C2">
            <w:pPr>
              <w:pStyle w:val="138"/>
              <w:jc w:val="center"/>
              <w:rPr>
                <w:rFonts w:hint="eastAsia" w:ascii="新宋体" w:hAnsi="新宋体" w:eastAsia="新宋体" w:cs="新宋体"/>
                <w:spacing w:val="14"/>
                <w:kern w:val="0"/>
                <w:sz w:val="24"/>
                <w:szCs w:val="24"/>
              </w:rPr>
            </w:pPr>
          </w:p>
        </w:tc>
        <w:tc>
          <w:tcPr>
            <w:tcW w:w="1374" w:type="dxa"/>
            <w:noWrap w:val="0"/>
            <w:vAlign w:val="center"/>
          </w:tcPr>
          <w:p w14:paraId="703F111C">
            <w:pPr>
              <w:pStyle w:val="176"/>
              <w:ind w:firstLine="474"/>
              <w:jc w:val="center"/>
              <w:rPr>
                <w:rFonts w:hint="eastAsia" w:ascii="新宋体" w:hAnsi="新宋体" w:eastAsia="新宋体" w:cs="新宋体"/>
                <w:spacing w:val="14"/>
                <w:kern w:val="0"/>
                <w:sz w:val="24"/>
                <w:szCs w:val="24"/>
              </w:rPr>
            </w:pPr>
          </w:p>
        </w:tc>
        <w:tc>
          <w:tcPr>
            <w:tcW w:w="1242" w:type="dxa"/>
            <w:noWrap w:val="0"/>
            <w:vAlign w:val="center"/>
          </w:tcPr>
          <w:p w14:paraId="46BBAB81">
            <w:pPr>
              <w:pStyle w:val="176"/>
              <w:ind w:firstLine="474"/>
              <w:jc w:val="center"/>
              <w:rPr>
                <w:rFonts w:hint="eastAsia" w:ascii="新宋体" w:hAnsi="新宋体" w:eastAsia="新宋体" w:cs="新宋体"/>
                <w:spacing w:val="14"/>
                <w:kern w:val="0"/>
                <w:sz w:val="24"/>
                <w:szCs w:val="24"/>
              </w:rPr>
            </w:pPr>
          </w:p>
        </w:tc>
        <w:tc>
          <w:tcPr>
            <w:tcW w:w="1946" w:type="dxa"/>
            <w:noWrap w:val="0"/>
            <w:vAlign w:val="center"/>
          </w:tcPr>
          <w:p w14:paraId="5DB06167">
            <w:pPr>
              <w:pStyle w:val="176"/>
              <w:ind w:firstLine="474"/>
              <w:jc w:val="center"/>
              <w:rPr>
                <w:rFonts w:hint="eastAsia" w:ascii="新宋体" w:hAnsi="新宋体" w:eastAsia="新宋体" w:cs="新宋体"/>
                <w:spacing w:val="14"/>
                <w:kern w:val="0"/>
                <w:sz w:val="24"/>
                <w:szCs w:val="24"/>
              </w:rPr>
            </w:pPr>
          </w:p>
        </w:tc>
      </w:tr>
      <w:tr w14:paraId="2C44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750" w:type="dxa"/>
            <w:noWrap w:val="0"/>
            <w:vAlign w:val="center"/>
          </w:tcPr>
          <w:p w14:paraId="4221827A">
            <w:pPr>
              <w:pStyle w:val="176"/>
              <w:ind w:firstLine="0" w:firstLineChars="0"/>
              <w:jc w:val="center"/>
              <w:rPr>
                <w:rFonts w:hint="eastAsia" w:ascii="新宋体" w:hAnsi="新宋体" w:eastAsia="新宋体" w:cs="新宋体"/>
                <w:spacing w:val="14"/>
                <w:kern w:val="0"/>
                <w:sz w:val="24"/>
                <w:szCs w:val="24"/>
                <w:lang w:val="en-US" w:eastAsia="zh-CN" w:bidi="ar-SA"/>
              </w:rPr>
            </w:pPr>
            <w:r>
              <w:rPr>
                <w:rFonts w:hint="eastAsia" w:ascii="新宋体" w:hAnsi="新宋体" w:eastAsia="新宋体" w:cs="新宋体"/>
                <w:spacing w:val="14"/>
                <w:kern w:val="0"/>
                <w:sz w:val="24"/>
                <w:szCs w:val="24"/>
                <w:lang w:val="en-US" w:eastAsia="zh-CN" w:bidi="ar-SA"/>
              </w:rPr>
              <w:t>8</w:t>
            </w:r>
          </w:p>
        </w:tc>
        <w:tc>
          <w:tcPr>
            <w:tcW w:w="2083" w:type="dxa"/>
            <w:noWrap w:val="0"/>
            <w:vAlign w:val="center"/>
          </w:tcPr>
          <w:p w14:paraId="7AFBA39F">
            <w:pPr>
              <w:pStyle w:val="138"/>
              <w:jc w:val="center"/>
              <w:rPr>
                <w:rFonts w:hint="eastAsia" w:ascii="新宋体" w:hAnsi="新宋体" w:eastAsia="新宋体" w:cs="新宋体"/>
                <w:spacing w:val="14"/>
                <w:kern w:val="0"/>
                <w:sz w:val="24"/>
                <w:szCs w:val="24"/>
              </w:rPr>
            </w:pPr>
          </w:p>
        </w:tc>
        <w:tc>
          <w:tcPr>
            <w:tcW w:w="2409" w:type="dxa"/>
            <w:noWrap w:val="0"/>
            <w:vAlign w:val="center"/>
          </w:tcPr>
          <w:p w14:paraId="7DFA5C6E">
            <w:pPr>
              <w:pStyle w:val="138"/>
              <w:jc w:val="center"/>
              <w:rPr>
                <w:rFonts w:hint="eastAsia" w:ascii="新宋体" w:hAnsi="新宋体" w:eastAsia="新宋体" w:cs="新宋体"/>
                <w:spacing w:val="14"/>
                <w:kern w:val="0"/>
                <w:sz w:val="24"/>
                <w:szCs w:val="24"/>
              </w:rPr>
            </w:pPr>
          </w:p>
        </w:tc>
        <w:tc>
          <w:tcPr>
            <w:tcW w:w="1374" w:type="dxa"/>
            <w:noWrap w:val="0"/>
            <w:vAlign w:val="center"/>
          </w:tcPr>
          <w:p w14:paraId="1EE57F9F">
            <w:pPr>
              <w:pStyle w:val="176"/>
              <w:ind w:firstLine="474"/>
              <w:jc w:val="center"/>
              <w:rPr>
                <w:rFonts w:hint="eastAsia" w:ascii="新宋体" w:hAnsi="新宋体" w:eastAsia="新宋体" w:cs="新宋体"/>
                <w:spacing w:val="14"/>
                <w:kern w:val="0"/>
                <w:sz w:val="24"/>
                <w:szCs w:val="24"/>
              </w:rPr>
            </w:pPr>
          </w:p>
        </w:tc>
        <w:tc>
          <w:tcPr>
            <w:tcW w:w="1242" w:type="dxa"/>
            <w:noWrap w:val="0"/>
            <w:vAlign w:val="center"/>
          </w:tcPr>
          <w:p w14:paraId="55D23800">
            <w:pPr>
              <w:pStyle w:val="176"/>
              <w:ind w:firstLine="474"/>
              <w:jc w:val="center"/>
              <w:rPr>
                <w:rFonts w:hint="eastAsia" w:ascii="新宋体" w:hAnsi="新宋体" w:eastAsia="新宋体" w:cs="新宋体"/>
                <w:spacing w:val="14"/>
                <w:kern w:val="0"/>
                <w:sz w:val="24"/>
                <w:szCs w:val="24"/>
              </w:rPr>
            </w:pPr>
          </w:p>
        </w:tc>
        <w:tc>
          <w:tcPr>
            <w:tcW w:w="1946" w:type="dxa"/>
            <w:noWrap w:val="0"/>
            <w:vAlign w:val="center"/>
          </w:tcPr>
          <w:p w14:paraId="79BEAEFB">
            <w:pPr>
              <w:pStyle w:val="176"/>
              <w:ind w:firstLine="474"/>
              <w:jc w:val="center"/>
              <w:rPr>
                <w:rFonts w:hint="eastAsia" w:ascii="新宋体" w:hAnsi="新宋体" w:eastAsia="新宋体" w:cs="新宋体"/>
                <w:spacing w:val="14"/>
                <w:kern w:val="0"/>
                <w:sz w:val="24"/>
                <w:szCs w:val="24"/>
              </w:rPr>
            </w:pPr>
          </w:p>
        </w:tc>
      </w:tr>
      <w:tr w14:paraId="6946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750" w:type="dxa"/>
            <w:noWrap w:val="0"/>
            <w:vAlign w:val="center"/>
          </w:tcPr>
          <w:p w14:paraId="2FC11008">
            <w:pPr>
              <w:pStyle w:val="176"/>
              <w:ind w:firstLine="0" w:firstLineChars="0"/>
              <w:jc w:val="center"/>
              <w:rPr>
                <w:rFonts w:hint="eastAsia" w:ascii="新宋体" w:hAnsi="新宋体" w:eastAsia="新宋体" w:cs="新宋体"/>
                <w:spacing w:val="14"/>
                <w:kern w:val="0"/>
                <w:sz w:val="24"/>
                <w:szCs w:val="24"/>
                <w:lang w:val="en-US" w:eastAsia="zh-CN" w:bidi="ar-SA"/>
              </w:rPr>
            </w:pPr>
            <w:r>
              <w:rPr>
                <w:rFonts w:hint="eastAsia" w:ascii="新宋体" w:hAnsi="新宋体" w:eastAsia="新宋体" w:cs="新宋体"/>
                <w:spacing w:val="14"/>
                <w:kern w:val="0"/>
                <w:sz w:val="24"/>
                <w:szCs w:val="24"/>
                <w:lang w:val="en-US" w:eastAsia="zh-CN" w:bidi="ar-SA"/>
              </w:rPr>
              <w:t>9</w:t>
            </w:r>
          </w:p>
        </w:tc>
        <w:tc>
          <w:tcPr>
            <w:tcW w:w="2083" w:type="dxa"/>
            <w:noWrap w:val="0"/>
            <w:vAlign w:val="center"/>
          </w:tcPr>
          <w:p w14:paraId="7DF780BB">
            <w:pPr>
              <w:pStyle w:val="138"/>
              <w:jc w:val="center"/>
              <w:rPr>
                <w:rFonts w:hint="eastAsia" w:ascii="新宋体" w:hAnsi="新宋体" w:eastAsia="新宋体" w:cs="新宋体"/>
                <w:spacing w:val="14"/>
                <w:kern w:val="0"/>
                <w:sz w:val="24"/>
                <w:szCs w:val="24"/>
              </w:rPr>
            </w:pPr>
          </w:p>
        </w:tc>
        <w:tc>
          <w:tcPr>
            <w:tcW w:w="2409" w:type="dxa"/>
            <w:noWrap w:val="0"/>
            <w:vAlign w:val="center"/>
          </w:tcPr>
          <w:p w14:paraId="43163A88">
            <w:pPr>
              <w:pStyle w:val="138"/>
              <w:jc w:val="center"/>
              <w:rPr>
                <w:rFonts w:hint="eastAsia" w:ascii="新宋体" w:hAnsi="新宋体" w:eastAsia="新宋体" w:cs="新宋体"/>
                <w:spacing w:val="14"/>
                <w:kern w:val="0"/>
                <w:sz w:val="24"/>
                <w:szCs w:val="24"/>
              </w:rPr>
            </w:pPr>
          </w:p>
        </w:tc>
        <w:tc>
          <w:tcPr>
            <w:tcW w:w="1374" w:type="dxa"/>
            <w:noWrap w:val="0"/>
            <w:vAlign w:val="center"/>
          </w:tcPr>
          <w:p w14:paraId="6A7647E2">
            <w:pPr>
              <w:pStyle w:val="176"/>
              <w:ind w:firstLine="474"/>
              <w:jc w:val="center"/>
              <w:rPr>
                <w:rFonts w:hint="eastAsia" w:ascii="新宋体" w:hAnsi="新宋体" w:eastAsia="新宋体" w:cs="新宋体"/>
                <w:spacing w:val="14"/>
                <w:kern w:val="0"/>
                <w:sz w:val="24"/>
                <w:szCs w:val="24"/>
              </w:rPr>
            </w:pPr>
          </w:p>
        </w:tc>
        <w:tc>
          <w:tcPr>
            <w:tcW w:w="1242" w:type="dxa"/>
            <w:noWrap w:val="0"/>
            <w:vAlign w:val="center"/>
          </w:tcPr>
          <w:p w14:paraId="2219310F">
            <w:pPr>
              <w:pStyle w:val="176"/>
              <w:ind w:firstLine="474"/>
              <w:jc w:val="center"/>
              <w:rPr>
                <w:rFonts w:hint="eastAsia" w:ascii="新宋体" w:hAnsi="新宋体" w:eastAsia="新宋体" w:cs="新宋体"/>
                <w:spacing w:val="14"/>
                <w:kern w:val="0"/>
                <w:sz w:val="24"/>
                <w:szCs w:val="24"/>
              </w:rPr>
            </w:pPr>
          </w:p>
        </w:tc>
        <w:tc>
          <w:tcPr>
            <w:tcW w:w="1946" w:type="dxa"/>
            <w:noWrap w:val="0"/>
            <w:vAlign w:val="center"/>
          </w:tcPr>
          <w:p w14:paraId="2A1ADFCE">
            <w:pPr>
              <w:pStyle w:val="176"/>
              <w:ind w:firstLine="474"/>
              <w:jc w:val="center"/>
              <w:rPr>
                <w:rFonts w:hint="eastAsia" w:ascii="新宋体" w:hAnsi="新宋体" w:eastAsia="新宋体" w:cs="新宋体"/>
                <w:spacing w:val="14"/>
                <w:kern w:val="0"/>
                <w:sz w:val="24"/>
                <w:szCs w:val="24"/>
              </w:rPr>
            </w:pPr>
          </w:p>
        </w:tc>
      </w:tr>
      <w:tr w14:paraId="4D2C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trPr>
        <w:tc>
          <w:tcPr>
            <w:tcW w:w="750" w:type="dxa"/>
            <w:noWrap w:val="0"/>
            <w:vAlign w:val="center"/>
          </w:tcPr>
          <w:p w14:paraId="5AFDEC00">
            <w:pPr>
              <w:pStyle w:val="176"/>
              <w:ind w:firstLine="474"/>
              <w:jc w:val="center"/>
              <w:rPr>
                <w:rFonts w:hint="eastAsia" w:ascii="新宋体" w:hAnsi="新宋体" w:eastAsia="新宋体" w:cs="新宋体"/>
                <w:spacing w:val="14"/>
                <w:kern w:val="0"/>
                <w:sz w:val="24"/>
                <w:szCs w:val="24"/>
              </w:rPr>
            </w:pPr>
            <w:r>
              <w:rPr>
                <w:rFonts w:hint="eastAsia" w:ascii="新宋体" w:hAnsi="新宋体" w:eastAsia="新宋体" w:cs="新宋体"/>
                <w:spacing w:val="14"/>
                <w:kern w:val="0"/>
                <w:sz w:val="24"/>
                <w:szCs w:val="24"/>
              </w:rPr>
              <w:t>…</w:t>
            </w:r>
          </w:p>
        </w:tc>
        <w:tc>
          <w:tcPr>
            <w:tcW w:w="2083" w:type="dxa"/>
            <w:noWrap w:val="0"/>
            <w:vAlign w:val="center"/>
          </w:tcPr>
          <w:p w14:paraId="007A40B0">
            <w:pPr>
              <w:pStyle w:val="138"/>
              <w:jc w:val="center"/>
              <w:rPr>
                <w:rFonts w:hint="eastAsia" w:ascii="新宋体" w:hAnsi="新宋体" w:eastAsia="新宋体" w:cs="新宋体"/>
                <w:spacing w:val="14"/>
                <w:kern w:val="0"/>
                <w:sz w:val="24"/>
                <w:szCs w:val="24"/>
              </w:rPr>
            </w:pPr>
          </w:p>
        </w:tc>
        <w:tc>
          <w:tcPr>
            <w:tcW w:w="2409" w:type="dxa"/>
            <w:noWrap w:val="0"/>
            <w:vAlign w:val="center"/>
          </w:tcPr>
          <w:p w14:paraId="0D062588">
            <w:pPr>
              <w:pStyle w:val="138"/>
              <w:jc w:val="center"/>
              <w:rPr>
                <w:rFonts w:hint="eastAsia" w:ascii="新宋体" w:hAnsi="新宋体" w:eastAsia="新宋体" w:cs="新宋体"/>
                <w:spacing w:val="14"/>
                <w:kern w:val="0"/>
                <w:sz w:val="24"/>
                <w:szCs w:val="24"/>
              </w:rPr>
            </w:pPr>
          </w:p>
        </w:tc>
        <w:tc>
          <w:tcPr>
            <w:tcW w:w="1374" w:type="dxa"/>
            <w:noWrap w:val="0"/>
            <w:vAlign w:val="center"/>
          </w:tcPr>
          <w:p w14:paraId="2E68636C">
            <w:pPr>
              <w:pStyle w:val="176"/>
              <w:ind w:firstLine="474"/>
              <w:jc w:val="center"/>
              <w:rPr>
                <w:rFonts w:hint="eastAsia" w:ascii="新宋体" w:hAnsi="新宋体" w:eastAsia="新宋体" w:cs="新宋体"/>
                <w:spacing w:val="14"/>
                <w:kern w:val="0"/>
                <w:sz w:val="24"/>
                <w:szCs w:val="24"/>
              </w:rPr>
            </w:pPr>
          </w:p>
        </w:tc>
        <w:tc>
          <w:tcPr>
            <w:tcW w:w="1242" w:type="dxa"/>
            <w:noWrap w:val="0"/>
            <w:vAlign w:val="center"/>
          </w:tcPr>
          <w:p w14:paraId="7A1CF083">
            <w:pPr>
              <w:pStyle w:val="176"/>
              <w:ind w:firstLine="474"/>
              <w:jc w:val="center"/>
              <w:rPr>
                <w:rFonts w:hint="eastAsia" w:ascii="新宋体" w:hAnsi="新宋体" w:eastAsia="新宋体" w:cs="新宋体"/>
                <w:spacing w:val="14"/>
                <w:kern w:val="0"/>
                <w:sz w:val="24"/>
                <w:szCs w:val="24"/>
              </w:rPr>
            </w:pPr>
          </w:p>
        </w:tc>
        <w:tc>
          <w:tcPr>
            <w:tcW w:w="1946" w:type="dxa"/>
            <w:noWrap w:val="0"/>
            <w:vAlign w:val="center"/>
          </w:tcPr>
          <w:p w14:paraId="444A1645">
            <w:pPr>
              <w:pStyle w:val="176"/>
              <w:ind w:firstLine="474"/>
              <w:jc w:val="center"/>
              <w:rPr>
                <w:rFonts w:hint="eastAsia" w:ascii="新宋体" w:hAnsi="新宋体" w:eastAsia="新宋体" w:cs="新宋体"/>
                <w:spacing w:val="14"/>
                <w:kern w:val="0"/>
                <w:sz w:val="24"/>
                <w:szCs w:val="24"/>
              </w:rPr>
            </w:pPr>
          </w:p>
        </w:tc>
      </w:tr>
    </w:tbl>
    <w:p w14:paraId="5EFC5512">
      <w:pPr>
        <w:pStyle w:val="110"/>
        <w:spacing w:line="440" w:lineRule="exact"/>
        <w:ind w:firstLine="5772" w:firstLineChars="2600"/>
        <w:rPr>
          <w:rFonts w:hint="eastAsia" w:ascii="宋体" w:hAnsi="宋体" w:eastAsia="宋体" w:cs="宋体"/>
          <w:color w:val="auto"/>
          <w:spacing w:val="6"/>
          <w:szCs w:val="21"/>
          <w:highlight w:val="none"/>
        </w:rPr>
      </w:pPr>
    </w:p>
    <w:p w14:paraId="4A4C071F">
      <w:pPr>
        <w:pStyle w:val="110"/>
        <w:spacing w:line="440" w:lineRule="exact"/>
        <w:ind w:firstLine="4218" w:firstLineChars="19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投标人：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（盖单位章）</w:t>
      </w:r>
    </w:p>
    <w:p w14:paraId="23F38A15">
      <w:pPr>
        <w:pStyle w:val="110"/>
        <w:ind w:firstLine="4218" w:firstLineChars="1900"/>
        <w:rPr>
          <w:rStyle w:val="152"/>
          <w:rFonts w:hint="eastAsia" w:ascii="宋体" w:hAnsi="宋体" w:eastAsia="宋体" w:cs="宋体"/>
          <w:b w:val="0"/>
          <w:bCs w:val="0"/>
          <w:color w:val="auto"/>
          <w:spacing w:val="6"/>
          <w:szCs w:val="21"/>
          <w:highlight w:val="none"/>
        </w:rPr>
      </w:pPr>
      <w:r>
        <w:rPr>
          <w:rFonts w:hint="eastAsia" w:ascii="宋体" w:hAnsi="宋体" w:eastAsia="宋体" w:cs="宋体"/>
          <w:color w:val="auto"/>
          <w:spacing w:val="6"/>
          <w:szCs w:val="21"/>
          <w:highlight w:val="none"/>
        </w:rPr>
        <w:t xml:space="preserve">              年     月     日</w:t>
      </w:r>
    </w:p>
    <w:p w14:paraId="68206839">
      <w:pPr>
        <w:pStyle w:val="110"/>
        <w:ind w:firstLine="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w:t>
      </w:r>
    </w:p>
    <w:p w14:paraId="0FBE6E9E">
      <w:pPr>
        <w:pStyle w:val="110"/>
        <w:spacing w:line="420" w:lineRule="exact"/>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注：</w:t>
      </w:r>
    </w:p>
    <w:p w14:paraId="7E1C8168">
      <w:pPr>
        <w:pStyle w:val="110"/>
        <w:spacing w:line="420" w:lineRule="exact"/>
        <w:ind w:firstLine="444"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 投标人应根据招标要求逐条逐项表述说明投标响应情况。</w:t>
      </w:r>
    </w:p>
    <w:p w14:paraId="6B154303">
      <w:pPr>
        <w:pStyle w:val="110"/>
        <w:spacing w:line="420" w:lineRule="exact"/>
        <w:ind w:firstLine="444"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 投标人提交的投标文件中的技术参数与招标文件的</w:t>
      </w:r>
      <w:r>
        <w:rPr>
          <w:rFonts w:hint="eastAsia" w:ascii="宋体" w:hAnsi="宋体" w:eastAsia="宋体" w:cs="宋体"/>
          <w:color w:val="auto"/>
          <w:spacing w:val="6"/>
          <w:szCs w:val="21"/>
          <w:highlight w:val="none"/>
          <w:lang w:val="en-US" w:eastAsia="zh-CN"/>
        </w:rPr>
        <w:t>服务</w:t>
      </w:r>
      <w:r>
        <w:rPr>
          <w:rFonts w:hint="eastAsia" w:ascii="宋体" w:hAnsi="宋体" w:eastAsia="宋体" w:cs="宋体"/>
          <w:color w:val="auto"/>
          <w:spacing w:val="6"/>
          <w:szCs w:val="21"/>
          <w:highlight w:val="none"/>
        </w:rPr>
        <w:t>要求、技术参数不同时，应逐条逐项如实填列在偏离表中。投标人不如实填写偏离情况、存在弄虚作假行为的，将依法承担相应的法律责任。</w:t>
      </w:r>
    </w:p>
    <w:p w14:paraId="205F7BE5">
      <w:pPr>
        <w:pStyle w:val="110"/>
        <w:spacing w:line="420" w:lineRule="exact"/>
        <w:ind w:firstLine="444"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 投标人应结合所投产品说明或描述其实际</w:t>
      </w:r>
      <w:r>
        <w:rPr>
          <w:rFonts w:hint="eastAsia" w:ascii="宋体" w:hAnsi="宋体" w:eastAsia="宋体" w:cs="宋体"/>
          <w:color w:val="auto"/>
          <w:spacing w:val="6"/>
          <w:szCs w:val="21"/>
          <w:highlight w:val="none"/>
          <w:lang w:val="en-US" w:eastAsia="zh-CN"/>
        </w:rPr>
        <w:t>服务要求</w:t>
      </w:r>
      <w:r>
        <w:rPr>
          <w:rFonts w:hint="eastAsia" w:ascii="宋体" w:hAnsi="宋体" w:eastAsia="宋体" w:cs="宋体"/>
          <w:color w:val="auto"/>
          <w:spacing w:val="6"/>
          <w:szCs w:val="21"/>
          <w:highlight w:val="none"/>
        </w:rPr>
        <w:t>。如果完全复制粘贴本招标文件《</w:t>
      </w:r>
      <w:r>
        <w:rPr>
          <w:rFonts w:hint="eastAsia" w:ascii="宋体" w:hAnsi="宋体" w:eastAsia="宋体" w:cs="宋体"/>
          <w:color w:val="auto"/>
          <w:spacing w:val="6"/>
          <w:szCs w:val="21"/>
          <w:highlight w:val="none"/>
          <w:lang w:val="en-US" w:eastAsia="zh-CN"/>
        </w:rPr>
        <w:t>服务</w:t>
      </w:r>
      <w:r>
        <w:rPr>
          <w:rFonts w:hint="eastAsia" w:ascii="宋体" w:hAnsi="宋体" w:eastAsia="宋体" w:cs="宋体"/>
          <w:color w:val="auto"/>
          <w:spacing w:val="6"/>
          <w:szCs w:val="21"/>
          <w:highlight w:val="none"/>
        </w:rPr>
        <w:t>要求》之性能描述，或者只注明“符合”、“满足”等类似无具体内容的表述，因此而产生的不利于投标人的评审风险由投标人自行承担。</w:t>
      </w:r>
    </w:p>
    <w:p w14:paraId="6BD4E136">
      <w:pPr>
        <w:pStyle w:val="110"/>
        <w:spacing w:line="420" w:lineRule="exact"/>
        <w:ind w:firstLine="444"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4. 投标人可根据需要自行增减表格。</w:t>
      </w:r>
    </w:p>
    <w:p w14:paraId="71EAF96D">
      <w:pPr>
        <w:widowControl/>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br w:type="page"/>
      </w:r>
      <w:bookmarkEnd w:id="579"/>
      <w:bookmarkStart w:id="586" w:name="_Toc1660870"/>
    </w:p>
    <w:bookmarkEnd w:id="586"/>
    <w:p w14:paraId="071A2400">
      <w:pPr>
        <w:jc w:val="center"/>
        <w:rPr>
          <w:rFonts w:hint="eastAsia" w:ascii="宋体" w:hAnsi="宋体" w:eastAsia="宋体" w:cs="宋体"/>
          <w:b/>
          <w:bCs w:val="0"/>
          <w:color w:val="auto"/>
          <w:spacing w:val="10"/>
          <w:sz w:val="24"/>
          <w:szCs w:val="24"/>
          <w:highlight w:val="none"/>
        </w:rPr>
      </w:pPr>
    </w:p>
    <w:p w14:paraId="072E768B">
      <w:pPr>
        <w:jc w:val="center"/>
        <w:rPr>
          <w:rFonts w:hint="eastAsia" w:ascii="宋体" w:hAnsi="宋体" w:eastAsia="宋体" w:cs="宋体"/>
          <w:b/>
          <w:bCs w:val="0"/>
          <w:color w:val="auto"/>
          <w:spacing w:val="10"/>
          <w:sz w:val="24"/>
          <w:szCs w:val="24"/>
          <w:highlight w:val="none"/>
        </w:rPr>
      </w:pPr>
      <w:r>
        <w:rPr>
          <w:rFonts w:hint="eastAsia" w:ascii="宋体" w:hAnsi="宋体" w:eastAsia="宋体" w:cs="宋体"/>
          <w:b/>
          <w:bCs w:val="0"/>
          <w:color w:val="auto"/>
          <w:spacing w:val="10"/>
          <w:sz w:val="24"/>
          <w:szCs w:val="24"/>
          <w:highlight w:val="none"/>
        </w:rPr>
        <w:t>标▲项</w:t>
      </w:r>
      <w:r>
        <w:rPr>
          <w:rFonts w:hint="eastAsia" w:ascii="宋体" w:hAnsi="宋体" w:cs="宋体"/>
          <w:b/>
          <w:bCs w:val="0"/>
          <w:color w:val="auto"/>
          <w:spacing w:val="10"/>
          <w:sz w:val="24"/>
          <w:szCs w:val="24"/>
          <w:highlight w:val="none"/>
          <w:lang w:val="en-US" w:eastAsia="zh-CN"/>
        </w:rPr>
        <w:t>系统功能截图</w:t>
      </w:r>
      <w:r>
        <w:rPr>
          <w:rFonts w:hint="eastAsia" w:ascii="宋体" w:hAnsi="宋体" w:eastAsia="宋体" w:cs="宋体"/>
          <w:b/>
          <w:bCs w:val="0"/>
          <w:color w:val="auto"/>
          <w:spacing w:val="10"/>
          <w:sz w:val="24"/>
          <w:szCs w:val="24"/>
          <w:highlight w:val="none"/>
        </w:rPr>
        <w:t>资料</w:t>
      </w:r>
    </w:p>
    <w:p w14:paraId="5FDECDDD">
      <w:pPr>
        <w:pStyle w:val="130"/>
        <w:bidi w:val="0"/>
      </w:pPr>
    </w:p>
    <w:p w14:paraId="3D33E84C">
      <w:pPr>
        <w:pStyle w:val="183"/>
        <w:spacing w:line="500" w:lineRule="exact"/>
        <w:ind w:firstLine="714" w:firstLineChars="300"/>
        <w:rPr>
          <w:rFonts w:ascii="宋体" w:hAnsi="宋体" w:eastAsia="宋体" w:cs="宋体"/>
          <w:szCs w:val="21"/>
        </w:rPr>
      </w:pPr>
      <w:r>
        <w:rPr>
          <w:rFonts w:hint="eastAsia" w:ascii="宋体" w:hAnsi="宋体" w:eastAsia="宋体" w:cs="宋体"/>
          <w:spacing w:val="14"/>
          <w:szCs w:val="21"/>
        </w:rPr>
        <w:t>注：在投标文件中附扫描件</w:t>
      </w:r>
    </w:p>
    <w:p w14:paraId="16DE5C2E">
      <w:pPr>
        <w:rPr>
          <w:rFonts w:hint="default" w:ascii="宋体" w:hAnsi="宋体" w:eastAsia="宋体" w:cs="宋体"/>
          <w:b/>
          <w:bCs w:val="0"/>
          <w:color w:val="auto"/>
          <w:spacing w:val="6"/>
          <w:sz w:val="28"/>
          <w:szCs w:val="28"/>
          <w:highlight w:val="none"/>
          <w:lang w:val="en-US" w:eastAsia="zh-CN"/>
        </w:rPr>
      </w:pPr>
      <w:r>
        <w:rPr>
          <w:rFonts w:hint="default" w:ascii="宋体" w:hAnsi="宋体" w:eastAsia="宋体" w:cs="宋体"/>
          <w:b/>
          <w:bCs w:val="0"/>
          <w:color w:val="auto"/>
          <w:spacing w:val="6"/>
          <w:sz w:val="28"/>
          <w:szCs w:val="28"/>
          <w:highlight w:val="none"/>
          <w:lang w:val="en-US" w:eastAsia="zh-CN"/>
        </w:rPr>
        <w:br w:type="page"/>
      </w:r>
    </w:p>
    <w:p w14:paraId="2FEAE4BB">
      <w:pPr>
        <w:numPr>
          <w:ilvl w:val="0"/>
          <w:numId w:val="4"/>
        </w:numPr>
        <w:jc w:val="center"/>
        <w:rPr>
          <w:rFonts w:hint="eastAsia" w:ascii="宋体" w:hAnsi="宋体" w:cs="宋体"/>
          <w:b/>
          <w:bCs w:val="0"/>
          <w:color w:val="auto"/>
          <w:spacing w:val="6"/>
          <w:sz w:val="28"/>
          <w:szCs w:val="28"/>
          <w:highlight w:val="none"/>
          <w:lang w:val="en-US" w:eastAsia="zh-CN"/>
        </w:rPr>
      </w:pPr>
      <w:r>
        <w:rPr>
          <w:rFonts w:hint="eastAsia" w:ascii="宋体" w:hAnsi="宋体" w:cs="宋体"/>
          <w:b/>
          <w:bCs w:val="0"/>
          <w:color w:val="auto"/>
          <w:spacing w:val="6"/>
          <w:sz w:val="28"/>
          <w:szCs w:val="28"/>
          <w:highlight w:val="none"/>
          <w:lang w:val="en-US" w:eastAsia="zh-CN"/>
        </w:rPr>
        <w:t>技术方案</w:t>
      </w:r>
    </w:p>
    <w:p w14:paraId="2482280D">
      <w:pPr>
        <w:widowControl w:val="0"/>
        <w:numPr>
          <w:ilvl w:val="0"/>
          <w:numId w:val="0"/>
        </w:numPr>
        <w:jc w:val="center"/>
        <w:rPr>
          <w:rFonts w:hint="default" w:ascii="宋体" w:hAnsi="宋体" w:cs="宋体"/>
          <w:b/>
          <w:bCs w:val="0"/>
          <w:color w:val="auto"/>
          <w:spacing w:val="6"/>
          <w:sz w:val="28"/>
          <w:szCs w:val="28"/>
          <w:highlight w:val="none"/>
          <w:lang w:val="en-US" w:eastAsia="zh-CN"/>
        </w:rPr>
      </w:pPr>
    </w:p>
    <w:p w14:paraId="6CEC0A43">
      <w:pPr>
        <w:spacing w:line="420" w:lineRule="exact"/>
        <w:ind w:firstLine="420"/>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投标人根据招标项目要求及自身情况自行填报。</w:t>
      </w:r>
    </w:p>
    <w:p w14:paraId="7D004186">
      <w:pPr>
        <w:spacing w:line="420" w:lineRule="exact"/>
        <w:rPr>
          <w:rFonts w:hint="eastAsia" w:ascii="宋体" w:hAnsi="宋体" w:eastAsia="宋体" w:cs="宋体"/>
          <w:bCs/>
          <w:color w:val="auto"/>
          <w:spacing w:val="6"/>
          <w:sz w:val="21"/>
          <w:szCs w:val="21"/>
          <w:highlight w:val="none"/>
        </w:rPr>
      </w:pPr>
    </w:p>
    <w:p w14:paraId="12B53C65">
      <w:pPr>
        <w:spacing w:line="420" w:lineRule="exact"/>
        <w:rPr>
          <w:rFonts w:hint="eastAsia" w:ascii="宋体" w:hAnsi="宋体" w:eastAsia="宋体" w:cs="宋体"/>
          <w:bCs/>
          <w:color w:val="auto"/>
          <w:spacing w:val="6"/>
          <w:sz w:val="21"/>
          <w:szCs w:val="21"/>
          <w:highlight w:val="none"/>
        </w:rPr>
      </w:pPr>
    </w:p>
    <w:p w14:paraId="3231A790">
      <w:pPr>
        <w:pStyle w:val="110"/>
        <w:spacing w:line="420" w:lineRule="exact"/>
        <w:ind w:firstLine="3996" w:firstLineChars="18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投标人：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（盖单位章）</w:t>
      </w:r>
    </w:p>
    <w:p w14:paraId="003F638F">
      <w:pPr>
        <w:pStyle w:val="110"/>
        <w:spacing w:line="420" w:lineRule="exact"/>
        <w:ind w:firstLine="4218" w:firstLineChars="1900"/>
        <w:rPr>
          <w:rStyle w:val="152"/>
          <w:rFonts w:hint="eastAsia" w:ascii="宋体" w:hAnsi="宋体" w:eastAsia="宋体" w:cs="宋体"/>
          <w:b w:val="0"/>
          <w:bCs w:val="0"/>
          <w:color w:val="auto"/>
          <w:spacing w:val="6"/>
          <w:szCs w:val="21"/>
          <w:highlight w:val="none"/>
        </w:rPr>
      </w:pPr>
      <w:r>
        <w:rPr>
          <w:rFonts w:hint="eastAsia" w:ascii="宋体" w:hAnsi="宋体" w:eastAsia="宋体" w:cs="宋体"/>
          <w:color w:val="auto"/>
          <w:spacing w:val="6"/>
          <w:szCs w:val="21"/>
          <w:highlight w:val="none"/>
        </w:rPr>
        <w:t xml:space="preserve">           年     月     日</w:t>
      </w:r>
    </w:p>
    <w:p w14:paraId="161D6DB9">
      <w:pPr>
        <w:widowControl w:val="0"/>
        <w:numPr>
          <w:ilvl w:val="0"/>
          <w:numId w:val="0"/>
        </w:numPr>
        <w:jc w:val="center"/>
        <w:rPr>
          <w:rFonts w:hint="default" w:ascii="宋体" w:hAnsi="宋体" w:cs="宋体"/>
          <w:b/>
          <w:bCs w:val="0"/>
          <w:color w:val="auto"/>
          <w:spacing w:val="6"/>
          <w:sz w:val="28"/>
          <w:szCs w:val="28"/>
          <w:highlight w:val="none"/>
          <w:lang w:val="en-US" w:eastAsia="zh-CN"/>
        </w:rPr>
      </w:pPr>
    </w:p>
    <w:p w14:paraId="2D2D8914">
      <w:pPr>
        <w:jc w:val="center"/>
        <w:rPr>
          <w:rFonts w:hint="default" w:ascii="宋体" w:hAnsi="宋体" w:eastAsia="宋体" w:cs="宋体"/>
          <w:b/>
          <w:bCs w:val="0"/>
          <w:color w:val="auto"/>
          <w:spacing w:val="6"/>
          <w:sz w:val="28"/>
          <w:szCs w:val="28"/>
          <w:highlight w:val="none"/>
          <w:lang w:val="en-US" w:eastAsia="zh-CN"/>
        </w:rPr>
      </w:pPr>
      <w:r>
        <w:rPr>
          <w:rFonts w:hint="eastAsia" w:ascii="宋体" w:hAnsi="宋体" w:cs="宋体"/>
          <w:b/>
          <w:bCs w:val="0"/>
          <w:color w:val="auto"/>
          <w:spacing w:val="6"/>
          <w:sz w:val="28"/>
          <w:szCs w:val="28"/>
          <w:highlight w:val="none"/>
          <w:lang w:val="en-US" w:eastAsia="zh-CN"/>
        </w:rPr>
        <w:t>（二）</w:t>
      </w:r>
      <w:r>
        <w:rPr>
          <w:rFonts w:hint="default" w:ascii="宋体" w:hAnsi="宋体" w:eastAsia="宋体" w:cs="宋体"/>
          <w:b/>
          <w:bCs w:val="0"/>
          <w:color w:val="auto"/>
          <w:spacing w:val="6"/>
          <w:sz w:val="28"/>
          <w:szCs w:val="28"/>
          <w:highlight w:val="none"/>
          <w:lang w:val="en-US" w:eastAsia="zh-CN"/>
        </w:rPr>
        <w:t>项目实施方案</w:t>
      </w:r>
    </w:p>
    <w:p w14:paraId="0F625FF0">
      <w:pPr>
        <w:jc w:val="center"/>
        <w:rPr>
          <w:rFonts w:hint="eastAsia" w:ascii="宋体" w:hAnsi="宋体" w:eastAsia="宋体" w:cs="宋体"/>
          <w:bCs/>
          <w:color w:val="auto"/>
          <w:spacing w:val="6"/>
          <w:sz w:val="21"/>
          <w:szCs w:val="21"/>
          <w:highlight w:val="none"/>
        </w:rPr>
      </w:pPr>
    </w:p>
    <w:p w14:paraId="0120E5E4">
      <w:pPr>
        <w:spacing w:line="420" w:lineRule="exact"/>
        <w:ind w:firstLine="420"/>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投标人根据招标项目要求及自身情况自行填报。</w:t>
      </w:r>
    </w:p>
    <w:p w14:paraId="60B8EF9B">
      <w:pPr>
        <w:spacing w:line="420" w:lineRule="exact"/>
        <w:rPr>
          <w:rFonts w:hint="eastAsia" w:ascii="宋体" w:hAnsi="宋体" w:eastAsia="宋体" w:cs="宋体"/>
          <w:bCs/>
          <w:color w:val="auto"/>
          <w:spacing w:val="6"/>
          <w:sz w:val="21"/>
          <w:szCs w:val="21"/>
          <w:highlight w:val="none"/>
        </w:rPr>
      </w:pPr>
    </w:p>
    <w:p w14:paraId="6B4436DB">
      <w:pPr>
        <w:spacing w:line="420" w:lineRule="exact"/>
        <w:rPr>
          <w:rFonts w:hint="eastAsia" w:ascii="宋体" w:hAnsi="宋体" w:eastAsia="宋体" w:cs="宋体"/>
          <w:bCs/>
          <w:color w:val="auto"/>
          <w:spacing w:val="6"/>
          <w:sz w:val="21"/>
          <w:szCs w:val="21"/>
          <w:highlight w:val="none"/>
        </w:rPr>
      </w:pPr>
    </w:p>
    <w:p w14:paraId="03CC330E">
      <w:pPr>
        <w:pStyle w:val="110"/>
        <w:spacing w:line="420" w:lineRule="exact"/>
        <w:ind w:firstLine="3996" w:firstLineChars="18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投标人：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（盖单位章）</w:t>
      </w:r>
    </w:p>
    <w:p w14:paraId="7B3C43CA">
      <w:pPr>
        <w:pStyle w:val="110"/>
        <w:spacing w:line="420" w:lineRule="exact"/>
        <w:ind w:firstLine="4218" w:firstLineChars="1900"/>
        <w:rPr>
          <w:rStyle w:val="152"/>
          <w:rFonts w:hint="eastAsia" w:ascii="宋体" w:hAnsi="宋体" w:eastAsia="宋体" w:cs="宋体"/>
          <w:b w:val="0"/>
          <w:bCs w:val="0"/>
          <w:color w:val="auto"/>
          <w:spacing w:val="6"/>
          <w:szCs w:val="21"/>
          <w:highlight w:val="none"/>
        </w:rPr>
      </w:pPr>
      <w:r>
        <w:rPr>
          <w:rFonts w:hint="eastAsia" w:ascii="宋体" w:hAnsi="宋体" w:eastAsia="宋体" w:cs="宋体"/>
          <w:color w:val="auto"/>
          <w:spacing w:val="6"/>
          <w:szCs w:val="21"/>
          <w:highlight w:val="none"/>
        </w:rPr>
        <w:t xml:space="preserve">           年     月     日</w:t>
      </w:r>
    </w:p>
    <w:p w14:paraId="106FD754">
      <w:pPr>
        <w:jc w:val="center"/>
        <w:rPr>
          <w:rFonts w:hint="eastAsia" w:ascii="宋体" w:hAnsi="宋体" w:eastAsia="宋体" w:cs="宋体"/>
          <w:b/>
          <w:bCs w:val="0"/>
          <w:color w:val="auto"/>
          <w:spacing w:val="6"/>
          <w:sz w:val="28"/>
          <w:szCs w:val="28"/>
          <w:highlight w:val="none"/>
        </w:rPr>
      </w:pPr>
    </w:p>
    <w:p w14:paraId="4437A79E">
      <w:pPr>
        <w:spacing w:line="420" w:lineRule="exact"/>
        <w:ind w:firstLine="420"/>
        <w:jc w:val="center"/>
        <w:rPr>
          <w:rFonts w:hint="eastAsia" w:ascii="宋体" w:hAnsi="宋体" w:eastAsia="宋体" w:cs="宋体"/>
          <w:b/>
          <w:bCs w:val="0"/>
          <w:color w:val="auto"/>
          <w:spacing w:val="6"/>
          <w:sz w:val="24"/>
          <w:szCs w:val="24"/>
          <w:highlight w:val="none"/>
        </w:rPr>
      </w:pPr>
      <w:r>
        <w:rPr>
          <w:rFonts w:hint="eastAsia" w:ascii="宋体" w:hAnsi="宋体" w:cs="宋体"/>
          <w:b/>
          <w:bCs w:val="0"/>
          <w:color w:val="auto"/>
          <w:spacing w:val="6"/>
          <w:sz w:val="24"/>
          <w:szCs w:val="24"/>
          <w:highlight w:val="none"/>
          <w:lang w:eastAsia="zh-CN"/>
        </w:rPr>
        <w:t>（</w:t>
      </w:r>
      <w:r>
        <w:rPr>
          <w:rFonts w:hint="eastAsia" w:ascii="宋体" w:hAnsi="宋体" w:cs="宋体"/>
          <w:b/>
          <w:bCs w:val="0"/>
          <w:color w:val="auto"/>
          <w:spacing w:val="6"/>
          <w:sz w:val="24"/>
          <w:szCs w:val="24"/>
          <w:highlight w:val="none"/>
          <w:lang w:val="en-US" w:eastAsia="zh-CN"/>
        </w:rPr>
        <w:t>三</w:t>
      </w:r>
      <w:r>
        <w:rPr>
          <w:rFonts w:hint="eastAsia" w:ascii="宋体" w:hAnsi="宋体" w:cs="宋体"/>
          <w:b/>
          <w:bCs w:val="0"/>
          <w:color w:val="auto"/>
          <w:spacing w:val="6"/>
          <w:sz w:val="24"/>
          <w:szCs w:val="24"/>
          <w:highlight w:val="none"/>
          <w:lang w:eastAsia="zh-CN"/>
        </w:rPr>
        <w:t>）</w:t>
      </w:r>
      <w:r>
        <w:rPr>
          <w:rFonts w:hint="eastAsia" w:ascii="宋体" w:hAnsi="宋体" w:eastAsia="宋体" w:cs="宋体"/>
          <w:b/>
          <w:bCs w:val="0"/>
          <w:color w:val="auto"/>
          <w:spacing w:val="6"/>
          <w:sz w:val="24"/>
          <w:szCs w:val="24"/>
          <w:highlight w:val="none"/>
        </w:rPr>
        <w:t>应急方案措施</w:t>
      </w:r>
    </w:p>
    <w:p w14:paraId="0C98268B">
      <w:pPr>
        <w:spacing w:line="420" w:lineRule="exact"/>
        <w:ind w:firstLine="420"/>
        <w:jc w:val="center"/>
        <w:rPr>
          <w:rFonts w:hint="eastAsia" w:ascii="宋体" w:hAnsi="宋体" w:eastAsia="宋体" w:cs="宋体"/>
          <w:b/>
          <w:bCs w:val="0"/>
          <w:color w:val="auto"/>
          <w:spacing w:val="6"/>
          <w:sz w:val="24"/>
          <w:szCs w:val="24"/>
          <w:highlight w:val="none"/>
        </w:rPr>
      </w:pPr>
    </w:p>
    <w:p w14:paraId="5084E57E">
      <w:pPr>
        <w:spacing w:line="420" w:lineRule="exact"/>
        <w:ind w:firstLine="420"/>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投标人根据招标项目要求及自身情况自行填报。</w:t>
      </w:r>
    </w:p>
    <w:p w14:paraId="5740CC89">
      <w:pPr>
        <w:spacing w:line="420" w:lineRule="exact"/>
        <w:rPr>
          <w:rFonts w:hint="eastAsia" w:ascii="宋体" w:hAnsi="宋体" w:eastAsia="宋体" w:cs="宋体"/>
          <w:bCs/>
          <w:color w:val="auto"/>
          <w:spacing w:val="6"/>
          <w:sz w:val="21"/>
          <w:szCs w:val="21"/>
          <w:highlight w:val="none"/>
        </w:rPr>
      </w:pPr>
    </w:p>
    <w:p w14:paraId="4E4E57BA">
      <w:pPr>
        <w:pStyle w:val="110"/>
        <w:spacing w:line="420" w:lineRule="exact"/>
        <w:ind w:firstLine="3996" w:firstLineChars="18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投标人：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（盖单位章）</w:t>
      </w:r>
    </w:p>
    <w:p w14:paraId="06C5C609">
      <w:pPr>
        <w:widowControl/>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w:t>
      </w:r>
    </w:p>
    <w:p w14:paraId="672D0CD3">
      <w:pPr>
        <w:widowControl/>
        <w:ind w:firstLine="4440" w:firstLineChars="2000"/>
        <w:jc w:val="left"/>
        <w:rPr>
          <w:rFonts w:hint="eastAsia" w:ascii="宋体" w:hAnsi="宋体" w:eastAsia="宋体" w:cs="宋体"/>
          <w:b/>
          <w:bCs/>
          <w:color w:val="auto"/>
          <w:spacing w:val="6"/>
          <w:sz w:val="28"/>
          <w:szCs w:val="28"/>
          <w:highlight w:val="none"/>
        </w:rPr>
      </w:pPr>
      <w:r>
        <w:rPr>
          <w:rFonts w:hint="eastAsia" w:ascii="宋体" w:hAnsi="宋体" w:eastAsia="宋体" w:cs="宋体"/>
          <w:color w:val="auto"/>
          <w:spacing w:val="6"/>
          <w:sz w:val="21"/>
          <w:szCs w:val="22"/>
          <w:highlight w:val="none"/>
        </w:rPr>
        <w:t xml:space="preserve"> 年     月     日</w:t>
      </w:r>
    </w:p>
    <w:p w14:paraId="409D14A8">
      <w:pPr>
        <w:spacing w:line="420" w:lineRule="exact"/>
        <w:ind w:firstLine="420"/>
        <w:jc w:val="center"/>
        <w:rPr>
          <w:rFonts w:hint="eastAsia" w:ascii="宋体" w:hAnsi="宋体" w:eastAsia="宋体" w:cs="宋体"/>
          <w:b/>
          <w:bCs w:val="0"/>
          <w:color w:val="auto"/>
          <w:spacing w:val="6"/>
          <w:sz w:val="24"/>
          <w:szCs w:val="24"/>
          <w:highlight w:val="none"/>
        </w:rPr>
      </w:pPr>
    </w:p>
    <w:p w14:paraId="7C603362">
      <w:pPr>
        <w:rPr>
          <w:rFonts w:hint="eastAsia" w:ascii="宋体" w:hAnsi="宋体" w:eastAsia="宋体" w:cs="宋体"/>
          <w:b/>
          <w:bCs w:val="0"/>
          <w:color w:val="auto"/>
          <w:spacing w:val="6"/>
          <w:sz w:val="24"/>
          <w:szCs w:val="24"/>
          <w:highlight w:val="none"/>
        </w:rPr>
      </w:pPr>
      <w:r>
        <w:rPr>
          <w:rFonts w:hint="eastAsia" w:ascii="宋体" w:hAnsi="宋体" w:eastAsia="宋体" w:cs="宋体"/>
          <w:b/>
          <w:bCs w:val="0"/>
          <w:color w:val="auto"/>
          <w:spacing w:val="6"/>
          <w:sz w:val="24"/>
          <w:szCs w:val="24"/>
          <w:highlight w:val="none"/>
        </w:rPr>
        <w:br w:type="page"/>
      </w:r>
    </w:p>
    <w:p w14:paraId="6B17E76B">
      <w:pPr>
        <w:spacing w:line="420" w:lineRule="exact"/>
        <w:ind w:firstLine="420"/>
        <w:jc w:val="center"/>
        <w:rPr>
          <w:rFonts w:hint="eastAsia" w:ascii="宋体" w:hAnsi="宋体" w:eastAsia="宋体" w:cs="宋体"/>
          <w:b/>
          <w:bCs w:val="0"/>
          <w:color w:val="auto"/>
          <w:spacing w:val="6"/>
          <w:sz w:val="24"/>
          <w:szCs w:val="24"/>
          <w:highlight w:val="none"/>
        </w:rPr>
      </w:pPr>
    </w:p>
    <w:p w14:paraId="35F3CB00">
      <w:pPr>
        <w:spacing w:line="420" w:lineRule="exact"/>
        <w:ind w:firstLine="420"/>
        <w:jc w:val="center"/>
        <w:rPr>
          <w:rFonts w:hint="eastAsia" w:ascii="宋体" w:hAnsi="宋体" w:eastAsia="宋体" w:cs="宋体"/>
          <w:b/>
          <w:bCs w:val="0"/>
          <w:color w:val="auto"/>
          <w:spacing w:val="6"/>
          <w:sz w:val="24"/>
          <w:szCs w:val="24"/>
          <w:highlight w:val="none"/>
        </w:rPr>
      </w:pPr>
      <w:r>
        <w:rPr>
          <w:rFonts w:hint="eastAsia" w:ascii="宋体" w:hAnsi="宋体" w:cs="宋体"/>
          <w:b/>
          <w:bCs w:val="0"/>
          <w:color w:val="auto"/>
          <w:spacing w:val="6"/>
          <w:sz w:val="24"/>
          <w:szCs w:val="24"/>
          <w:highlight w:val="none"/>
          <w:lang w:eastAsia="zh-CN"/>
        </w:rPr>
        <w:t>（</w:t>
      </w:r>
      <w:r>
        <w:rPr>
          <w:rFonts w:hint="eastAsia" w:ascii="宋体" w:hAnsi="宋体" w:cs="宋体"/>
          <w:b/>
          <w:bCs w:val="0"/>
          <w:color w:val="auto"/>
          <w:spacing w:val="6"/>
          <w:sz w:val="24"/>
          <w:szCs w:val="24"/>
          <w:highlight w:val="none"/>
          <w:lang w:val="en-US" w:eastAsia="zh-CN"/>
        </w:rPr>
        <w:t>四</w:t>
      </w:r>
      <w:r>
        <w:rPr>
          <w:rFonts w:hint="eastAsia" w:ascii="宋体" w:hAnsi="宋体" w:cs="宋体"/>
          <w:b/>
          <w:bCs w:val="0"/>
          <w:color w:val="auto"/>
          <w:spacing w:val="6"/>
          <w:sz w:val="24"/>
          <w:szCs w:val="24"/>
          <w:highlight w:val="none"/>
          <w:lang w:eastAsia="zh-CN"/>
        </w:rPr>
        <w:t>）</w:t>
      </w:r>
      <w:r>
        <w:rPr>
          <w:rFonts w:hint="eastAsia" w:ascii="宋体" w:hAnsi="宋体" w:eastAsia="宋体" w:cs="宋体"/>
          <w:b/>
          <w:bCs w:val="0"/>
          <w:color w:val="auto"/>
          <w:spacing w:val="6"/>
          <w:sz w:val="24"/>
          <w:szCs w:val="24"/>
          <w:highlight w:val="none"/>
        </w:rPr>
        <w:t>售后服务方案</w:t>
      </w:r>
    </w:p>
    <w:p w14:paraId="439BB5B4">
      <w:pPr>
        <w:spacing w:line="420" w:lineRule="exact"/>
        <w:ind w:firstLine="420"/>
        <w:rPr>
          <w:rFonts w:hint="eastAsia" w:ascii="宋体" w:hAnsi="宋体" w:eastAsia="宋体" w:cs="宋体"/>
          <w:bCs/>
          <w:color w:val="auto"/>
          <w:spacing w:val="6"/>
          <w:sz w:val="21"/>
          <w:szCs w:val="21"/>
          <w:highlight w:val="none"/>
        </w:rPr>
      </w:pPr>
    </w:p>
    <w:p w14:paraId="383B0BF8">
      <w:pPr>
        <w:spacing w:line="420" w:lineRule="exact"/>
        <w:ind w:firstLine="420"/>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投标人根据招标项目要求及自身情况自行填报。</w:t>
      </w:r>
    </w:p>
    <w:p w14:paraId="6D8B1B0A">
      <w:pPr>
        <w:spacing w:line="420" w:lineRule="exact"/>
        <w:rPr>
          <w:rFonts w:hint="eastAsia" w:ascii="宋体" w:hAnsi="宋体" w:eastAsia="宋体" w:cs="宋体"/>
          <w:bCs/>
          <w:color w:val="auto"/>
          <w:spacing w:val="6"/>
          <w:sz w:val="21"/>
          <w:szCs w:val="21"/>
          <w:highlight w:val="none"/>
        </w:rPr>
      </w:pPr>
    </w:p>
    <w:p w14:paraId="464E421F">
      <w:pPr>
        <w:pStyle w:val="110"/>
        <w:spacing w:line="420" w:lineRule="exact"/>
        <w:ind w:firstLine="3996" w:firstLineChars="18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投标人：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（盖单位章）</w:t>
      </w:r>
    </w:p>
    <w:p w14:paraId="2AFA9DBA">
      <w:pPr>
        <w:widowControl/>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w:t>
      </w:r>
    </w:p>
    <w:p w14:paraId="6C0B20AA">
      <w:pPr>
        <w:widowControl/>
        <w:ind w:firstLine="4440" w:firstLineChars="2000"/>
        <w:jc w:val="left"/>
        <w:rPr>
          <w:rFonts w:hint="eastAsia" w:ascii="宋体" w:hAnsi="宋体" w:eastAsia="宋体" w:cs="宋体"/>
          <w:b/>
          <w:bCs/>
          <w:color w:val="auto"/>
          <w:spacing w:val="6"/>
          <w:sz w:val="28"/>
          <w:szCs w:val="28"/>
          <w:highlight w:val="none"/>
        </w:rPr>
      </w:pPr>
      <w:r>
        <w:rPr>
          <w:rFonts w:hint="eastAsia" w:ascii="宋体" w:hAnsi="宋体" w:eastAsia="宋体" w:cs="宋体"/>
          <w:color w:val="auto"/>
          <w:spacing w:val="6"/>
          <w:sz w:val="21"/>
          <w:szCs w:val="22"/>
          <w:highlight w:val="none"/>
        </w:rPr>
        <w:t xml:space="preserve"> 年     月     日</w:t>
      </w:r>
    </w:p>
    <w:p w14:paraId="6858CAF7">
      <w:pPr>
        <w:bidi w:val="0"/>
        <w:rPr>
          <w:rFonts w:hint="eastAsia" w:ascii="宋体" w:hAnsi="宋体" w:eastAsia="宋体" w:cs="宋体"/>
          <w:lang w:val="en-US" w:eastAsia="zh-CN"/>
        </w:rPr>
      </w:pPr>
    </w:p>
    <w:p w14:paraId="3B789971">
      <w:pPr>
        <w:spacing w:line="420" w:lineRule="exact"/>
        <w:ind w:firstLine="420"/>
        <w:jc w:val="center"/>
        <w:rPr>
          <w:rFonts w:hint="eastAsia" w:ascii="宋体" w:hAnsi="宋体" w:eastAsia="宋体" w:cs="宋体"/>
          <w:b/>
          <w:bCs w:val="0"/>
          <w:color w:val="auto"/>
          <w:spacing w:val="6"/>
          <w:sz w:val="24"/>
          <w:szCs w:val="24"/>
          <w:highlight w:val="none"/>
          <w:lang w:val="en-US" w:eastAsia="zh-CN"/>
        </w:rPr>
      </w:pPr>
    </w:p>
    <w:p w14:paraId="4FD5D3C5">
      <w:pPr>
        <w:jc w:val="center"/>
        <w:rPr>
          <w:rFonts w:hint="eastAsia" w:ascii="宋体" w:hAnsi="宋体" w:eastAsia="宋体" w:cs="宋体"/>
          <w:b/>
          <w:bCs w:val="0"/>
          <w:color w:val="auto"/>
          <w:spacing w:val="6"/>
          <w:sz w:val="28"/>
          <w:szCs w:val="28"/>
          <w:highlight w:val="none"/>
        </w:rPr>
      </w:pPr>
      <w:r>
        <w:rPr>
          <w:rFonts w:hint="eastAsia" w:ascii="宋体" w:hAnsi="宋体" w:cs="宋体"/>
          <w:b/>
          <w:bCs w:val="0"/>
          <w:color w:val="auto"/>
          <w:spacing w:val="6"/>
          <w:sz w:val="28"/>
          <w:szCs w:val="28"/>
          <w:highlight w:val="none"/>
          <w:lang w:eastAsia="zh-CN"/>
        </w:rPr>
        <w:t>（</w:t>
      </w:r>
      <w:r>
        <w:rPr>
          <w:rFonts w:hint="eastAsia" w:ascii="宋体" w:hAnsi="宋体" w:cs="宋体"/>
          <w:b/>
          <w:bCs w:val="0"/>
          <w:color w:val="auto"/>
          <w:spacing w:val="6"/>
          <w:sz w:val="28"/>
          <w:szCs w:val="28"/>
          <w:highlight w:val="none"/>
          <w:lang w:val="en-US" w:eastAsia="zh-CN"/>
        </w:rPr>
        <w:t>五</w:t>
      </w:r>
      <w:r>
        <w:rPr>
          <w:rFonts w:hint="eastAsia" w:ascii="宋体" w:hAnsi="宋体" w:cs="宋体"/>
          <w:b/>
          <w:bCs w:val="0"/>
          <w:color w:val="auto"/>
          <w:spacing w:val="6"/>
          <w:sz w:val="28"/>
          <w:szCs w:val="28"/>
          <w:highlight w:val="none"/>
          <w:lang w:eastAsia="zh-CN"/>
        </w:rPr>
        <w:t>）</w:t>
      </w:r>
      <w:r>
        <w:rPr>
          <w:rFonts w:hint="eastAsia" w:ascii="宋体" w:hAnsi="宋体" w:eastAsia="宋体" w:cs="宋体"/>
          <w:b/>
          <w:bCs w:val="0"/>
          <w:color w:val="auto"/>
          <w:spacing w:val="6"/>
          <w:sz w:val="28"/>
          <w:szCs w:val="28"/>
          <w:highlight w:val="none"/>
        </w:rPr>
        <w:t>培训方案</w:t>
      </w:r>
    </w:p>
    <w:p w14:paraId="21AFD431">
      <w:pPr>
        <w:jc w:val="center"/>
        <w:rPr>
          <w:rFonts w:hint="eastAsia" w:ascii="宋体" w:hAnsi="宋体" w:eastAsia="宋体" w:cs="宋体"/>
          <w:bCs/>
          <w:color w:val="auto"/>
          <w:spacing w:val="6"/>
          <w:sz w:val="21"/>
          <w:szCs w:val="21"/>
          <w:highlight w:val="none"/>
        </w:rPr>
      </w:pPr>
    </w:p>
    <w:p w14:paraId="4786B61F">
      <w:pPr>
        <w:spacing w:line="420" w:lineRule="exact"/>
        <w:ind w:firstLine="420"/>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投标人根据招标项目要求及自身情况自行填报。</w:t>
      </w:r>
    </w:p>
    <w:p w14:paraId="67EE72B6">
      <w:pPr>
        <w:spacing w:line="420" w:lineRule="exact"/>
        <w:rPr>
          <w:rFonts w:hint="eastAsia" w:ascii="宋体" w:hAnsi="宋体" w:eastAsia="宋体" w:cs="宋体"/>
          <w:bCs/>
          <w:color w:val="auto"/>
          <w:spacing w:val="6"/>
          <w:sz w:val="21"/>
          <w:szCs w:val="21"/>
          <w:highlight w:val="none"/>
        </w:rPr>
      </w:pPr>
    </w:p>
    <w:p w14:paraId="46AB2005">
      <w:pPr>
        <w:spacing w:line="420" w:lineRule="exact"/>
        <w:rPr>
          <w:rFonts w:hint="eastAsia" w:ascii="宋体" w:hAnsi="宋体" w:eastAsia="宋体" w:cs="宋体"/>
          <w:bCs/>
          <w:color w:val="auto"/>
          <w:spacing w:val="6"/>
          <w:sz w:val="21"/>
          <w:szCs w:val="21"/>
          <w:highlight w:val="none"/>
        </w:rPr>
      </w:pPr>
    </w:p>
    <w:p w14:paraId="7C7F2A12">
      <w:pPr>
        <w:pStyle w:val="110"/>
        <w:spacing w:line="420" w:lineRule="exact"/>
        <w:ind w:firstLine="3996" w:firstLineChars="18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投标人：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（盖单位章）</w:t>
      </w:r>
    </w:p>
    <w:p w14:paraId="3756CEB6">
      <w:pPr>
        <w:pStyle w:val="110"/>
        <w:spacing w:line="420" w:lineRule="exact"/>
        <w:ind w:firstLine="4218" w:firstLineChars="1900"/>
        <w:rPr>
          <w:rStyle w:val="152"/>
          <w:rFonts w:hint="eastAsia" w:ascii="宋体" w:hAnsi="宋体" w:eastAsia="宋体" w:cs="宋体"/>
          <w:b w:val="0"/>
          <w:bCs w:val="0"/>
          <w:color w:val="auto"/>
          <w:spacing w:val="6"/>
          <w:szCs w:val="21"/>
          <w:highlight w:val="none"/>
        </w:rPr>
      </w:pPr>
      <w:r>
        <w:rPr>
          <w:rFonts w:hint="eastAsia" w:ascii="宋体" w:hAnsi="宋体" w:eastAsia="宋体" w:cs="宋体"/>
          <w:color w:val="auto"/>
          <w:spacing w:val="6"/>
          <w:szCs w:val="21"/>
          <w:highlight w:val="none"/>
        </w:rPr>
        <w:t xml:space="preserve">           年     月     日</w:t>
      </w:r>
    </w:p>
    <w:p w14:paraId="7D0EE11C">
      <w:pPr>
        <w:rPr>
          <w:rFonts w:hint="eastAsia" w:ascii="宋体" w:hAnsi="宋体" w:eastAsia="宋体" w:cs="宋体"/>
          <w:b w:val="0"/>
          <w:bCs w:val="0"/>
          <w:color w:val="auto"/>
          <w:spacing w:val="6"/>
          <w:sz w:val="28"/>
          <w:szCs w:val="28"/>
          <w:highlight w:val="none"/>
          <w:lang w:val="en-US" w:eastAsia="zh-CN"/>
        </w:rPr>
      </w:pPr>
      <w:bookmarkStart w:id="587" w:name="_Toc9149"/>
      <w:bookmarkStart w:id="588" w:name="_Toc25964"/>
      <w:bookmarkStart w:id="589" w:name="_Toc14041"/>
      <w:bookmarkStart w:id="590" w:name="_Toc32620"/>
      <w:bookmarkStart w:id="591" w:name="_Toc8621"/>
      <w:r>
        <w:rPr>
          <w:rFonts w:hint="eastAsia" w:ascii="宋体" w:hAnsi="宋体" w:eastAsia="宋体" w:cs="宋体"/>
          <w:b w:val="0"/>
          <w:bCs w:val="0"/>
          <w:color w:val="auto"/>
          <w:spacing w:val="6"/>
          <w:sz w:val="28"/>
          <w:szCs w:val="28"/>
          <w:highlight w:val="none"/>
          <w:lang w:val="en-US" w:eastAsia="zh-CN"/>
        </w:rPr>
        <w:br w:type="page"/>
      </w:r>
    </w:p>
    <w:p w14:paraId="06484765">
      <w:pPr>
        <w:pStyle w:val="3"/>
        <w:outlineLvl w:val="1"/>
        <w:rPr>
          <w:rFonts w:hint="eastAsia" w:ascii="宋体" w:hAnsi="宋体" w:eastAsia="宋体" w:cs="宋体"/>
          <w:b w:val="0"/>
          <w:bCs w:val="0"/>
          <w:color w:val="auto"/>
          <w:spacing w:val="6"/>
          <w:sz w:val="28"/>
          <w:szCs w:val="28"/>
          <w:highlight w:val="none"/>
          <w:lang w:val="en-US" w:eastAsia="zh-CN"/>
        </w:rPr>
      </w:pPr>
      <w:r>
        <w:rPr>
          <w:rFonts w:hint="eastAsia" w:ascii="宋体" w:hAnsi="宋体" w:eastAsia="宋体" w:cs="宋体"/>
          <w:b w:val="0"/>
          <w:bCs w:val="0"/>
          <w:color w:val="auto"/>
          <w:spacing w:val="6"/>
          <w:sz w:val="28"/>
          <w:szCs w:val="28"/>
          <w:highlight w:val="none"/>
          <w:lang w:val="en-US" w:eastAsia="zh-CN"/>
        </w:rPr>
        <w:t>九、</w:t>
      </w:r>
      <w:bookmarkEnd w:id="587"/>
      <w:r>
        <w:rPr>
          <w:rFonts w:hint="eastAsia" w:ascii="宋体" w:hAnsi="宋体" w:eastAsia="宋体" w:cs="宋体"/>
          <w:b w:val="0"/>
          <w:bCs w:val="0"/>
          <w:color w:val="auto"/>
          <w:spacing w:val="6"/>
          <w:sz w:val="28"/>
          <w:szCs w:val="28"/>
          <w:highlight w:val="none"/>
          <w:lang w:val="en-US" w:eastAsia="zh-CN"/>
        </w:rPr>
        <w:t>其他需要提供的材料</w:t>
      </w:r>
      <w:bookmarkEnd w:id="588"/>
      <w:bookmarkEnd w:id="589"/>
      <w:bookmarkEnd w:id="590"/>
      <w:bookmarkEnd w:id="591"/>
    </w:p>
    <w:p w14:paraId="5BE6BD81">
      <w:pPr>
        <w:jc w:val="center"/>
        <w:rPr>
          <w:rFonts w:hint="eastAsia" w:ascii="宋体" w:hAnsi="宋体" w:eastAsia="宋体" w:cs="宋体"/>
          <w:bCs/>
          <w:color w:val="auto"/>
          <w:spacing w:val="6"/>
          <w:sz w:val="21"/>
          <w:szCs w:val="21"/>
          <w:highlight w:val="none"/>
        </w:rPr>
      </w:pPr>
    </w:p>
    <w:p w14:paraId="7BCB62BE">
      <w:pPr>
        <w:spacing w:line="420" w:lineRule="exact"/>
        <w:jc w:val="center"/>
        <w:rPr>
          <w:rFonts w:hint="eastAsia" w:ascii="宋体" w:hAnsi="宋体" w:eastAsia="宋体" w:cs="宋体"/>
          <w:b/>
          <w:bCs w:val="0"/>
          <w:color w:val="auto"/>
          <w:spacing w:val="6"/>
          <w:sz w:val="28"/>
          <w:szCs w:val="28"/>
          <w:highlight w:val="none"/>
        </w:rPr>
      </w:pPr>
      <w:bookmarkStart w:id="592" w:name="OLE_LINK2"/>
      <w:r>
        <w:rPr>
          <w:rFonts w:hint="eastAsia" w:ascii="宋体" w:hAnsi="宋体" w:eastAsia="宋体" w:cs="宋体"/>
          <w:b/>
          <w:bCs w:val="0"/>
          <w:color w:val="auto"/>
          <w:spacing w:val="6"/>
          <w:sz w:val="24"/>
          <w:szCs w:val="24"/>
          <w:highlight w:val="none"/>
        </w:rPr>
        <w:t>其他需要提供的材料</w:t>
      </w:r>
    </w:p>
    <w:bookmarkEnd w:id="592"/>
    <w:p w14:paraId="00FA16DC">
      <w:pPr>
        <w:spacing w:line="420" w:lineRule="exact"/>
        <w:ind w:firstLine="584" w:firstLineChars="200"/>
        <w:rPr>
          <w:rFonts w:hint="eastAsia" w:ascii="宋体" w:hAnsi="宋体" w:eastAsia="宋体" w:cs="宋体"/>
          <w:bCs/>
          <w:color w:val="auto"/>
          <w:spacing w:val="6"/>
          <w:sz w:val="28"/>
          <w:szCs w:val="28"/>
          <w:highlight w:val="none"/>
        </w:rPr>
      </w:pPr>
    </w:p>
    <w:p w14:paraId="436B2385">
      <w:pPr>
        <w:spacing w:line="420" w:lineRule="exact"/>
        <w:ind w:firstLine="444" w:firstLineChars="200"/>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投标人根据招标项目要求认为需要提供的其他资料。</w:t>
      </w:r>
      <w:bookmarkStart w:id="593" w:name="_Toc504741952"/>
      <w:bookmarkEnd w:id="593"/>
    </w:p>
    <w:p w14:paraId="7F49C1DE">
      <w:pPr>
        <w:pStyle w:val="120"/>
        <w:spacing w:line="420" w:lineRule="exact"/>
        <w:ind w:left="0" w:leftChars="0" w:firstLine="0" w:firstLineChars="0"/>
        <w:rPr>
          <w:rFonts w:hint="eastAsia" w:ascii="宋体" w:hAnsi="宋体" w:eastAsia="宋体" w:cs="宋体"/>
          <w:bCs/>
          <w:color w:val="auto"/>
          <w:spacing w:val="6"/>
          <w:szCs w:val="21"/>
          <w:highlight w:val="none"/>
        </w:rPr>
      </w:pPr>
    </w:p>
    <w:p w14:paraId="1B68414E">
      <w:pPr>
        <w:rPr>
          <w:rFonts w:hint="eastAsia" w:ascii="宋体" w:hAnsi="宋体" w:eastAsia="宋体" w:cs="宋体"/>
          <w:bCs/>
          <w:color w:val="auto"/>
          <w:spacing w:val="6"/>
          <w:szCs w:val="21"/>
          <w:highlight w:val="none"/>
        </w:rPr>
      </w:pPr>
    </w:p>
    <w:p w14:paraId="67BA2388">
      <w:pPr>
        <w:bidi w:val="0"/>
        <w:rPr>
          <w:rFonts w:hint="eastAsia" w:ascii="宋体" w:hAnsi="宋体" w:eastAsia="宋体" w:cs="宋体"/>
          <w:color w:val="auto"/>
          <w:highlight w:val="none"/>
        </w:rPr>
      </w:pPr>
    </w:p>
    <w:p w14:paraId="152DFE45">
      <w:pPr>
        <w:bidi w:val="0"/>
        <w:rPr>
          <w:rFonts w:hint="eastAsia" w:ascii="宋体" w:hAnsi="宋体" w:eastAsia="宋体" w:cs="宋体"/>
          <w:color w:val="auto"/>
          <w:highlight w:val="none"/>
        </w:rPr>
      </w:pPr>
    </w:p>
    <w:p w14:paraId="29CF2555">
      <w:pPr>
        <w:bidi w:val="0"/>
        <w:rPr>
          <w:rFonts w:hint="eastAsia" w:ascii="宋体" w:hAnsi="宋体" w:eastAsia="宋体" w:cs="宋体"/>
          <w:color w:val="auto"/>
          <w:highlight w:val="none"/>
        </w:rPr>
      </w:pPr>
    </w:p>
    <w:p w14:paraId="66137B48">
      <w:pPr>
        <w:bidi w:val="0"/>
        <w:rPr>
          <w:rFonts w:hint="eastAsia" w:ascii="宋体" w:hAnsi="宋体" w:eastAsia="宋体" w:cs="宋体"/>
          <w:color w:val="auto"/>
          <w:highlight w:val="none"/>
        </w:rPr>
      </w:pPr>
    </w:p>
    <w:p w14:paraId="7B2BEE74">
      <w:pPr>
        <w:bidi w:val="0"/>
        <w:rPr>
          <w:rFonts w:hint="eastAsia" w:ascii="宋体" w:hAnsi="宋体" w:eastAsia="宋体" w:cs="宋体"/>
          <w:color w:val="auto"/>
          <w:highlight w:val="none"/>
        </w:rPr>
      </w:pPr>
    </w:p>
    <w:p w14:paraId="0A806913">
      <w:pPr>
        <w:bidi w:val="0"/>
        <w:rPr>
          <w:rFonts w:hint="eastAsia" w:ascii="宋体" w:hAnsi="宋体" w:eastAsia="宋体" w:cs="宋体"/>
          <w:color w:val="auto"/>
          <w:highlight w:val="none"/>
        </w:rPr>
      </w:pPr>
    </w:p>
    <w:p w14:paraId="6E375A25">
      <w:pPr>
        <w:bidi w:val="0"/>
        <w:rPr>
          <w:rFonts w:hint="eastAsia" w:ascii="宋体" w:hAnsi="宋体" w:eastAsia="宋体" w:cs="宋体"/>
          <w:color w:val="auto"/>
          <w:highlight w:val="none"/>
        </w:rPr>
      </w:pPr>
    </w:p>
    <w:p w14:paraId="4158D27E">
      <w:pPr>
        <w:bidi w:val="0"/>
        <w:rPr>
          <w:rFonts w:hint="eastAsia" w:ascii="宋体" w:hAnsi="宋体" w:eastAsia="宋体" w:cs="宋体"/>
          <w:color w:val="auto"/>
          <w:highlight w:val="none"/>
        </w:rPr>
      </w:pPr>
    </w:p>
    <w:p w14:paraId="7EC16CDC">
      <w:pPr>
        <w:bidi w:val="0"/>
        <w:rPr>
          <w:rFonts w:hint="eastAsia" w:ascii="宋体" w:hAnsi="宋体" w:eastAsia="宋体" w:cs="宋体"/>
          <w:color w:val="auto"/>
          <w:highlight w:val="none"/>
        </w:rPr>
      </w:pPr>
    </w:p>
    <w:p w14:paraId="2C276F55">
      <w:pPr>
        <w:bidi w:val="0"/>
        <w:rPr>
          <w:rFonts w:hint="eastAsia" w:ascii="宋体" w:hAnsi="宋体" w:eastAsia="宋体" w:cs="宋体"/>
          <w:color w:val="auto"/>
          <w:highlight w:val="none"/>
        </w:rPr>
      </w:pPr>
    </w:p>
    <w:p w14:paraId="4ECCFACB">
      <w:pPr>
        <w:bidi w:val="0"/>
        <w:rPr>
          <w:rFonts w:hint="eastAsia" w:ascii="宋体" w:hAnsi="宋体" w:eastAsia="宋体" w:cs="宋体"/>
          <w:color w:val="auto"/>
          <w:highlight w:val="none"/>
        </w:rPr>
      </w:pPr>
    </w:p>
    <w:p w14:paraId="15608C46">
      <w:pPr>
        <w:bidi w:val="0"/>
        <w:rPr>
          <w:rFonts w:hint="eastAsia" w:ascii="宋体" w:hAnsi="宋体" w:eastAsia="宋体" w:cs="宋体"/>
          <w:color w:val="auto"/>
          <w:highlight w:val="none"/>
        </w:rPr>
      </w:pPr>
    </w:p>
    <w:p w14:paraId="308ABEAF">
      <w:pPr>
        <w:bidi w:val="0"/>
        <w:rPr>
          <w:rFonts w:hint="eastAsia" w:ascii="宋体" w:hAnsi="宋体" w:eastAsia="宋体" w:cs="宋体"/>
          <w:color w:val="auto"/>
          <w:highlight w:val="none"/>
        </w:rPr>
      </w:pPr>
    </w:p>
    <w:p w14:paraId="7C7C3A30">
      <w:pPr>
        <w:bidi w:val="0"/>
        <w:rPr>
          <w:rFonts w:hint="eastAsia" w:ascii="宋体" w:hAnsi="宋体" w:eastAsia="宋体" w:cs="宋体"/>
          <w:color w:val="auto"/>
          <w:highlight w:val="none"/>
        </w:rPr>
      </w:pPr>
    </w:p>
    <w:p w14:paraId="62B08F90">
      <w:pPr>
        <w:bidi w:val="0"/>
        <w:rPr>
          <w:rFonts w:hint="eastAsia" w:ascii="宋体" w:hAnsi="宋体" w:eastAsia="宋体" w:cs="宋体"/>
          <w:color w:val="auto"/>
          <w:highlight w:val="none"/>
        </w:rPr>
      </w:pPr>
    </w:p>
    <w:p w14:paraId="5DA952B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2E39E3B">
      <w:pPr>
        <w:spacing w:line="420" w:lineRule="exact"/>
        <w:jc w:val="center"/>
        <w:outlineLvl w:val="0"/>
        <w:rPr>
          <w:rFonts w:hint="eastAsia" w:ascii="宋体" w:hAnsi="宋体" w:eastAsia="宋体" w:cs="宋体"/>
          <w:bCs/>
          <w:color w:val="auto"/>
          <w:spacing w:val="6"/>
          <w:sz w:val="24"/>
          <w:szCs w:val="24"/>
          <w:highlight w:val="none"/>
        </w:rPr>
      </w:pPr>
      <w:bookmarkStart w:id="594" w:name="_Toc5607"/>
      <w:bookmarkStart w:id="595" w:name="_Toc32137"/>
      <w:bookmarkStart w:id="596" w:name="_Toc456"/>
      <w:bookmarkStart w:id="597" w:name="_Toc99"/>
      <w:r>
        <w:rPr>
          <w:rFonts w:hint="eastAsia" w:ascii="宋体" w:hAnsi="宋体" w:eastAsia="宋体" w:cs="宋体"/>
          <w:b/>
          <w:bCs w:val="0"/>
          <w:color w:val="auto"/>
          <w:spacing w:val="6"/>
          <w:sz w:val="24"/>
          <w:szCs w:val="24"/>
          <w:highlight w:val="none"/>
        </w:rPr>
        <w:t>河南省政府采购合同融资政策告知函</w:t>
      </w:r>
      <w:bookmarkEnd w:id="594"/>
      <w:bookmarkEnd w:id="595"/>
      <w:bookmarkEnd w:id="596"/>
      <w:bookmarkEnd w:id="597"/>
    </w:p>
    <w:p w14:paraId="7FA0C78E">
      <w:pPr>
        <w:spacing w:line="420" w:lineRule="exact"/>
        <w:ind w:firstLine="444" w:firstLineChars="200"/>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各供应商：</w:t>
      </w:r>
    </w:p>
    <w:p w14:paraId="059965E3">
      <w:pPr>
        <w:spacing w:line="420" w:lineRule="exact"/>
        <w:ind w:firstLine="444" w:firstLineChars="200"/>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欢迎贵公司参与河南省政府采购活动！</w:t>
      </w:r>
    </w:p>
    <w:p w14:paraId="144A4372">
      <w:pPr>
        <w:spacing w:line="420" w:lineRule="exact"/>
        <w:ind w:firstLine="444" w:firstLineChars="200"/>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DF7C682">
      <w:pPr>
        <w:spacing w:line="420" w:lineRule="exact"/>
        <w:ind w:firstLine="444" w:firstLineChars="200"/>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贷款渠道和提供贷款的金融机构，可在河南省政府采购网“河南省政府采购合同融资平台”查询联系。</w:t>
      </w:r>
    </w:p>
    <w:p w14:paraId="0F5757EF">
      <w:pPr>
        <w:rPr>
          <w:rFonts w:hint="eastAsia" w:ascii="宋体" w:hAnsi="宋体" w:eastAsia="宋体" w:cs="宋体"/>
          <w:color w:val="auto"/>
          <w:highlight w:val="none"/>
        </w:rPr>
      </w:pPr>
    </w:p>
    <w:sectPr>
      <w:headerReference r:id="rId5" w:type="default"/>
      <w:footerReference r:id="rId6"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体">
    <w:altName w:val="仿宋"/>
    <w:panose1 w:val="00000000000000000000"/>
    <w:charset w:val="86"/>
    <w:family w:val="roman"/>
    <w:pitch w:val="default"/>
    <w:sig w:usb0="00000000" w:usb1="00000000" w:usb2="0000001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MS Sans Serif">
    <w:altName w:val="Arial"/>
    <w:panose1 w:val="00000000000000000000"/>
    <w:charset w:val="00"/>
    <w:family w:val="swiss"/>
    <w:pitch w:val="default"/>
    <w:sig w:usb0="00000000" w:usb1="00000000" w:usb2="00000000" w:usb3="00000000" w:csb0="00000001" w:csb1="00000000"/>
  </w:font>
  <w:font w:name="Noto Sans SC">
    <w:panose1 w:val="020B0200000000000000"/>
    <w:charset w:val="86"/>
    <w:family w:val="auto"/>
    <w:pitch w:val="default"/>
    <w:sig w:usb0="20000083" w:usb1="2ADF3C10" w:usb2="00000016" w:usb3="00000000" w:csb0="60060107" w:csb1="00000000"/>
  </w:font>
  <w:font w:name="Segoe UI Symbol">
    <w:panose1 w:val="020B0502040204020203"/>
    <w:charset w:val="00"/>
    <w:family w:val="auto"/>
    <w:pitch w:val="default"/>
    <w:sig w:usb0="800001E3" w:usb1="1200FFEF" w:usb2="00040000" w:usb3="04000000" w:csb0="00000001" w:csb1="4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C32FE">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A37F3B">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7A37F3B">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27C06D">
                          <w:pPr>
                            <w:pStyle w:val="15"/>
                            <w:rPr>
                              <w:rStyle w:val="30"/>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727C06D">
                    <w:pPr>
                      <w:pStyle w:val="15"/>
                      <w:rPr>
                        <w:rStyle w:val="30"/>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5689E">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576DA1">
                          <w:pPr>
                            <w:pStyle w:val="15"/>
                            <w:rPr>
                              <w:rStyle w:val="30"/>
                            </w:rPr>
                          </w:pPr>
                          <w:r>
                            <w:rPr>
                              <w:rStyle w:val="30"/>
                            </w:rPr>
                            <w:fldChar w:fldCharType="begin"/>
                          </w:r>
                          <w:r>
                            <w:rPr>
                              <w:rStyle w:val="30"/>
                            </w:rPr>
                            <w:instrText xml:space="preserve">PAGE  </w:instrText>
                          </w:r>
                          <w:r>
                            <w:rPr>
                              <w:rStyle w:val="30"/>
                            </w:rPr>
                            <w:fldChar w:fldCharType="separate"/>
                          </w:r>
                          <w:r>
                            <w:rPr>
                              <w:rStyle w:val="30"/>
                            </w:rPr>
                            <w:t>58</w:t>
                          </w:r>
                          <w:r>
                            <w:rPr>
                              <w:rStyle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4576DA1">
                    <w:pPr>
                      <w:pStyle w:val="15"/>
                      <w:rPr>
                        <w:rStyle w:val="30"/>
                      </w:rPr>
                    </w:pPr>
                    <w:r>
                      <w:rPr>
                        <w:rStyle w:val="30"/>
                      </w:rPr>
                      <w:fldChar w:fldCharType="begin"/>
                    </w:r>
                    <w:r>
                      <w:rPr>
                        <w:rStyle w:val="30"/>
                      </w:rPr>
                      <w:instrText xml:space="preserve">PAGE  </w:instrText>
                    </w:r>
                    <w:r>
                      <w:rPr>
                        <w:rStyle w:val="30"/>
                      </w:rPr>
                      <w:fldChar w:fldCharType="separate"/>
                    </w:r>
                    <w:r>
                      <w:rPr>
                        <w:rStyle w:val="30"/>
                      </w:rPr>
                      <w:t>58</w:t>
                    </w:r>
                    <w:r>
                      <w:rPr>
                        <w:rStyle w:val="3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9038D">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DCE98">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9906CD"/>
    <w:multiLevelType w:val="singleLevel"/>
    <w:tmpl w:val="B19906CD"/>
    <w:lvl w:ilvl="0" w:tentative="0">
      <w:start w:val="1"/>
      <w:numFmt w:val="chineseCounting"/>
      <w:suff w:val="nothing"/>
      <w:lvlText w:val="（%1）"/>
      <w:lvlJc w:val="left"/>
      <w:rPr>
        <w:rFonts w:hint="eastAsia"/>
      </w:rPr>
    </w:lvl>
  </w:abstractNum>
  <w:abstractNum w:abstractNumId="1">
    <w:nsid w:val="BEB4CA45"/>
    <w:multiLevelType w:val="singleLevel"/>
    <w:tmpl w:val="BEB4CA45"/>
    <w:lvl w:ilvl="0" w:tentative="0">
      <w:start w:val="5"/>
      <w:numFmt w:val="decimal"/>
      <w:suff w:val="nothing"/>
      <w:lvlText w:val="%1、"/>
      <w:lvlJc w:val="left"/>
    </w:lvl>
  </w:abstractNum>
  <w:abstractNum w:abstractNumId="2">
    <w:nsid w:val="06BC776C"/>
    <w:multiLevelType w:val="multilevel"/>
    <w:tmpl w:val="06BC776C"/>
    <w:lvl w:ilvl="0" w:tentative="0">
      <w:start w:val="1"/>
      <w:numFmt w:val="japaneseCounting"/>
      <w:lvlText w:val="第%1条"/>
      <w:lvlJc w:val="left"/>
      <w:pPr>
        <w:ind w:left="1245" w:hanging="765"/>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6ED719F7"/>
    <w:multiLevelType w:val="singleLevel"/>
    <w:tmpl w:val="6ED719F7"/>
    <w:lvl w:ilvl="0" w:tentative="0">
      <w:start w:val="2"/>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zMzE4MzlkOWU2NmMyNTg1NzE5ZGQzYjFhYWNkMjYifQ=="/>
  </w:docVars>
  <w:rsids>
    <w:rsidRoot w:val="6E894542"/>
    <w:rsid w:val="0000083E"/>
    <w:rsid w:val="000221F4"/>
    <w:rsid w:val="00022891"/>
    <w:rsid w:val="0004745E"/>
    <w:rsid w:val="001140E0"/>
    <w:rsid w:val="00144F89"/>
    <w:rsid w:val="0014680A"/>
    <w:rsid w:val="0016755A"/>
    <w:rsid w:val="00177FCC"/>
    <w:rsid w:val="0019140A"/>
    <w:rsid w:val="00193F42"/>
    <w:rsid w:val="001A590F"/>
    <w:rsid w:val="001C6F71"/>
    <w:rsid w:val="001E1BEA"/>
    <w:rsid w:val="00237108"/>
    <w:rsid w:val="00246011"/>
    <w:rsid w:val="00330211"/>
    <w:rsid w:val="00354EC9"/>
    <w:rsid w:val="00367E96"/>
    <w:rsid w:val="00371575"/>
    <w:rsid w:val="00374E37"/>
    <w:rsid w:val="003B308C"/>
    <w:rsid w:val="003B36F5"/>
    <w:rsid w:val="003C5E75"/>
    <w:rsid w:val="003D39A5"/>
    <w:rsid w:val="003E10D3"/>
    <w:rsid w:val="003E69FA"/>
    <w:rsid w:val="003F2F7A"/>
    <w:rsid w:val="003F4B5E"/>
    <w:rsid w:val="00406D21"/>
    <w:rsid w:val="00486C6F"/>
    <w:rsid w:val="004A150B"/>
    <w:rsid w:val="004E56EB"/>
    <w:rsid w:val="004F4B74"/>
    <w:rsid w:val="005019B6"/>
    <w:rsid w:val="005200CB"/>
    <w:rsid w:val="005425A8"/>
    <w:rsid w:val="00542619"/>
    <w:rsid w:val="005B3A46"/>
    <w:rsid w:val="005D21F9"/>
    <w:rsid w:val="005E37FD"/>
    <w:rsid w:val="006215E2"/>
    <w:rsid w:val="00707093"/>
    <w:rsid w:val="00725089"/>
    <w:rsid w:val="00725330"/>
    <w:rsid w:val="007314A1"/>
    <w:rsid w:val="00734B1B"/>
    <w:rsid w:val="0073544B"/>
    <w:rsid w:val="007402CA"/>
    <w:rsid w:val="0075506C"/>
    <w:rsid w:val="00793850"/>
    <w:rsid w:val="007B4B74"/>
    <w:rsid w:val="007C0611"/>
    <w:rsid w:val="00810BD8"/>
    <w:rsid w:val="0081136F"/>
    <w:rsid w:val="00824041"/>
    <w:rsid w:val="00824794"/>
    <w:rsid w:val="00866688"/>
    <w:rsid w:val="008677E8"/>
    <w:rsid w:val="00882443"/>
    <w:rsid w:val="008C6059"/>
    <w:rsid w:val="008D286A"/>
    <w:rsid w:val="008E19DD"/>
    <w:rsid w:val="00901B05"/>
    <w:rsid w:val="00905D16"/>
    <w:rsid w:val="00917B9F"/>
    <w:rsid w:val="009236FF"/>
    <w:rsid w:val="00966B61"/>
    <w:rsid w:val="00972867"/>
    <w:rsid w:val="009B2AA0"/>
    <w:rsid w:val="00A40346"/>
    <w:rsid w:val="00A61FEE"/>
    <w:rsid w:val="00A63318"/>
    <w:rsid w:val="00AA3BBC"/>
    <w:rsid w:val="00AD03B1"/>
    <w:rsid w:val="00AD230A"/>
    <w:rsid w:val="00B213CD"/>
    <w:rsid w:val="00B25129"/>
    <w:rsid w:val="00B91CF1"/>
    <w:rsid w:val="00BC4DEA"/>
    <w:rsid w:val="00BD6F2D"/>
    <w:rsid w:val="00CD3536"/>
    <w:rsid w:val="00D14645"/>
    <w:rsid w:val="00D44AE9"/>
    <w:rsid w:val="00D641F7"/>
    <w:rsid w:val="00D64AE1"/>
    <w:rsid w:val="00D71D7E"/>
    <w:rsid w:val="00D945D6"/>
    <w:rsid w:val="00DB78DB"/>
    <w:rsid w:val="00E10127"/>
    <w:rsid w:val="00E645F8"/>
    <w:rsid w:val="00F10A4A"/>
    <w:rsid w:val="00F9432B"/>
    <w:rsid w:val="00FD68AC"/>
    <w:rsid w:val="00FF04E2"/>
    <w:rsid w:val="01325E22"/>
    <w:rsid w:val="0133058F"/>
    <w:rsid w:val="018D75C5"/>
    <w:rsid w:val="019014A4"/>
    <w:rsid w:val="01A24E34"/>
    <w:rsid w:val="01A748BA"/>
    <w:rsid w:val="020236B3"/>
    <w:rsid w:val="02070CCA"/>
    <w:rsid w:val="021C7506"/>
    <w:rsid w:val="021F7DC1"/>
    <w:rsid w:val="02337D11"/>
    <w:rsid w:val="023A16F5"/>
    <w:rsid w:val="02481ED4"/>
    <w:rsid w:val="028B2BEE"/>
    <w:rsid w:val="029307AF"/>
    <w:rsid w:val="02A12ECC"/>
    <w:rsid w:val="02A636BF"/>
    <w:rsid w:val="02A824AD"/>
    <w:rsid w:val="02F503AF"/>
    <w:rsid w:val="0314369E"/>
    <w:rsid w:val="03394EB3"/>
    <w:rsid w:val="0381685A"/>
    <w:rsid w:val="03A909CB"/>
    <w:rsid w:val="03AD3FBE"/>
    <w:rsid w:val="03D75F22"/>
    <w:rsid w:val="041A51B5"/>
    <w:rsid w:val="044E3E20"/>
    <w:rsid w:val="04583A5F"/>
    <w:rsid w:val="046F6D06"/>
    <w:rsid w:val="047850CA"/>
    <w:rsid w:val="048D793D"/>
    <w:rsid w:val="04C64E6C"/>
    <w:rsid w:val="04ED064B"/>
    <w:rsid w:val="05137986"/>
    <w:rsid w:val="05393890"/>
    <w:rsid w:val="059E7B97"/>
    <w:rsid w:val="05B31BD4"/>
    <w:rsid w:val="05CC1EE9"/>
    <w:rsid w:val="06397ED4"/>
    <w:rsid w:val="063B7194"/>
    <w:rsid w:val="064249C6"/>
    <w:rsid w:val="066C1A43"/>
    <w:rsid w:val="068E3768"/>
    <w:rsid w:val="06A765D7"/>
    <w:rsid w:val="06C62F02"/>
    <w:rsid w:val="06D73361"/>
    <w:rsid w:val="07343517"/>
    <w:rsid w:val="0734690E"/>
    <w:rsid w:val="074107DA"/>
    <w:rsid w:val="074402CA"/>
    <w:rsid w:val="07BA233A"/>
    <w:rsid w:val="07BD710D"/>
    <w:rsid w:val="07C345A3"/>
    <w:rsid w:val="08221CFA"/>
    <w:rsid w:val="084F6F27"/>
    <w:rsid w:val="08802CA9"/>
    <w:rsid w:val="08A21FC3"/>
    <w:rsid w:val="08AE7EB9"/>
    <w:rsid w:val="08EC2B60"/>
    <w:rsid w:val="08F338ED"/>
    <w:rsid w:val="08F934C3"/>
    <w:rsid w:val="09251734"/>
    <w:rsid w:val="097901A5"/>
    <w:rsid w:val="09855A55"/>
    <w:rsid w:val="0A5847B8"/>
    <w:rsid w:val="0A870BFA"/>
    <w:rsid w:val="0AA513D2"/>
    <w:rsid w:val="0AA74CD1"/>
    <w:rsid w:val="0B3D750A"/>
    <w:rsid w:val="0B6E3B68"/>
    <w:rsid w:val="0B8D73A3"/>
    <w:rsid w:val="0BC74348"/>
    <w:rsid w:val="0BEB6F66"/>
    <w:rsid w:val="0BEF3D2E"/>
    <w:rsid w:val="0C1F2AF1"/>
    <w:rsid w:val="0C2B62F3"/>
    <w:rsid w:val="0C3F6E94"/>
    <w:rsid w:val="0C4A3207"/>
    <w:rsid w:val="0C4C55F4"/>
    <w:rsid w:val="0C722409"/>
    <w:rsid w:val="0C791455"/>
    <w:rsid w:val="0C7927C3"/>
    <w:rsid w:val="0C913FB2"/>
    <w:rsid w:val="0C923886"/>
    <w:rsid w:val="0CA05FA3"/>
    <w:rsid w:val="0CCA3280"/>
    <w:rsid w:val="0CF522A3"/>
    <w:rsid w:val="0D0B7840"/>
    <w:rsid w:val="0D295D8F"/>
    <w:rsid w:val="0D6646D2"/>
    <w:rsid w:val="0D736917"/>
    <w:rsid w:val="0DA10224"/>
    <w:rsid w:val="0DBF0E59"/>
    <w:rsid w:val="0DF23A7E"/>
    <w:rsid w:val="0E01523D"/>
    <w:rsid w:val="0E147F37"/>
    <w:rsid w:val="0EA800FE"/>
    <w:rsid w:val="0EBF2140"/>
    <w:rsid w:val="0ECE5049"/>
    <w:rsid w:val="0F23187D"/>
    <w:rsid w:val="0F3B2377"/>
    <w:rsid w:val="0F872F06"/>
    <w:rsid w:val="1008458B"/>
    <w:rsid w:val="10141182"/>
    <w:rsid w:val="103C4234"/>
    <w:rsid w:val="10563548"/>
    <w:rsid w:val="105B2D4C"/>
    <w:rsid w:val="106F0166"/>
    <w:rsid w:val="10973B61"/>
    <w:rsid w:val="10D7195A"/>
    <w:rsid w:val="11420B7E"/>
    <w:rsid w:val="11CE710E"/>
    <w:rsid w:val="12635AA8"/>
    <w:rsid w:val="126754E0"/>
    <w:rsid w:val="127203E1"/>
    <w:rsid w:val="12977E48"/>
    <w:rsid w:val="12AD694F"/>
    <w:rsid w:val="12D91451"/>
    <w:rsid w:val="13B642FE"/>
    <w:rsid w:val="13B86D64"/>
    <w:rsid w:val="13E91ECE"/>
    <w:rsid w:val="142F5D29"/>
    <w:rsid w:val="146E04F3"/>
    <w:rsid w:val="149A3C1F"/>
    <w:rsid w:val="14D25167"/>
    <w:rsid w:val="14D709D0"/>
    <w:rsid w:val="14DF6921"/>
    <w:rsid w:val="150D3408"/>
    <w:rsid w:val="152534E9"/>
    <w:rsid w:val="153B2D0D"/>
    <w:rsid w:val="153B5B33"/>
    <w:rsid w:val="15744470"/>
    <w:rsid w:val="157467C1"/>
    <w:rsid w:val="15BA15EF"/>
    <w:rsid w:val="15E518FF"/>
    <w:rsid w:val="160E0421"/>
    <w:rsid w:val="161D6D36"/>
    <w:rsid w:val="16320C60"/>
    <w:rsid w:val="163D0D06"/>
    <w:rsid w:val="165062CC"/>
    <w:rsid w:val="168C1346"/>
    <w:rsid w:val="16CD26AE"/>
    <w:rsid w:val="16E573D4"/>
    <w:rsid w:val="16F0288C"/>
    <w:rsid w:val="16FB0E73"/>
    <w:rsid w:val="174D31CB"/>
    <w:rsid w:val="175355DB"/>
    <w:rsid w:val="175B4F85"/>
    <w:rsid w:val="17793FC0"/>
    <w:rsid w:val="17E470BF"/>
    <w:rsid w:val="181E7615"/>
    <w:rsid w:val="182C352F"/>
    <w:rsid w:val="183E4041"/>
    <w:rsid w:val="188127C0"/>
    <w:rsid w:val="18884F84"/>
    <w:rsid w:val="188A4B46"/>
    <w:rsid w:val="18C673C8"/>
    <w:rsid w:val="18CA6696"/>
    <w:rsid w:val="18DD40DB"/>
    <w:rsid w:val="18E758D3"/>
    <w:rsid w:val="190A1374"/>
    <w:rsid w:val="19235F2E"/>
    <w:rsid w:val="192F0DDA"/>
    <w:rsid w:val="19937C2E"/>
    <w:rsid w:val="19A215AC"/>
    <w:rsid w:val="19A748AA"/>
    <w:rsid w:val="19A81002"/>
    <w:rsid w:val="19DD61F4"/>
    <w:rsid w:val="1A5B3FC5"/>
    <w:rsid w:val="1AC27350"/>
    <w:rsid w:val="1B4F7512"/>
    <w:rsid w:val="1B972C67"/>
    <w:rsid w:val="1BB61F55"/>
    <w:rsid w:val="1BC04B1F"/>
    <w:rsid w:val="1BC17CE4"/>
    <w:rsid w:val="1BD6378F"/>
    <w:rsid w:val="1BE33C3C"/>
    <w:rsid w:val="1C770000"/>
    <w:rsid w:val="1C822D1B"/>
    <w:rsid w:val="1C896A53"/>
    <w:rsid w:val="1C967846"/>
    <w:rsid w:val="1CAA0778"/>
    <w:rsid w:val="1CD13F56"/>
    <w:rsid w:val="1CD67EDD"/>
    <w:rsid w:val="1D0E45F7"/>
    <w:rsid w:val="1D2B0703"/>
    <w:rsid w:val="1D7019C1"/>
    <w:rsid w:val="1D842581"/>
    <w:rsid w:val="1DB00F49"/>
    <w:rsid w:val="1DD41F50"/>
    <w:rsid w:val="1DFB572F"/>
    <w:rsid w:val="1E7F2417"/>
    <w:rsid w:val="1E8540D8"/>
    <w:rsid w:val="1E91399D"/>
    <w:rsid w:val="1E96253F"/>
    <w:rsid w:val="1E9B2A6E"/>
    <w:rsid w:val="1F246BFA"/>
    <w:rsid w:val="1F2759D9"/>
    <w:rsid w:val="1F2C6EF2"/>
    <w:rsid w:val="1F6F65CF"/>
    <w:rsid w:val="1F75506D"/>
    <w:rsid w:val="1F843502"/>
    <w:rsid w:val="1FDB6021"/>
    <w:rsid w:val="1FEA5643"/>
    <w:rsid w:val="1FFD57B4"/>
    <w:rsid w:val="200E45FB"/>
    <w:rsid w:val="206C021E"/>
    <w:rsid w:val="20832DF2"/>
    <w:rsid w:val="208D3C1B"/>
    <w:rsid w:val="211A4478"/>
    <w:rsid w:val="212B632B"/>
    <w:rsid w:val="213730A2"/>
    <w:rsid w:val="21515666"/>
    <w:rsid w:val="215533A8"/>
    <w:rsid w:val="215A451A"/>
    <w:rsid w:val="21672E00"/>
    <w:rsid w:val="21AF3F4D"/>
    <w:rsid w:val="21AF4DCA"/>
    <w:rsid w:val="21B300CF"/>
    <w:rsid w:val="21B93913"/>
    <w:rsid w:val="21BF4CC5"/>
    <w:rsid w:val="21D02A2F"/>
    <w:rsid w:val="21FC3824"/>
    <w:rsid w:val="221F7512"/>
    <w:rsid w:val="22377FFE"/>
    <w:rsid w:val="226C1AF0"/>
    <w:rsid w:val="22EA4D66"/>
    <w:rsid w:val="23091D80"/>
    <w:rsid w:val="23452384"/>
    <w:rsid w:val="23A44FCF"/>
    <w:rsid w:val="23AC3027"/>
    <w:rsid w:val="23B819CC"/>
    <w:rsid w:val="240745CB"/>
    <w:rsid w:val="24521409"/>
    <w:rsid w:val="24641C4E"/>
    <w:rsid w:val="247A4348"/>
    <w:rsid w:val="24844FB8"/>
    <w:rsid w:val="249261B2"/>
    <w:rsid w:val="249D036C"/>
    <w:rsid w:val="24B16B47"/>
    <w:rsid w:val="24CF33C6"/>
    <w:rsid w:val="25110F10"/>
    <w:rsid w:val="25A71CF8"/>
    <w:rsid w:val="25B92AA6"/>
    <w:rsid w:val="25D82354"/>
    <w:rsid w:val="25E42F4C"/>
    <w:rsid w:val="25E45944"/>
    <w:rsid w:val="26566D55"/>
    <w:rsid w:val="266E6F2E"/>
    <w:rsid w:val="26844F42"/>
    <w:rsid w:val="26C72DDC"/>
    <w:rsid w:val="26C7435A"/>
    <w:rsid w:val="26DE174A"/>
    <w:rsid w:val="26F4556B"/>
    <w:rsid w:val="27010B22"/>
    <w:rsid w:val="27185912"/>
    <w:rsid w:val="2769195B"/>
    <w:rsid w:val="276D7AF2"/>
    <w:rsid w:val="278247CB"/>
    <w:rsid w:val="278C389C"/>
    <w:rsid w:val="27987F08"/>
    <w:rsid w:val="27AD3C73"/>
    <w:rsid w:val="27B64531"/>
    <w:rsid w:val="27D22B7E"/>
    <w:rsid w:val="27D72D69"/>
    <w:rsid w:val="283456D8"/>
    <w:rsid w:val="286D4AD4"/>
    <w:rsid w:val="289742A6"/>
    <w:rsid w:val="28F90ABD"/>
    <w:rsid w:val="28FF2E27"/>
    <w:rsid w:val="297168A5"/>
    <w:rsid w:val="2A0572EF"/>
    <w:rsid w:val="2A1D1D34"/>
    <w:rsid w:val="2A635324"/>
    <w:rsid w:val="2A64640A"/>
    <w:rsid w:val="2A7F5308"/>
    <w:rsid w:val="2A88034A"/>
    <w:rsid w:val="2A975966"/>
    <w:rsid w:val="2AD748DC"/>
    <w:rsid w:val="2AF844F1"/>
    <w:rsid w:val="2B4640FA"/>
    <w:rsid w:val="2B6E54FA"/>
    <w:rsid w:val="2B9B40AD"/>
    <w:rsid w:val="2BA37FA5"/>
    <w:rsid w:val="2BD17ACF"/>
    <w:rsid w:val="2C0C0B07"/>
    <w:rsid w:val="2C2218DD"/>
    <w:rsid w:val="2C4254F0"/>
    <w:rsid w:val="2C447B2E"/>
    <w:rsid w:val="2C64742D"/>
    <w:rsid w:val="2CA70586"/>
    <w:rsid w:val="2CD42887"/>
    <w:rsid w:val="2CE33F5E"/>
    <w:rsid w:val="2D544AB8"/>
    <w:rsid w:val="2D8F32E5"/>
    <w:rsid w:val="2DAD00C8"/>
    <w:rsid w:val="2DC45B3D"/>
    <w:rsid w:val="2DE46B88"/>
    <w:rsid w:val="2DE92726"/>
    <w:rsid w:val="2DF9330D"/>
    <w:rsid w:val="2E375BB5"/>
    <w:rsid w:val="2E772BB0"/>
    <w:rsid w:val="2ECB2EFB"/>
    <w:rsid w:val="2EF80F84"/>
    <w:rsid w:val="2F0A1663"/>
    <w:rsid w:val="2F1A353B"/>
    <w:rsid w:val="2F3E547B"/>
    <w:rsid w:val="2F642BDA"/>
    <w:rsid w:val="2F715851"/>
    <w:rsid w:val="2F7B5976"/>
    <w:rsid w:val="2FA363D4"/>
    <w:rsid w:val="2FF16FE0"/>
    <w:rsid w:val="3002294D"/>
    <w:rsid w:val="30182170"/>
    <w:rsid w:val="305818B0"/>
    <w:rsid w:val="30607673"/>
    <w:rsid w:val="30AA08EF"/>
    <w:rsid w:val="30B31E99"/>
    <w:rsid w:val="30BB2AFC"/>
    <w:rsid w:val="30C65728"/>
    <w:rsid w:val="30CE3C80"/>
    <w:rsid w:val="30EB64EB"/>
    <w:rsid w:val="30ED08C0"/>
    <w:rsid w:val="316867E0"/>
    <w:rsid w:val="31C3435E"/>
    <w:rsid w:val="32043496"/>
    <w:rsid w:val="324064C1"/>
    <w:rsid w:val="325E1D0B"/>
    <w:rsid w:val="32A80FA7"/>
    <w:rsid w:val="32B31CDC"/>
    <w:rsid w:val="32F07D0A"/>
    <w:rsid w:val="331D184C"/>
    <w:rsid w:val="3341553A"/>
    <w:rsid w:val="33625A22"/>
    <w:rsid w:val="33937169"/>
    <w:rsid w:val="33B57CD6"/>
    <w:rsid w:val="33E34843"/>
    <w:rsid w:val="33ED56C2"/>
    <w:rsid w:val="34117602"/>
    <w:rsid w:val="341418E5"/>
    <w:rsid w:val="34264730"/>
    <w:rsid w:val="34474010"/>
    <w:rsid w:val="345C0C03"/>
    <w:rsid w:val="34782738"/>
    <w:rsid w:val="34807407"/>
    <w:rsid w:val="34B85CD0"/>
    <w:rsid w:val="34D70039"/>
    <w:rsid w:val="3557640F"/>
    <w:rsid w:val="3598689E"/>
    <w:rsid w:val="35BB2FCC"/>
    <w:rsid w:val="360765F6"/>
    <w:rsid w:val="360C0740"/>
    <w:rsid w:val="361F3BE1"/>
    <w:rsid w:val="36592B9B"/>
    <w:rsid w:val="365B2DB7"/>
    <w:rsid w:val="367125DA"/>
    <w:rsid w:val="36AC2C77"/>
    <w:rsid w:val="36C4095C"/>
    <w:rsid w:val="36F4755F"/>
    <w:rsid w:val="36F823B4"/>
    <w:rsid w:val="370B53D3"/>
    <w:rsid w:val="370E3E41"/>
    <w:rsid w:val="37225683"/>
    <w:rsid w:val="372E0AC2"/>
    <w:rsid w:val="373A6FB4"/>
    <w:rsid w:val="37647A49"/>
    <w:rsid w:val="3781684D"/>
    <w:rsid w:val="37A10C9D"/>
    <w:rsid w:val="37D55E52"/>
    <w:rsid w:val="37ED1F41"/>
    <w:rsid w:val="380D1E8F"/>
    <w:rsid w:val="380D364E"/>
    <w:rsid w:val="38276143"/>
    <w:rsid w:val="38312021"/>
    <w:rsid w:val="383E0417"/>
    <w:rsid w:val="384A30E3"/>
    <w:rsid w:val="38643F19"/>
    <w:rsid w:val="39107962"/>
    <w:rsid w:val="39280BE9"/>
    <w:rsid w:val="396F60B1"/>
    <w:rsid w:val="39965008"/>
    <w:rsid w:val="39E135D3"/>
    <w:rsid w:val="3A3E15B0"/>
    <w:rsid w:val="3A3F5836"/>
    <w:rsid w:val="3A3F6B21"/>
    <w:rsid w:val="3A5E4C24"/>
    <w:rsid w:val="3A9902C6"/>
    <w:rsid w:val="3AB1032E"/>
    <w:rsid w:val="3AB962FE"/>
    <w:rsid w:val="3AD15460"/>
    <w:rsid w:val="3AFD76E1"/>
    <w:rsid w:val="3B233415"/>
    <w:rsid w:val="3B332C84"/>
    <w:rsid w:val="3BA406E2"/>
    <w:rsid w:val="3BA43C64"/>
    <w:rsid w:val="3BBC60A6"/>
    <w:rsid w:val="3BCD02B3"/>
    <w:rsid w:val="3BCE6F93"/>
    <w:rsid w:val="3BDC22A4"/>
    <w:rsid w:val="3BFA35D6"/>
    <w:rsid w:val="3BFA6BCE"/>
    <w:rsid w:val="3C025A83"/>
    <w:rsid w:val="3C1315AB"/>
    <w:rsid w:val="3C29300F"/>
    <w:rsid w:val="3C5657A8"/>
    <w:rsid w:val="3CD1792F"/>
    <w:rsid w:val="3CE753A4"/>
    <w:rsid w:val="3CFE7E25"/>
    <w:rsid w:val="3D477BF1"/>
    <w:rsid w:val="3D5B66CF"/>
    <w:rsid w:val="3D5F13DF"/>
    <w:rsid w:val="3D802C24"/>
    <w:rsid w:val="3DAA1E86"/>
    <w:rsid w:val="3DAA779B"/>
    <w:rsid w:val="3DB37034"/>
    <w:rsid w:val="3DC301FF"/>
    <w:rsid w:val="3DC72AE0"/>
    <w:rsid w:val="3DF24001"/>
    <w:rsid w:val="3DF80EEB"/>
    <w:rsid w:val="3E1B71B4"/>
    <w:rsid w:val="3E2D5039"/>
    <w:rsid w:val="3E500D27"/>
    <w:rsid w:val="3E703177"/>
    <w:rsid w:val="3E834C59"/>
    <w:rsid w:val="3E9F05CA"/>
    <w:rsid w:val="3ECE3FED"/>
    <w:rsid w:val="3ED61D85"/>
    <w:rsid w:val="3EDE27D7"/>
    <w:rsid w:val="3EF21DDE"/>
    <w:rsid w:val="3EF40219"/>
    <w:rsid w:val="3F010273"/>
    <w:rsid w:val="3F021D6B"/>
    <w:rsid w:val="3F0D09C6"/>
    <w:rsid w:val="3F132D26"/>
    <w:rsid w:val="3F327891"/>
    <w:rsid w:val="3F367F1D"/>
    <w:rsid w:val="3F3B641C"/>
    <w:rsid w:val="3F922B5B"/>
    <w:rsid w:val="3F9E2B1D"/>
    <w:rsid w:val="3FAF7608"/>
    <w:rsid w:val="4049158E"/>
    <w:rsid w:val="404A71C2"/>
    <w:rsid w:val="4050500F"/>
    <w:rsid w:val="407B080A"/>
    <w:rsid w:val="40C2182F"/>
    <w:rsid w:val="40E27BD9"/>
    <w:rsid w:val="41180873"/>
    <w:rsid w:val="4125189E"/>
    <w:rsid w:val="412A70A5"/>
    <w:rsid w:val="413F1276"/>
    <w:rsid w:val="4167543B"/>
    <w:rsid w:val="416C014C"/>
    <w:rsid w:val="41760AA5"/>
    <w:rsid w:val="41976E38"/>
    <w:rsid w:val="41A3650B"/>
    <w:rsid w:val="41D35EF7"/>
    <w:rsid w:val="421A58D4"/>
    <w:rsid w:val="4225093A"/>
    <w:rsid w:val="4234344E"/>
    <w:rsid w:val="424C18E0"/>
    <w:rsid w:val="42613503"/>
    <w:rsid w:val="42AC04F6"/>
    <w:rsid w:val="42EE5F04"/>
    <w:rsid w:val="42F04887"/>
    <w:rsid w:val="42F4655F"/>
    <w:rsid w:val="42FC4760"/>
    <w:rsid w:val="431B5DA8"/>
    <w:rsid w:val="43573CFE"/>
    <w:rsid w:val="43696A35"/>
    <w:rsid w:val="43884ABF"/>
    <w:rsid w:val="438A6A89"/>
    <w:rsid w:val="43990627"/>
    <w:rsid w:val="43B04EF4"/>
    <w:rsid w:val="43D012DB"/>
    <w:rsid w:val="441039EA"/>
    <w:rsid w:val="442D54CA"/>
    <w:rsid w:val="446612A5"/>
    <w:rsid w:val="448B3C80"/>
    <w:rsid w:val="4504286C"/>
    <w:rsid w:val="4576229A"/>
    <w:rsid w:val="45FE5239"/>
    <w:rsid w:val="46027484"/>
    <w:rsid w:val="46153835"/>
    <w:rsid w:val="463D37D7"/>
    <w:rsid w:val="46BA1434"/>
    <w:rsid w:val="46D3779E"/>
    <w:rsid w:val="46D56DC3"/>
    <w:rsid w:val="4725528A"/>
    <w:rsid w:val="47321912"/>
    <w:rsid w:val="474F288B"/>
    <w:rsid w:val="47501D98"/>
    <w:rsid w:val="479A754C"/>
    <w:rsid w:val="47C0458C"/>
    <w:rsid w:val="47FF0A09"/>
    <w:rsid w:val="484E1A14"/>
    <w:rsid w:val="485540ED"/>
    <w:rsid w:val="48C76EC2"/>
    <w:rsid w:val="48D67641"/>
    <w:rsid w:val="48E629B4"/>
    <w:rsid w:val="490613E3"/>
    <w:rsid w:val="490948F4"/>
    <w:rsid w:val="492916D1"/>
    <w:rsid w:val="494203E5"/>
    <w:rsid w:val="49926698"/>
    <w:rsid w:val="49A30120"/>
    <w:rsid w:val="49C61DA9"/>
    <w:rsid w:val="49D969B3"/>
    <w:rsid w:val="49DD3FF3"/>
    <w:rsid w:val="4A993A56"/>
    <w:rsid w:val="4AB34B18"/>
    <w:rsid w:val="4AD87A42"/>
    <w:rsid w:val="4AE2170C"/>
    <w:rsid w:val="4AFD5D93"/>
    <w:rsid w:val="4B572810"/>
    <w:rsid w:val="4B9523C8"/>
    <w:rsid w:val="4B97522C"/>
    <w:rsid w:val="4BFF2336"/>
    <w:rsid w:val="4C105929"/>
    <w:rsid w:val="4C403931"/>
    <w:rsid w:val="4C441FDC"/>
    <w:rsid w:val="4C693A80"/>
    <w:rsid w:val="4C917B56"/>
    <w:rsid w:val="4C976F8A"/>
    <w:rsid w:val="4C9B5863"/>
    <w:rsid w:val="4CC01CD8"/>
    <w:rsid w:val="4CE0596C"/>
    <w:rsid w:val="4D246152"/>
    <w:rsid w:val="4D511FD8"/>
    <w:rsid w:val="4D832988"/>
    <w:rsid w:val="4D99774A"/>
    <w:rsid w:val="4DBF6C7D"/>
    <w:rsid w:val="4DCA499C"/>
    <w:rsid w:val="4DE44FE8"/>
    <w:rsid w:val="4DE7599B"/>
    <w:rsid w:val="4DF75698"/>
    <w:rsid w:val="4E014189"/>
    <w:rsid w:val="4E3C32B2"/>
    <w:rsid w:val="4E6B56CB"/>
    <w:rsid w:val="4E915B2F"/>
    <w:rsid w:val="4EC54E1A"/>
    <w:rsid w:val="4EF86F9D"/>
    <w:rsid w:val="4EFD0C55"/>
    <w:rsid w:val="4F1F277C"/>
    <w:rsid w:val="4F686035"/>
    <w:rsid w:val="4F7E5BAC"/>
    <w:rsid w:val="4F9A0D8E"/>
    <w:rsid w:val="4F9C007C"/>
    <w:rsid w:val="4F9C3DCC"/>
    <w:rsid w:val="4FBC621D"/>
    <w:rsid w:val="4FE85264"/>
    <w:rsid w:val="4FEB08B0"/>
    <w:rsid w:val="4FF24D2A"/>
    <w:rsid w:val="5016053C"/>
    <w:rsid w:val="502B6EFE"/>
    <w:rsid w:val="503404A9"/>
    <w:rsid w:val="5043693E"/>
    <w:rsid w:val="5066485D"/>
    <w:rsid w:val="50730930"/>
    <w:rsid w:val="5086330E"/>
    <w:rsid w:val="50BB369F"/>
    <w:rsid w:val="50C54B9A"/>
    <w:rsid w:val="50EF74D3"/>
    <w:rsid w:val="50EF7E60"/>
    <w:rsid w:val="511033E7"/>
    <w:rsid w:val="5116025C"/>
    <w:rsid w:val="51E631EA"/>
    <w:rsid w:val="51F9406A"/>
    <w:rsid w:val="5219638D"/>
    <w:rsid w:val="524349D3"/>
    <w:rsid w:val="525E0E06"/>
    <w:rsid w:val="527821A3"/>
    <w:rsid w:val="528A0854"/>
    <w:rsid w:val="528A3CA2"/>
    <w:rsid w:val="529C7929"/>
    <w:rsid w:val="52A631B4"/>
    <w:rsid w:val="52BE3092"/>
    <w:rsid w:val="52E03FB3"/>
    <w:rsid w:val="52F1318D"/>
    <w:rsid w:val="5305612D"/>
    <w:rsid w:val="5343405C"/>
    <w:rsid w:val="53471E55"/>
    <w:rsid w:val="538529A1"/>
    <w:rsid w:val="538A0972"/>
    <w:rsid w:val="539F07A4"/>
    <w:rsid w:val="53A1378B"/>
    <w:rsid w:val="53A21F87"/>
    <w:rsid w:val="53B27B00"/>
    <w:rsid w:val="53D13194"/>
    <w:rsid w:val="53DD2C05"/>
    <w:rsid w:val="53F1045F"/>
    <w:rsid w:val="542D593B"/>
    <w:rsid w:val="544B4013"/>
    <w:rsid w:val="547C41CC"/>
    <w:rsid w:val="54866F2F"/>
    <w:rsid w:val="54910D73"/>
    <w:rsid w:val="54A70483"/>
    <w:rsid w:val="54BB57A0"/>
    <w:rsid w:val="54CE5ECE"/>
    <w:rsid w:val="54CF4657"/>
    <w:rsid w:val="54D9517B"/>
    <w:rsid w:val="54E87F3B"/>
    <w:rsid w:val="55163B5C"/>
    <w:rsid w:val="551B13AA"/>
    <w:rsid w:val="5559450E"/>
    <w:rsid w:val="558C5EA4"/>
    <w:rsid w:val="559C0E01"/>
    <w:rsid w:val="55C216CF"/>
    <w:rsid w:val="55DB13C7"/>
    <w:rsid w:val="55E71B19"/>
    <w:rsid w:val="55E95892"/>
    <w:rsid w:val="55FA7A9F"/>
    <w:rsid w:val="563C00B7"/>
    <w:rsid w:val="56670E9A"/>
    <w:rsid w:val="56746B1F"/>
    <w:rsid w:val="56762953"/>
    <w:rsid w:val="56772E9D"/>
    <w:rsid w:val="568878E8"/>
    <w:rsid w:val="56A4336F"/>
    <w:rsid w:val="5717642E"/>
    <w:rsid w:val="57554465"/>
    <w:rsid w:val="57D63BF4"/>
    <w:rsid w:val="57EE49AE"/>
    <w:rsid w:val="58117322"/>
    <w:rsid w:val="581212D0"/>
    <w:rsid w:val="582202ED"/>
    <w:rsid w:val="582F43D8"/>
    <w:rsid w:val="589A7317"/>
    <w:rsid w:val="58AD704A"/>
    <w:rsid w:val="58B43ED0"/>
    <w:rsid w:val="58C95858"/>
    <w:rsid w:val="58D81BED"/>
    <w:rsid w:val="59250EFD"/>
    <w:rsid w:val="59270BB5"/>
    <w:rsid w:val="594F3C5E"/>
    <w:rsid w:val="59552188"/>
    <w:rsid w:val="595C5CB1"/>
    <w:rsid w:val="59751831"/>
    <w:rsid w:val="597E47CE"/>
    <w:rsid w:val="59C97EB4"/>
    <w:rsid w:val="59CD742D"/>
    <w:rsid w:val="5A696FA1"/>
    <w:rsid w:val="5A957D96"/>
    <w:rsid w:val="5ADD34EB"/>
    <w:rsid w:val="5B0A1EC1"/>
    <w:rsid w:val="5B1909C7"/>
    <w:rsid w:val="5B3A671F"/>
    <w:rsid w:val="5B5351F5"/>
    <w:rsid w:val="5B562F03"/>
    <w:rsid w:val="5B6C6B8E"/>
    <w:rsid w:val="5B7965FD"/>
    <w:rsid w:val="5B7D3AD4"/>
    <w:rsid w:val="5B8075D9"/>
    <w:rsid w:val="5BAA5AC3"/>
    <w:rsid w:val="5C2C4331"/>
    <w:rsid w:val="5C34189A"/>
    <w:rsid w:val="5C36208A"/>
    <w:rsid w:val="5C3B496D"/>
    <w:rsid w:val="5C4A2E02"/>
    <w:rsid w:val="5C537F09"/>
    <w:rsid w:val="5C602D32"/>
    <w:rsid w:val="5C7C2F83"/>
    <w:rsid w:val="5C983B6D"/>
    <w:rsid w:val="5CAA0B0D"/>
    <w:rsid w:val="5D92228F"/>
    <w:rsid w:val="5DDB6408"/>
    <w:rsid w:val="5DF72B16"/>
    <w:rsid w:val="5E1A2975"/>
    <w:rsid w:val="5E3B4635"/>
    <w:rsid w:val="5E565A8E"/>
    <w:rsid w:val="5E642319"/>
    <w:rsid w:val="5E6F5644"/>
    <w:rsid w:val="5E8826C7"/>
    <w:rsid w:val="5E8C763B"/>
    <w:rsid w:val="5EBC77B3"/>
    <w:rsid w:val="5ED86452"/>
    <w:rsid w:val="5EFD0C18"/>
    <w:rsid w:val="5F1F40D2"/>
    <w:rsid w:val="5F3D27AA"/>
    <w:rsid w:val="5F4F4E41"/>
    <w:rsid w:val="5F574E52"/>
    <w:rsid w:val="5F750926"/>
    <w:rsid w:val="5F774006"/>
    <w:rsid w:val="5F88611B"/>
    <w:rsid w:val="5FDC59AD"/>
    <w:rsid w:val="5FE315A4"/>
    <w:rsid w:val="5FFD572B"/>
    <w:rsid w:val="6018668F"/>
    <w:rsid w:val="602D6855"/>
    <w:rsid w:val="602F7FB0"/>
    <w:rsid w:val="608F2025"/>
    <w:rsid w:val="608F6758"/>
    <w:rsid w:val="609805E0"/>
    <w:rsid w:val="60AA284E"/>
    <w:rsid w:val="60C767CF"/>
    <w:rsid w:val="610C198B"/>
    <w:rsid w:val="611B27BA"/>
    <w:rsid w:val="6131633F"/>
    <w:rsid w:val="61500EBB"/>
    <w:rsid w:val="616404C2"/>
    <w:rsid w:val="619D39B2"/>
    <w:rsid w:val="61BC787F"/>
    <w:rsid w:val="61BE7C8D"/>
    <w:rsid w:val="61E27F8B"/>
    <w:rsid w:val="62122C1F"/>
    <w:rsid w:val="62214605"/>
    <w:rsid w:val="62354158"/>
    <w:rsid w:val="62436329"/>
    <w:rsid w:val="62531959"/>
    <w:rsid w:val="62562F54"/>
    <w:rsid w:val="6265509B"/>
    <w:rsid w:val="626E7A31"/>
    <w:rsid w:val="629152E7"/>
    <w:rsid w:val="62A96AD4"/>
    <w:rsid w:val="62BD6E5D"/>
    <w:rsid w:val="62DB0C58"/>
    <w:rsid w:val="62F9579C"/>
    <w:rsid w:val="631D55A2"/>
    <w:rsid w:val="63657D13"/>
    <w:rsid w:val="63F668D1"/>
    <w:rsid w:val="6421221F"/>
    <w:rsid w:val="64574399"/>
    <w:rsid w:val="645A1C4E"/>
    <w:rsid w:val="647363CD"/>
    <w:rsid w:val="64CD2516"/>
    <w:rsid w:val="64D12312"/>
    <w:rsid w:val="64D15E6F"/>
    <w:rsid w:val="64D83F13"/>
    <w:rsid w:val="64E831B8"/>
    <w:rsid w:val="64F27CF9"/>
    <w:rsid w:val="64FD3107"/>
    <w:rsid w:val="652B0748"/>
    <w:rsid w:val="653A7EB8"/>
    <w:rsid w:val="65496ED2"/>
    <w:rsid w:val="65854611"/>
    <w:rsid w:val="658D0638"/>
    <w:rsid w:val="65CB4FB4"/>
    <w:rsid w:val="65CC4793"/>
    <w:rsid w:val="65F74F73"/>
    <w:rsid w:val="668B64F1"/>
    <w:rsid w:val="66AC1B17"/>
    <w:rsid w:val="66F21FC8"/>
    <w:rsid w:val="671D7C4C"/>
    <w:rsid w:val="67456984"/>
    <w:rsid w:val="67CA4DFA"/>
    <w:rsid w:val="67F77B0A"/>
    <w:rsid w:val="6803070F"/>
    <w:rsid w:val="681C38A5"/>
    <w:rsid w:val="683D381B"/>
    <w:rsid w:val="68617509"/>
    <w:rsid w:val="686D2CDD"/>
    <w:rsid w:val="68725BBA"/>
    <w:rsid w:val="68AB2D7B"/>
    <w:rsid w:val="68D61D57"/>
    <w:rsid w:val="68E50D27"/>
    <w:rsid w:val="68EB7104"/>
    <w:rsid w:val="68F96835"/>
    <w:rsid w:val="69000FD1"/>
    <w:rsid w:val="69004F74"/>
    <w:rsid w:val="69B00A00"/>
    <w:rsid w:val="69DF2DDC"/>
    <w:rsid w:val="6A152CA1"/>
    <w:rsid w:val="6A184540"/>
    <w:rsid w:val="6A2E4AC2"/>
    <w:rsid w:val="6A62584E"/>
    <w:rsid w:val="6A6E4160"/>
    <w:rsid w:val="6A975464"/>
    <w:rsid w:val="6ADA7BB7"/>
    <w:rsid w:val="6AF35848"/>
    <w:rsid w:val="6B0613EE"/>
    <w:rsid w:val="6B237DB4"/>
    <w:rsid w:val="6B57248B"/>
    <w:rsid w:val="6B576D20"/>
    <w:rsid w:val="6BA22313"/>
    <w:rsid w:val="6BA576A1"/>
    <w:rsid w:val="6BCE3108"/>
    <w:rsid w:val="6C0A7EB8"/>
    <w:rsid w:val="6C7B05E2"/>
    <w:rsid w:val="6CE076EA"/>
    <w:rsid w:val="6CE54BAD"/>
    <w:rsid w:val="6CFA1CDB"/>
    <w:rsid w:val="6D305454"/>
    <w:rsid w:val="6D341BD3"/>
    <w:rsid w:val="6D464037"/>
    <w:rsid w:val="6D852A52"/>
    <w:rsid w:val="6DA75033"/>
    <w:rsid w:val="6DB225B5"/>
    <w:rsid w:val="6E350A14"/>
    <w:rsid w:val="6E5D69C5"/>
    <w:rsid w:val="6E6F4F5A"/>
    <w:rsid w:val="6E757CF0"/>
    <w:rsid w:val="6E894542"/>
    <w:rsid w:val="6E9D08B6"/>
    <w:rsid w:val="6ECF66CF"/>
    <w:rsid w:val="6EDD18B4"/>
    <w:rsid w:val="6EDF0C2A"/>
    <w:rsid w:val="6EFE4C3D"/>
    <w:rsid w:val="6F4436E1"/>
    <w:rsid w:val="6F7F353C"/>
    <w:rsid w:val="6F960E9A"/>
    <w:rsid w:val="6FF13869"/>
    <w:rsid w:val="70012000"/>
    <w:rsid w:val="701E2CA5"/>
    <w:rsid w:val="70441BEA"/>
    <w:rsid w:val="704A532F"/>
    <w:rsid w:val="704B11CB"/>
    <w:rsid w:val="70632916"/>
    <w:rsid w:val="70915FCE"/>
    <w:rsid w:val="70A64653"/>
    <w:rsid w:val="70BC5F89"/>
    <w:rsid w:val="70C25205"/>
    <w:rsid w:val="70E645B8"/>
    <w:rsid w:val="70E709C7"/>
    <w:rsid w:val="70F45BFB"/>
    <w:rsid w:val="71752AB0"/>
    <w:rsid w:val="717F6C52"/>
    <w:rsid w:val="71900E5F"/>
    <w:rsid w:val="71B27028"/>
    <w:rsid w:val="71B92164"/>
    <w:rsid w:val="71C90A28"/>
    <w:rsid w:val="71FA3285"/>
    <w:rsid w:val="71FB09CF"/>
    <w:rsid w:val="72115EB8"/>
    <w:rsid w:val="72416400"/>
    <w:rsid w:val="72636C9D"/>
    <w:rsid w:val="727F3AB8"/>
    <w:rsid w:val="72907A8E"/>
    <w:rsid w:val="72A53087"/>
    <w:rsid w:val="72FA2A34"/>
    <w:rsid w:val="731B65F8"/>
    <w:rsid w:val="731C4DB0"/>
    <w:rsid w:val="73206D2A"/>
    <w:rsid w:val="73222026"/>
    <w:rsid w:val="7338355D"/>
    <w:rsid w:val="734A16A2"/>
    <w:rsid w:val="7354588F"/>
    <w:rsid w:val="735A7977"/>
    <w:rsid w:val="736755E7"/>
    <w:rsid w:val="73700F48"/>
    <w:rsid w:val="737C78ED"/>
    <w:rsid w:val="738467A2"/>
    <w:rsid w:val="73983735"/>
    <w:rsid w:val="739F1899"/>
    <w:rsid w:val="73AF7EDD"/>
    <w:rsid w:val="73B22B56"/>
    <w:rsid w:val="73DC4C50"/>
    <w:rsid w:val="73F76F74"/>
    <w:rsid w:val="748240CA"/>
    <w:rsid w:val="74E10C9C"/>
    <w:rsid w:val="74E638DE"/>
    <w:rsid w:val="74E87206"/>
    <w:rsid w:val="74E87375"/>
    <w:rsid w:val="754206C3"/>
    <w:rsid w:val="75610205"/>
    <w:rsid w:val="756A7B3C"/>
    <w:rsid w:val="756E5010"/>
    <w:rsid w:val="760140DA"/>
    <w:rsid w:val="7621477C"/>
    <w:rsid w:val="76277FE4"/>
    <w:rsid w:val="763D608D"/>
    <w:rsid w:val="765F0318"/>
    <w:rsid w:val="76641E2E"/>
    <w:rsid w:val="76676946"/>
    <w:rsid w:val="76C7277F"/>
    <w:rsid w:val="76CC293A"/>
    <w:rsid w:val="772C162A"/>
    <w:rsid w:val="77366005"/>
    <w:rsid w:val="773A2A3F"/>
    <w:rsid w:val="774274C7"/>
    <w:rsid w:val="779A30DE"/>
    <w:rsid w:val="77BE04D4"/>
    <w:rsid w:val="77DA49A9"/>
    <w:rsid w:val="77F4039A"/>
    <w:rsid w:val="780B1A4C"/>
    <w:rsid w:val="78126FE6"/>
    <w:rsid w:val="781A76D5"/>
    <w:rsid w:val="78493B14"/>
    <w:rsid w:val="7879264D"/>
    <w:rsid w:val="78A771BA"/>
    <w:rsid w:val="78BD078C"/>
    <w:rsid w:val="78C25DA2"/>
    <w:rsid w:val="78DE3A01"/>
    <w:rsid w:val="78E0091E"/>
    <w:rsid w:val="790427B4"/>
    <w:rsid w:val="791757F3"/>
    <w:rsid w:val="793F27E2"/>
    <w:rsid w:val="79485E43"/>
    <w:rsid w:val="795370F4"/>
    <w:rsid w:val="796752B9"/>
    <w:rsid w:val="798E35F3"/>
    <w:rsid w:val="79D659A9"/>
    <w:rsid w:val="79E104AA"/>
    <w:rsid w:val="7A0767AB"/>
    <w:rsid w:val="7A1A17B5"/>
    <w:rsid w:val="7A233ABC"/>
    <w:rsid w:val="7A353B53"/>
    <w:rsid w:val="7A6B246A"/>
    <w:rsid w:val="7A6E7B29"/>
    <w:rsid w:val="7A886B78"/>
    <w:rsid w:val="7ABD2465"/>
    <w:rsid w:val="7ADD7539"/>
    <w:rsid w:val="7AEE37CA"/>
    <w:rsid w:val="7AF35895"/>
    <w:rsid w:val="7AFB559C"/>
    <w:rsid w:val="7B2C3BE4"/>
    <w:rsid w:val="7B337FEC"/>
    <w:rsid w:val="7B784E3E"/>
    <w:rsid w:val="7B9B5D8D"/>
    <w:rsid w:val="7BC02341"/>
    <w:rsid w:val="7BC938EC"/>
    <w:rsid w:val="7C06069C"/>
    <w:rsid w:val="7C79767D"/>
    <w:rsid w:val="7C8A0E3D"/>
    <w:rsid w:val="7C920181"/>
    <w:rsid w:val="7C9C57DD"/>
    <w:rsid w:val="7CC33FC4"/>
    <w:rsid w:val="7CEC1640"/>
    <w:rsid w:val="7D562F5D"/>
    <w:rsid w:val="7D5A28A9"/>
    <w:rsid w:val="7D5F62B6"/>
    <w:rsid w:val="7D715FE9"/>
    <w:rsid w:val="7D77327D"/>
    <w:rsid w:val="7D837389"/>
    <w:rsid w:val="7DA44BDC"/>
    <w:rsid w:val="7DC31817"/>
    <w:rsid w:val="7DE8512F"/>
    <w:rsid w:val="7E2D00D1"/>
    <w:rsid w:val="7E456916"/>
    <w:rsid w:val="7E4B0B2D"/>
    <w:rsid w:val="7E682F48"/>
    <w:rsid w:val="7E841EC5"/>
    <w:rsid w:val="7EB11204"/>
    <w:rsid w:val="7EC64299"/>
    <w:rsid w:val="7EDA3399"/>
    <w:rsid w:val="7EE30820"/>
    <w:rsid w:val="7F1337EA"/>
    <w:rsid w:val="7F1B445E"/>
    <w:rsid w:val="7F1E1D07"/>
    <w:rsid w:val="7F3472CE"/>
    <w:rsid w:val="7F3F0630"/>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qFormat/>
    <w:uiPriority w:val="1"/>
    <w:pPr>
      <w:tabs>
        <w:tab w:val="left" w:pos="0"/>
      </w:tabs>
      <w:autoSpaceDE w:val="0"/>
      <w:autoSpaceDN w:val="0"/>
      <w:spacing w:line="360" w:lineRule="auto"/>
      <w:jc w:val="left"/>
      <w:outlineLvl w:val="0"/>
    </w:pPr>
    <w:rPr>
      <w:rFonts w:eastAsia="仿宋" w:cs="宋体"/>
      <w:b/>
      <w:bCs/>
      <w:sz w:val="36"/>
      <w:szCs w:val="48"/>
      <w:lang w:val="zh-CN" w:bidi="zh-CN"/>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2"/>
      <w:sz w:val="32"/>
      <w:szCs w:val="32"/>
      <w:lang w:val="zh-CN"/>
    </w:rPr>
  </w:style>
  <w:style w:type="paragraph" w:styleId="4">
    <w:name w:val="heading 3"/>
    <w:basedOn w:val="1"/>
    <w:next w:val="1"/>
    <w:link w:val="142"/>
    <w:qFormat/>
    <w:uiPriority w:val="0"/>
    <w:pPr>
      <w:keepNext/>
      <w:keepLines/>
      <w:outlineLvl w:val="2"/>
    </w:pPr>
    <w:rPr>
      <w:rFonts w:eastAsia="仿宋"/>
      <w:b/>
      <w:bCs/>
      <w:sz w:val="30"/>
      <w:lang w:val="zh-CN"/>
    </w:rPr>
  </w:style>
  <w:style w:type="paragraph" w:styleId="5">
    <w:name w:val="heading 4"/>
    <w:basedOn w:val="1"/>
    <w:next w:val="1"/>
    <w:link w:val="152"/>
    <w:qFormat/>
    <w:uiPriority w:val="0"/>
    <w:pPr>
      <w:keepNext/>
      <w:keepLines/>
      <w:outlineLvl w:val="3"/>
    </w:pPr>
    <w:rPr>
      <w:rFonts w:ascii="Arial" w:hAnsi="Arial" w:eastAsia="仿宋"/>
      <w:b/>
      <w:bCs/>
      <w:sz w:val="28"/>
      <w:szCs w:val="28"/>
      <w:lang w:val="zh-CN"/>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next w:val="9"/>
    <w:unhideWhenUsed/>
    <w:qFormat/>
    <w:uiPriority w:val="1"/>
    <w:pPr>
      <w:spacing w:after="120"/>
    </w:pPr>
    <w:rPr>
      <w:szCs w:val="24"/>
    </w:rPr>
  </w:style>
  <w:style w:type="paragraph" w:styleId="9">
    <w:name w:val="Body Text 2"/>
    <w:basedOn w:val="1"/>
    <w:qFormat/>
    <w:uiPriority w:val="0"/>
    <w:pPr>
      <w:jc w:val="center"/>
      <w:outlineLvl w:val="0"/>
    </w:pPr>
    <w:rPr>
      <w:rFonts w:ascii="楷体_GB2312" w:eastAsia="仿宋_GB2312"/>
      <w:sz w:val="30"/>
    </w:rPr>
  </w:style>
  <w:style w:type="paragraph" w:styleId="10">
    <w:name w:val="Body Text Indent"/>
    <w:basedOn w:val="1"/>
    <w:qFormat/>
    <w:uiPriority w:val="0"/>
    <w:pPr>
      <w:spacing w:line="400" w:lineRule="exact"/>
      <w:ind w:left="630"/>
    </w:pPr>
    <w:rPr>
      <w:rFonts w:ascii="楷体_GB2312"/>
      <w:sz w:val="30"/>
      <w:szCs w:val="30"/>
    </w:rPr>
  </w:style>
  <w:style w:type="paragraph" w:styleId="11">
    <w:name w:val="List 2"/>
    <w:basedOn w:val="1"/>
    <w:qFormat/>
    <w:uiPriority w:val="0"/>
    <w:pPr>
      <w:ind w:left="100" w:leftChars="200" w:hanging="200" w:hangingChars="200"/>
    </w:pPr>
  </w:style>
  <w:style w:type="paragraph" w:styleId="12">
    <w:name w:val="toc 3"/>
    <w:basedOn w:val="1"/>
    <w:next w:val="1"/>
    <w:unhideWhenUsed/>
    <w:qFormat/>
    <w:uiPriority w:val="39"/>
    <w:pPr>
      <w:ind w:left="840" w:leftChars="400"/>
    </w:pPr>
  </w:style>
  <w:style w:type="paragraph" w:styleId="13">
    <w:name w:val="Plain Text"/>
    <w:basedOn w:val="1"/>
    <w:qFormat/>
    <w:uiPriority w:val="0"/>
    <w:rPr>
      <w:rFonts w:ascii="宋体" w:hAnsi="Courier New"/>
      <w:sz w:val="24"/>
    </w:rPr>
  </w:style>
  <w:style w:type="paragraph" w:styleId="14">
    <w:name w:val="Balloon Text"/>
    <w:basedOn w:val="1"/>
    <w:link w:val="150"/>
    <w:qFormat/>
    <w:uiPriority w:val="0"/>
    <w:rPr>
      <w:sz w:val="18"/>
      <w:szCs w:val="18"/>
    </w:rPr>
  </w:style>
  <w:style w:type="paragraph" w:styleId="15">
    <w:name w:val="footer"/>
    <w:basedOn w:val="1"/>
    <w:unhideWhenUsed/>
    <w:qFormat/>
    <w:uiPriority w:val="99"/>
    <w:pPr>
      <w:tabs>
        <w:tab w:val="center" w:pos="4153"/>
        <w:tab w:val="right" w:pos="8306"/>
      </w:tabs>
      <w:snapToGrid w:val="0"/>
      <w:jc w:val="left"/>
    </w:pPr>
    <w:rPr>
      <w:sz w:val="18"/>
      <w:szCs w:val="18"/>
    </w:rPr>
  </w:style>
  <w:style w:type="paragraph" w:styleId="16">
    <w:name w:val="envelope return"/>
    <w:basedOn w:val="1"/>
    <w:qFormat/>
    <w:uiPriority w:val="0"/>
    <w:pPr>
      <w:snapToGrid w:val="0"/>
    </w:pPr>
    <w:rPr>
      <w:rFonts w:ascii="Arial" w:hAnsi="Arial"/>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unhideWhenUsed/>
    <w:qFormat/>
    <w:uiPriority w:val="39"/>
  </w:style>
  <w:style w:type="paragraph" w:styleId="19">
    <w:name w:val="List 5"/>
    <w:basedOn w:val="1"/>
    <w:qFormat/>
    <w:uiPriority w:val="0"/>
    <w:pPr>
      <w:ind w:left="100" w:leftChars="800" w:hanging="200" w:hangingChars="200"/>
      <w:contextualSpacing/>
    </w:pPr>
  </w:style>
  <w:style w:type="paragraph" w:styleId="20">
    <w:name w:val="toc 2"/>
    <w:basedOn w:val="1"/>
    <w:next w:val="1"/>
    <w:qFormat/>
    <w:uiPriority w:val="0"/>
    <w:pPr>
      <w:ind w:left="420" w:leftChars="200"/>
    </w:pPr>
  </w:style>
  <w:style w:type="paragraph" w:styleId="21">
    <w:name w:val="toc 9"/>
    <w:next w:val="1"/>
    <w:qFormat/>
    <w:uiPriority w:val="0"/>
    <w:pPr>
      <w:wordWrap w:val="0"/>
      <w:ind w:left="2975"/>
      <w:jc w:val="both"/>
    </w:pPr>
    <w:rPr>
      <w:rFonts w:ascii="Calibri" w:hAnsi="Calibri" w:eastAsia="宋体" w:cs="Times New Roman"/>
      <w:sz w:val="21"/>
      <w:lang w:val="en-US" w:eastAsia="zh-CN" w:bidi="ar-SA"/>
    </w:rPr>
  </w:style>
  <w:style w:type="paragraph" w:styleId="22">
    <w:name w:val="Normal (Web)"/>
    <w:basedOn w:val="1"/>
    <w:qFormat/>
    <w:uiPriority w:val="0"/>
    <w:pPr>
      <w:spacing w:beforeAutospacing="1" w:afterAutospacing="1"/>
      <w:jc w:val="left"/>
    </w:pPr>
    <w:rPr>
      <w:rFonts w:ascii="Calibri" w:hAnsi="Calibri"/>
      <w:sz w:val="24"/>
      <w:szCs w:val="24"/>
    </w:rPr>
  </w:style>
  <w:style w:type="paragraph" w:styleId="23">
    <w:name w:val="Title"/>
    <w:basedOn w:val="1"/>
    <w:next w:val="1"/>
    <w:qFormat/>
    <w:uiPriority w:val="0"/>
    <w:pPr>
      <w:widowControl/>
      <w:jc w:val="center"/>
      <w:outlineLvl w:val="0"/>
    </w:pPr>
    <w:rPr>
      <w:rFonts w:ascii="Cambria" w:hAnsi="Cambria" w:eastAsia="微软雅黑" w:cstheme="minorBidi"/>
      <w:b/>
      <w:bCs/>
      <w:kern w:val="28"/>
      <w:sz w:val="44"/>
      <w:szCs w:val="22"/>
      <w:lang w:val="zh-CN" w:eastAsia="en-US" w:bidi="en-US"/>
    </w:rPr>
  </w:style>
  <w:style w:type="paragraph" w:styleId="24">
    <w:name w:val="Body Text First Indent"/>
    <w:basedOn w:val="8"/>
    <w:qFormat/>
    <w:uiPriority w:val="0"/>
    <w:pPr>
      <w:tabs>
        <w:tab w:val="left" w:pos="567"/>
      </w:tabs>
      <w:ind w:firstLine="420" w:firstLineChars="100"/>
    </w:pPr>
    <w:rPr>
      <w:sz w:val="21"/>
    </w:rPr>
  </w:style>
  <w:style w:type="paragraph" w:styleId="25">
    <w:name w:val="Body Text First Indent 2"/>
    <w:basedOn w:val="10"/>
    <w:qFormat/>
    <w:uiPriority w:val="0"/>
    <w:pPr>
      <w:spacing w:line="240" w:lineRule="auto"/>
      <w:ind w:left="200" w:leftChars="200" w:firstLine="200" w:firstLineChars="200"/>
    </w:pPr>
  </w:style>
  <w:style w:type="table" w:styleId="27">
    <w:name w:val="Table Grid"/>
    <w:basedOn w:val="2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9">
    <w:name w:val="Strong"/>
    <w:basedOn w:val="28"/>
    <w:qFormat/>
    <w:uiPriority w:val="0"/>
    <w:rPr>
      <w:b/>
      <w:bCs/>
    </w:rPr>
  </w:style>
  <w:style w:type="character" w:styleId="30">
    <w:name w:val="page number"/>
    <w:basedOn w:val="28"/>
    <w:qFormat/>
    <w:uiPriority w:val="0"/>
  </w:style>
  <w:style w:type="character" w:styleId="31">
    <w:name w:val="FollowedHyperlink"/>
    <w:basedOn w:val="28"/>
    <w:qFormat/>
    <w:uiPriority w:val="0"/>
    <w:rPr>
      <w:color w:val="444444"/>
      <w:sz w:val="21"/>
      <w:szCs w:val="21"/>
      <w:u w:val="none"/>
    </w:rPr>
  </w:style>
  <w:style w:type="character" w:styleId="32">
    <w:name w:val="Emphasis"/>
    <w:basedOn w:val="28"/>
    <w:qFormat/>
    <w:uiPriority w:val="0"/>
    <w:rPr>
      <w:b/>
      <w:bCs/>
    </w:rPr>
  </w:style>
  <w:style w:type="character" w:styleId="33">
    <w:name w:val="HTML Definition"/>
    <w:basedOn w:val="28"/>
    <w:qFormat/>
    <w:uiPriority w:val="0"/>
  </w:style>
  <w:style w:type="character" w:styleId="34">
    <w:name w:val="HTML Typewriter"/>
    <w:basedOn w:val="28"/>
    <w:qFormat/>
    <w:uiPriority w:val="0"/>
    <w:rPr>
      <w:rFonts w:ascii="monospace" w:hAnsi="monospace" w:eastAsia="monospace" w:cs="monospace"/>
      <w:sz w:val="20"/>
    </w:rPr>
  </w:style>
  <w:style w:type="character" w:styleId="35">
    <w:name w:val="HTML Acronym"/>
    <w:basedOn w:val="28"/>
    <w:qFormat/>
    <w:uiPriority w:val="0"/>
    <w:rPr>
      <w:shd w:val="clear" w:fill="FFFFFF"/>
    </w:rPr>
  </w:style>
  <w:style w:type="character" w:styleId="36">
    <w:name w:val="HTML Variable"/>
    <w:basedOn w:val="28"/>
    <w:qFormat/>
    <w:uiPriority w:val="0"/>
  </w:style>
  <w:style w:type="character" w:styleId="37">
    <w:name w:val="Hyperlink"/>
    <w:basedOn w:val="28"/>
    <w:qFormat/>
    <w:uiPriority w:val="99"/>
    <w:rPr>
      <w:color w:val="444444"/>
      <w:sz w:val="21"/>
      <w:szCs w:val="21"/>
      <w:u w:val="none"/>
    </w:rPr>
  </w:style>
  <w:style w:type="character" w:styleId="38">
    <w:name w:val="HTML Code"/>
    <w:basedOn w:val="28"/>
    <w:qFormat/>
    <w:uiPriority w:val="0"/>
    <w:rPr>
      <w:rFonts w:hint="default" w:ascii="monospace" w:hAnsi="monospace" w:eastAsia="monospace" w:cs="monospace"/>
      <w:sz w:val="20"/>
    </w:rPr>
  </w:style>
  <w:style w:type="character" w:styleId="39">
    <w:name w:val="HTML Cite"/>
    <w:basedOn w:val="28"/>
    <w:qFormat/>
    <w:uiPriority w:val="0"/>
  </w:style>
  <w:style w:type="character" w:styleId="40">
    <w:name w:val="HTML Keyboard"/>
    <w:basedOn w:val="28"/>
    <w:qFormat/>
    <w:uiPriority w:val="0"/>
    <w:rPr>
      <w:rFonts w:hint="default" w:ascii="monospace" w:hAnsi="monospace" w:eastAsia="monospace" w:cs="monospace"/>
      <w:sz w:val="20"/>
    </w:rPr>
  </w:style>
  <w:style w:type="character" w:styleId="41">
    <w:name w:val="HTML Sample"/>
    <w:basedOn w:val="28"/>
    <w:qFormat/>
    <w:uiPriority w:val="0"/>
    <w:rPr>
      <w:rFonts w:hint="default" w:ascii="monospace" w:hAnsi="monospace" w:eastAsia="monospace" w:cs="monospace"/>
    </w:rPr>
  </w:style>
  <w:style w:type="paragraph" w:customStyle="1" w:styleId="42">
    <w:name w:val="BodyText1I"/>
    <w:basedOn w:val="43"/>
    <w:next w:val="1"/>
    <w:autoRedefine/>
    <w:qFormat/>
    <w:uiPriority w:val="0"/>
    <w:pPr>
      <w:ind w:firstLine="420" w:firstLineChars="100"/>
    </w:pPr>
  </w:style>
  <w:style w:type="paragraph" w:customStyle="1" w:styleId="43">
    <w:name w:val="BodyText"/>
    <w:basedOn w:val="1"/>
    <w:next w:val="44"/>
    <w:autoRedefine/>
    <w:qFormat/>
    <w:uiPriority w:val="0"/>
    <w:pPr>
      <w:spacing w:after="160"/>
      <w:jc w:val="left"/>
    </w:pPr>
    <w:rPr>
      <w:rFonts w:ascii="仿宋体" w:eastAsia="仿宋体"/>
      <w:sz w:val="20"/>
      <w:lang w:eastAsia="en-US"/>
    </w:rPr>
  </w:style>
  <w:style w:type="paragraph" w:customStyle="1" w:styleId="44">
    <w:name w:val="UserStyle_11"/>
    <w:basedOn w:val="1"/>
    <w:next w:val="45"/>
    <w:autoRedefine/>
    <w:qFormat/>
    <w:uiPriority w:val="0"/>
    <w:pPr>
      <w:spacing w:before="280" w:after="280"/>
    </w:pPr>
    <w:rPr>
      <w:rFonts w:ascii="宋体" w:eastAsia="宋体"/>
      <w:sz w:val="18"/>
    </w:rPr>
  </w:style>
  <w:style w:type="paragraph" w:customStyle="1" w:styleId="45">
    <w:name w:val="UserStyle_12"/>
    <w:next w:val="1"/>
    <w:autoRedefine/>
    <w:qFormat/>
    <w:uiPriority w:val="0"/>
    <w:pPr>
      <w:jc w:val="both"/>
    </w:pPr>
    <w:rPr>
      <w:rFonts w:ascii="Times New Roman" w:hAnsi="Times New Roman" w:eastAsia="宋体" w:cs="Times New Roman"/>
      <w:sz w:val="21"/>
      <w:szCs w:val="22"/>
      <w:lang w:val="en-US" w:eastAsia="zh-CN" w:bidi="ar-SA"/>
    </w:rPr>
  </w:style>
  <w:style w:type="paragraph" w:customStyle="1" w:styleId="4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正文1"/>
    <w:basedOn w:val="1"/>
    <w:next w:val="48"/>
    <w:qFormat/>
    <w:uiPriority w:val="0"/>
    <w:pPr>
      <w:spacing w:line="380" w:lineRule="exact"/>
      <w:jc w:val="center"/>
    </w:pPr>
    <w:rPr>
      <w:rFonts w:ascii="黑体" w:eastAsia="黑体"/>
    </w:rPr>
  </w:style>
  <w:style w:type="paragraph" w:customStyle="1" w:styleId="48">
    <w:name w:val="表格"/>
    <w:basedOn w:val="1"/>
    <w:next w:val="49"/>
    <w:qFormat/>
    <w:uiPriority w:val="0"/>
    <w:pPr>
      <w:jc w:val="center"/>
    </w:pPr>
    <w:rPr>
      <w:rFonts w:ascii="华文细黑"/>
    </w:rPr>
  </w:style>
  <w:style w:type="paragraph" w:customStyle="1" w:styleId="49">
    <w:name w:val="空半行"/>
    <w:basedOn w:val="1"/>
    <w:next w:val="50"/>
    <w:qFormat/>
    <w:uiPriority w:val="0"/>
    <w:pPr>
      <w:spacing w:line="120" w:lineRule="exact"/>
    </w:pPr>
    <w:rPr>
      <w:rFonts w:eastAsia="仿宋_GB2312"/>
      <w:color w:val="FFFFFF"/>
      <w:sz w:val="30"/>
    </w:rPr>
  </w:style>
  <w:style w:type="paragraph" w:customStyle="1" w:styleId="50">
    <w:name w:val="样式"/>
    <w:next w:val="51"/>
    <w:qFormat/>
    <w:uiPriority w:val="0"/>
    <w:pPr>
      <w:widowControl w:val="0"/>
      <w:jc w:val="both"/>
    </w:pPr>
    <w:rPr>
      <w:rFonts w:ascii="Calibri" w:hAnsi="Calibri" w:eastAsia="宋体" w:cs="Times New Roman"/>
      <w:sz w:val="21"/>
      <w:lang w:val="en-US" w:eastAsia="zh-CN" w:bidi="ar-SA"/>
    </w:rPr>
  </w:style>
  <w:style w:type="paragraph" w:customStyle="1" w:styleId="51">
    <w:name w:val="xl81"/>
    <w:basedOn w:val="1"/>
    <w:next w:val="21"/>
    <w:qFormat/>
    <w:uiPriority w:val="0"/>
    <w:pPr>
      <w:widowControl/>
      <w:shd w:val="clear" w:color="FFFFFF" w:fill="FFFFFF"/>
      <w:spacing w:before="280" w:after="280"/>
      <w:jc w:val="center"/>
    </w:pPr>
    <w:rPr>
      <w:rFonts w:ascii="宋体"/>
      <w:b/>
      <w:sz w:val="24"/>
    </w:rPr>
  </w:style>
  <w:style w:type="paragraph" w:customStyle="1" w:styleId="52">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正文_1"/>
    <w:basedOn w:val="54"/>
    <w:next w:val="9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
    <w:name w:val="正文_2"/>
    <w:basedOn w:val="55"/>
    <w:next w:val="9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_3"/>
    <w:next w:val="56"/>
    <w:qFormat/>
    <w:uiPriority w:val="0"/>
    <w:pPr>
      <w:widowControl w:val="0"/>
      <w:jc w:val="both"/>
    </w:pPr>
    <w:rPr>
      <w:rFonts w:ascii="Calibri" w:hAnsi="Calibri" w:eastAsia="宋体" w:cs="Calibri"/>
      <w:kern w:val="2"/>
      <w:sz w:val="21"/>
      <w:szCs w:val="22"/>
      <w:lang w:val="en-US" w:eastAsia="zh-CN" w:bidi="ar-SA"/>
    </w:rPr>
  </w:style>
  <w:style w:type="paragraph" w:customStyle="1" w:styleId="56">
    <w:name w:val="正文文本_0"/>
    <w:basedOn w:val="57"/>
    <w:next w:val="58"/>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57">
    <w:name w:val="正文_0_0"/>
    <w:qFormat/>
    <w:uiPriority w:val="0"/>
    <w:pPr>
      <w:widowControl w:val="0"/>
      <w:jc w:val="both"/>
    </w:pPr>
    <w:rPr>
      <w:rFonts w:ascii="Calibri" w:hAnsi="Calibri" w:eastAsia="宋体" w:cs="Calibri"/>
      <w:kern w:val="2"/>
      <w:sz w:val="21"/>
      <w:szCs w:val="22"/>
      <w:lang w:val="en-US" w:eastAsia="zh-CN" w:bidi="ar-SA"/>
    </w:rPr>
  </w:style>
  <w:style w:type="paragraph" w:customStyle="1" w:styleId="58">
    <w:name w:val="Default_1"/>
    <w:next w:val="5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9">
    <w:name w:val="大标题_1"/>
    <w:basedOn w:val="60"/>
    <w:next w:val="61"/>
    <w:qFormat/>
    <w:uiPriority w:val="0"/>
    <w:pPr>
      <w:jc w:val="center"/>
    </w:pPr>
    <w:rPr>
      <w:rFonts w:ascii="Arial" w:hAnsi="Arial"/>
      <w:b/>
      <w:kern w:val="0"/>
      <w:sz w:val="28"/>
      <w:szCs w:val="24"/>
    </w:rPr>
  </w:style>
  <w:style w:type="paragraph" w:customStyle="1" w:styleId="60">
    <w:name w:val="正文_1_0"/>
    <w:next w:val="5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正文首行缩进 2_1"/>
    <w:basedOn w:val="62"/>
    <w:next w:val="60"/>
    <w:qFormat/>
    <w:uiPriority w:val="99"/>
    <w:pPr>
      <w:spacing w:after="120" w:line="240" w:lineRule="auto"/>
      <w:ind w:left="200" w:leftChars="200"/>
    </w:pPr>
    <w:rPr>
      <w:rFonts w:ascii="Calibri" w:hAnsi="Calibri"/>
    </w:rPr>
  </w:style>
  <w:style w:type="paragraph" w:customStyle="1" w:styleId="62">
    <w:name w:val="正文文本缩进_1"/>
    <w:basedOn w:val="63"/>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63">
    <w:name w:val="正文_1_0_2"/>
    <w:basedOn w:val="64"/>
    <w:next w:val="74"/>
    <w:qFormat/>
    <w:uiPriority w:val="0"/>
    <w:rPr>
      <w:rFonts w:ascii="Calibri" w:hAnsi="Calibri"/>
    </w:rPr>
  </w:style>
  <w:style w:type="paragraph" w:customStyle="1" w:styleId="64">
    <w:name w:val="正文_2_1_0"/>
    <w:basedOn w:val="65"/>
    <w:next w:val="66"/>
    <w:qFormat/>
    <w:uiPriority w:val="0"/>
  </w:style>
  <w:style w:type="paragraph" w:customStyle="1" w:styleId="65">
    <w:name w:val="正文_2_2"/>
    <w:next w:val="66"/>
    <w:qFormat/>
    <w:uiPriority w:val="0"/>
    <w:pPr>
      <w:widowControl w:val="0"/>
      <w:jc w:val="both"/>
    </w:pPr>
    <w:rPr>
      <w:rFonts w:ascii="Times New Roman" w:hAnsi="Times New Roman" w:eastAsia="宋体" w:cs="Times New Roman"/>
      <w:lang w:eastAsia="en-US"/>
    </w:rPr>
  </w:style>
  <w:style w:type="paragraph" w:customStyle="1" w:styleId="66">
    <w:name w:val="正文文本_1_0_1"/>
    <w:basedOn w:val="65"/>
    <w:next w:val="67"/>
    <w:qFormat/>
    <w:uiPriority w:val="0"/>
    <w:rPr>
      <w:rFonts w:eastAsia="仿宋_GB2312"/>
      <w:kern w:val="2"/>
      <w:sz w:val="28"/>
      <w:szCs w:val="28"/>
    </w:rPr>
  </w:style>
  <w:style w:type="paragraph" w:customStyle="1" w:styleId="67">
    <w:name w:val="Default_1_0_1"/>
    <w:basedOn w:val="68"/>
    <w:next w:val="6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8">
    <w:name w:val="正文_2_0_1"/>
    <w:basedOn w:val="69"/>
    <w:next w:val="7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正文_3_1_0_0"/>
    <w:next w:val="70"/>
    <w:qFormat/>
    <w:uiPriority w:val="0"/>
    <w:pPr>
      <w:widowControl w:val="0"/>
      <w:jc w:val="both"/>
    </w:pPr>
    <w:rPr>
      <w:rFonts w:ascii="Times New Roman" w:hAnsi="Times New Roman" w:eastAsia="宋体" w:cs="Times New Roman"/>
      <w:lang w:eastAsia="en-US"/>
    </w:rPr>
  </w:style>
  <w:style w:type="paragraph" w:customStyle="1" w:styleId="70">
    <w:name w:val="正文文本_1_1_0_0"/>
    <w:basedOn w:val="71"/>
    <w:next w:val="72"/>
    <w:qFormat/>
    <w:uiPriority w:val="0"/>
    <w:rPr>
      <w:rFonts w:eastAsia="仿宋_GB2312"/>
      <w:kern w:val="2"/>
      <w:sz w:val="28"/>
      <w:szCs w:val="28"/>
    </w:rPr>
  </w:style>
  <w:style w:type="paragraph" w:customStyle="1" w:styleId="71">
    <w:name w:val="正文_2_3_1"/>
    <w:next w:val="69"/>
    <w:qFormat/>
    <w:uiPriority w:val="0"/>
    <w:pPr>
      <w:widowControl w:val="0"/>
      <w:jc w:val="both"/>
    </w:pPr>
    <w:rPr>
      <w:rFonts w:ascii="Times New Roman" w:hAnsi="Times New Roman" w:eastAsia="宋体" w:cs="Times New Roman"/>
      <w:lang w:eastAsia="en-US"/>
    </w:rPr>
  </w:style>
  <w:style w:type="paragraph" w:customStyle="1" w:styleId="72">
    <w:name w:val="Default_1_1_0_0"/>
    <w:basedOn w:val="71"/>
    <w:next w:val="69"/>
    <w:qFormat/>
    <w:uiPriority w:val="0"/>
    <w:pPr>
      <w:autoSpaceDE w:val="0"/>
      <w:autoSpaceDN w:val="0"/>
      <w:adjustRightInd w:val="0"/>
      <w:jc w:val="left"/>
    </w:pPr>
    <w:rPr>
      <w:rFonts w:ascii="Calibri" w:hAnsi="Calibri" w:cs="宋体"/>
      <w:color w:val="000000"/>
      <w:sz w:val="24"/>
      <w:szCs w:val="24"/>
    </w:rPr>
  </w:style>
  <w:style w:type="paragraph" w:customStyle="1" w:styleId="73">
    <w:name w:val="正文_3_0_1"/>
    <w:next w:val="6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正文文本_0_0_1"/>
    <w:basedOn w:val="75"/>
    <w:next w:val="80"/>
    <w:qFormat/>
    <w:uiPriority w:val="0"/>
    <w:rPr>
      <w:rFonts w:ascii="Calibri" w:hAnsi="Calibri"/>
    </w:rPr>
  </w:style>
  <w:style w:type="paragraph" w:customStyle="1" w:styleId="75">
    <w:name w:val="正文_2_3"/>
    <w:next w:val="76"/>
    <w:qFormat/>
    <w:uiPriority w:val="0"/>
    <w:pPr>
      <w:widowControl w:val="0"/>
      <w:jc w:val="both"/>
    </w:pPr>
    <w:rPr>
      <w:rFonts w:ascii="Times New Roman" w:hAnsi="Times New Roman" w:eastAsia="宋体" w:cs="Times New Roman"/>
      <w:lang w:eastAsia="en-US"/>
    </w:rPr>
  </w:style>
  <w:style w:type="paragraph" w:customStyle="1" w:styleId="76">
    <w:name w:val="正文文本_0_0_0_0_0"/>
    <w:basedOn w:val="77"/>
    <w:next w:val="80"/>
    <w:qFormat/>
    <w:uiPriority w:val="0"/>
    <w:rPr>
      <w:rFonts w:ascii="Calibri" w:hAnsi="Calibri"/>
    </w:rPr>
  </w:style>
  <w:style w:type="paragraph" w:customStyle="1" w:styleId="77">
    <w:name w:val="正文_0_0_1_0_0"/>
    <w:next w:val="78"/>
    <w:qFormat/>
    <w:uiPriority w:val="0"/>
    <w:pPr>
      <w:widowControl w:val="0"/>
      <w:jc w:val="both"/>
    </w:pPr>
    <w:rPr>
      <w:rFonts w:ascii="Times New Roman" w:hAnsi="Times New Roman" w:eastAsia="宋体" w:cs="Times New Roman"/>
      <w:lang w:eastAsia="en-US"/>
    </w:rPr>
  </w:style>
  <w:style w:type="paragraph" w:customStyle="1" w:styleId="78">
    <w:name w:val="Default_0_0_0_0"/>
    <w:basedOn w:val="77"/>
    <w:next w:val="79"/>
    <w:qFormat/>
    <w:uiPriority w:val="0"/>
    <w:pPr>
      <w:autoSpaceDE w:val="0"/>
      <w:autoSpaceDN w:val="0"/>
      <w:adjustRightInd w:val="0"/>
      <w:jc w:val="left"/>
    </w:pPr>
    <w:rPr>
      <w:rFonts w:ascii="Calibri" w:hAnsi="Calibri" w:cs="宋体"/>
      <w:color w:val="000000"/>
      <w:sz w:val="24"/>
      <w:szCs w:val="24"/>
    </w:rPr>
  </w:style>
  <w:style w:type="paragraph" w:customStyle="1" w:styleId="79">
    <w:name w:val="正文_0_0_0_0_0_0"/>
    <w:basedOn w:val="77"/>
    <w:next w:val="76"/>
    <w:qFormat/>
    <w:uiPriority w:val="0"/>
    <w:rPr>
      <w:rFonts w:ascii="Calibri" w:hAnsi="Calibri" w:cs="宋体"/>
      <w:sz w:val="24"/>
      <w:szCs w:val="24"/>
    </w:rPr>
  </w:style>
  <w:style w:type="paragraph" w:customStyle="1" w:styleId="80">
    <w:name w:val="Default_2_0_0"/>
    <w:basedOn w:val="81"/>
    <w:next w:val="91"/>
    <w:qFormat/>
    <w:uiPriority w:val="0"/>
    <w:pPr>
      <w:autoSpaceDE w:val="0"/>
      <w:autoSpaceDN w:val="0"/>
      <w:adjustRightInd w:val="0"/>
      <w:jc w:val="left"/>
    </w:pPr>
    <w:rPr>
      <w:rFonts w:ascii="Calibri" w:hAnsi="Calibri" w:cs="宋体"/>
      <w:color w:val="000000"/>
      <w:sz w:val="24"/>
      <w:szCs w:val="24"/>
    </w:rPr>
  </w:style>
  <w:style w:type="paragraph" w:customStyle="1" w:styleId="81">
    <w:name w:val="正文_3_1_1"/>
    <w:next w:val="82"/>
    <w:qFormat/>
    <w:uiPriority w:val="0"/>
    <w:pPr>
      <w:widowControl w:val="0"/>
      <w:jc w:val="both"/>
    </w:pPr>
    <w:rPr>
      <w:rFonts w:ascii="Times New Roman" w:hAnsi="Times New Roman" w:eastAsia="宋体" w:cs="Times New Roman"/>
      <w:lang w:eastAsia="en-US"/>
    </w:rPr>
  </w:style>
  <w:style w:type="paragraph" w:customStyle="1" w:styleId="82">
    <w:name w:val="正文文本_1_1_1"/>
    <w:basedOn w:val="83"/>
    <w:next w:val="90"/>
    <w:qFormat/>
    <w:uiPriority w:val="0"/>
    <w:rPr>
      <w:rFonts w:eastAsia="仿宋_GB2312"/>
      <w:kern w:val="2"/>
      <w:sz w:val="28"/>
      <w:szCs w:val="28"/>
    </w:rPr>
  </w:style>
  <w:style w:type="paragraph" w:customStyle="1" w:styleId="83">
    <w:name w:val="正文_2_3_0"/>
    <w:next w:val="84"/>
    <w:qFormat/>
    <w:uiPriority w:val="0"/>
    <w:pPr>
      <w:widowControl w:val="0"/>
      <w:jc w:val="both"/>
    </w:pPr>
    <w:rPr>
      <w:rFonts w:ascii="Times New Roman" w:hAnsi="Times New Roman" w:eastAsia="宋体" w:cs="Times New Roman"/>
      <w:lang w:eastAsia="en-US"/>
    </w:rPr>
  </w:style>
  <w:style w:type="paragraph" w:customStyle="1" w:styleId="84">
    <w:name w:val="正文文本_0_0_0_0_0_0"/>
    <w:basedOn w:val="85"/>
    <w:next w:val="88"/>
    <w:qFormat/>
    <w:uiPriority w:val="0"/>
    <w:rPr>
      <w:rFonts w:ascii="Calibri" w:hAnsi="Calibri"/>
    </w:rPr>
  </w:style>
  <w:style w:type="paragraph" w:customStyle="1" w:styleId="85">
    <w:name w:val="正文_0_0_1_0_0_0"/>
    <w:next w:val="86"/>
    <w:qFormat/>
    <w:uiPriority w:val="0"/>
    <w:pPr>
      <w:widowControl w:val="0"/>
      <w:jc w:val="both"/>
    </w:pPr>
    <w:rPr>
      <w:rFonts w:ascii="Times New Roman" w:hAnsi="Times New Roman" w:eastAsia="宋体" w:cs="Times New Roman"/>
      <w:lang w:eastAsia="en-US"/>
    </w:rPr>
  </w:style>
  <w:style w:type="paragraph" w:customStyle="1" w:styleId="86">
    <w:name w:val="Default_0_0_0_0_0"/>
    <w:basedOn w:val="85"/>
    <w:next w:val="87"/>
    <w:qFormat/>
    <w:uiPriority w:val="0"/>
    <w:pPr>
      <w:autoSpaceDE w:val="0"/>
      <w:autoSpaceDN w:val="0"/>
      <w:adjustRightInd w:val="0"/>
      <w:jc w:val="left"/>
    </w:pPr>
    <w:rPr>
      <w:rFonts w:ascii="Calibri" w:hAnsi="Calibri" w:cs="宋体"/>
      <w:color w:val="000000"/>
      <w:sz w:val="24"/>
      <w:szCs w:val="24"/>
    </w:rPr>
  </w:style>
  <w:style w:type="paragraph" w:customStyle="1" w:styleId="87">
    <w:name w:val="正文_0_0_0_0_0_0_0"/>
    <w:basedOn w:val="85"/>
    <w:next w:val="84"/>
    <w:qFormat/>
    <w:uiPriority w:val="0"/>
    <w:rPr>
      <w:rFonts w:ascii="Calibri" w:hAnsi="Calibri" w:cs="宋体"/>
      <w:sz w:val="24"/>
      <w:szCs w:val="24"/>
    </w:rPr>
  </w:style>
  <w:style w:type="paragraph" w:customStyle="1" w:styleId="88">
    <w:name w:val="Default_2_0_0_0"/>
    <w:basedOn w:val="81"/>
    <w:next w:val="89"/>
    <w:qFormat/>
    <w:uiPriority w:val="0"/>
    <w:pPr>
      <w:autoSpaceDE w:val="0"/>
      <w:autoSpaceDN w:val="0"/>
      <w:adjustRightInd w:val="0"/>
      <w:jc w:val="left"/>
    </w:pPr>
    <w:rPr>
      <w:rFonts w:ascii="Calibri" w:hAnsi="Calibri" w:cs="宋体"/>
      <w:color w:val="000000"/>
      <w:sz w:val="24"/>
      <w:szCs w:val="24"/>
    </w:rPr>
  </w:style>
  <w:style w:type="paragraph" w:customStyle="1" w:styleId="89">
    <w:name w:val="正文_14_0_0_0_0"/>
    <w:next w:val="88"/>
    <w:qFormat/>
    <w:uiPriority w:val="0"/>
    <w:pPr>
      <w:widowControl w:val="0"/>
      <w:jc w:val="both"/>
    </w:pPr>
    <w:rPr>
      <w:rFonts w:ascii="Calibri" w:hAnsi="Calibri" w:eastAsia="宋体" w:cs="Times New Roman"/>
      <w:kern w:val="2"/>
      <w:sz w:val="21"/>
      <w:szCs w:val="22"/>
      <w:lang w:eastAsia="en-US"/>
    </w:rPr>
  </w:style>
  <w:style w:type="paragraph" w:customStyle="1" w:styleId="90">
    <w:name w:val="Default_1_1_1"/>
    <w:basedOn w:val="83"/>
    <w:next w:val="81"/>
    <w:qFormat/>
    <w:uiPriority w:val="0"/>
    <w:pPr>
      <w:autoSpaceDE w:val="0"/>
      <w:autoSpaceDN w:val="0"/>
      <w:adjustRightInd w:val="0"/>
      <w:jc w:val="left"/>
    </w:pPr>
    <w:rPr>
      <w:rFonts w:ascii="Calibri" w:hAnsi="Calibri" w:cs="宋体"/>
      <w:color w:val="000000"/>
      <w:sz w:val="24"/>
      <w:szCs w:val="24"/>
    </w:rPr>
  </w:style>
  <w:style w:type="paragraph" w:customStyle="1" w:styleId="91">
    <w:name w:val="正文_14_0_0_0"/>
    <w:next w:val="80"/>
    <w:qFormat/>
    <w:uiPriority w:val="0"/>
    <w:pPr>
      <w:widowControl w:val="0"/>
      <w:jc w:val="both"/>
    </w:pPr>
    <w:rPr>
      <w:rFonts w:ascii="Calibri" w:hAnsi="Calibri" w:eastAsia="宋体" w:cs="Times New Roman"/>
      <w:kern w:val="2"/>
      <w:sz w:val="21"/>
      <w:szCs w:val="22"/>
      <w:lang w:eastAsia="en-US"/>
    </w:rPr>
  </w:style>
  <w:style w:type="paragraph" w:customStyle="1" w:styleId="92">
    <w:name w:val="正文文本_1"/>
    <w:basedOn w:val="93"/>
    <w:next w:val="108"/>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93">
    <w:name w:val="正文_1_1"/>
    <w:basedOn w:val="94"/>
    <w:next w:val="5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4">
    <w:name w:val="正文_2_0"/>
    <w:next w:val="95"/>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正文_3_0"/>
    <w:next w:val="96"/>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正文文本_1_0"/>
    <w:basedOn w:val="97"/>
    <w:next w:val="98"/>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97">
    <w:name w:val="正文_11_0"/>
    <w:next w:val="96"/>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
    <w:name w:val="Default_1_0"/>
    <w:basedOn w:val="99"/>
    <w:next w:val="100"/>
    <w:qFormat/>
    <w:uiPriority w:val="0"/>
    <w:pPr>
      <w:autoSpaceDE w:val="0"/>
      <w:autoSpaceDN w:val="0"/>
      <w:adjustRightInd w:val="0"/>
      <w:jc w:val="left"/>
    </w:pPr>
    <w:rPr>
      <w:color w:val="000000"/>
      <w:sz w:val="24"/>
      <w:szCs w:val="24"/>
    </w:rPr>
  </w:style>
  <w:style w:type="paragraph" w:customStyle="1" w:styleId="99">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
    <w:name w:val="正文_8_0"/>
    <w:next w:val="10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
    <w:name w:val="正文文本_1_0_0"/>
    <w:basedOn w:val="102"/>
    <w:next w:val="98"/>
    <w:qFormat/>
    <w:uiPriority w:val="0"/>
    <w:rPr>
      <w:rFonts w:eastAsia="仿宋_GB2312" w:cs="Calibri"/>
      <w:sz w:val="28"/>
      <w:szCs w:val="28"/>
    </w:rPr>
  </w:style>
  <w:style w:type="paragraph" w:customStyle="1" w:styleId="102">
    <w:name w:val="正文_2_0_3"/>
    <w:next w:val="103"/>
    <w:qFormat/>
    <w:uiPriority w:val="0"/>
    <w:pPr>
      <w:widowControl w:val="0"/>
      <w:jc w:val="both"/>
    </w:pPr>
    <w:rPr>
      <w:rFonts w:ascii="Calibri" w:hAnsi="Calibri" w:eastAsia="宋体" w:cs="Times New Roman"/>
      <w:kern w:val="2"/>
      <w:sz w:val="21"/>
      <w:szCs w:val="22"/>
      <w:lang w:eastAsia="en-US"/>
    </w:rPr>
  </w:style>
  <w:style w:type="paragraph" w:customStyle="1" w:styleId="103">
    <w:name w:val="正文_3_0_0"/>
    <w:basedOn w:val="104"/>
    <w:next w:val="101"/>
    <w:qFormat/>
    <w:uiPriority w:val="0"/>
    <w:pPr>
      <w:widowControl w:val="0"/>
      <w:jc w:val="both"/>
    </w:pPr>
    <w:rPr>
      <w:rFonts w:ascii="Calibri" w:hAnsi="Calibri" w:cs="Calibri"/>
      <w:kern w:val="2"/>
      <w:sz w:val="21"/>
      <w:szCs w:val="22"/>
      <w:lang w:val="en-US" w:eastAsia="zh-CN" w:bidi="ar-SA"/>
    </w:rPr>
  </w:style>
  <w:style w:type="paragraph" w:customStyle="1" w:styleId="104">
    <w:name w:val="正文_4_0_0"/>
    <w:basedOn w:val="105"/>
    <w:qFormat/>
    <w:uiPriority w:val="0"/>
    <w:rPr>
      <w:rFonts w:ascii="Calibri" w:hAnsi="Calibri"/>
    </w:rPr>
  </w:style>
  <w:style w:type="paragraph" w:customStyle="1" w:styleId="105">
    <w:name w:val="正文_2_0_0"/>
    <w:basedOn w:val="106"/>
    <w:qFormat/>
    <w:uiPriority w:val="0"/>
    <w:pPr>
      <w:widowControl w:val="0"/>
      <w:jc w:val="both"/>
    </w:pPr>
    <w:rPr>
      <w:rFonts w:ascii="Calibri" w:hAnsi="Calibri" w:cs="Calibri"/>
      <w:kern w:val="2"/>
      <w:sz w:val="21"/>
      <w:szCs w:val="22"/>
      <w:lang w:val="en-US" w:eastAsia="zh-CN" w:bidi="ar-SA"/>
    </w:rPr>
  </w:style>
  <w:style w:type="paragraph" w:customStyle="1" w:styleId="106">
    <w:name w:val="正文_2_1"/>
    <w:basedOn w:val="107"/>
    <w:next w:val="98"/>
    <w:qFormat/>
    <w:uiPriority w:val="0"/>
    <w:pPr>
      <w:widowControl w:val="0"/>
      <w:jc w:val="both"/>
    </w:pPr>
    <w:rPr>
      <w:rFonts w:ascii="Calibri" w:hAnsi="Calibri"/>
      <w:kern w:val="2"/>
      <w:sz w:val="21"/>
      <w:szCs w:val="22"/>
      <w:lang w:val="en-US" w:eastAsia="zh-CN" w:bidi="ar-SA"/>
    </w:rPr>
  </w:style>
  <w:style w:type="paragraph" w:customStyle="1" w:styleId="107">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8">
    <w:name w:val="style4_0"/>
    <w:basedOn w:val="54"/>
    <w:next w:val="109"/>
    <w:qFormat/>
    <w:uiPriority w:val="0"/>
    <w:pPr>
      <w:widowControl/>
      <w:spacing w:before="100" w:beforeAutospacing="1" w:after="100" w:afterAutospacing="1"/>
      <w:jc w:val="left"/>
    </w:pPr>
    <w:rPr>
      <w:rFonts w:ascii="宋体" w:hAnsi="宋体" w:cs="宋体"/>
      <w:kern w:val="0"/>
      <w:sz w:val="18"/>
      <w:szCs w:val="18"/>
    </w:rPr>
  </w:style>
  <w:style w:type="paragraph" w:customStyle="1" w:styleId="109">
    <w:name w:val="2_1"/>
    <w:basedOn w:val="54"/>
    <w:next w:val="54"/>
    <w:qFormat/>
    <w:uiPriority w:val="0"/>
    <w:pPr>
      <w:adjustRightInd w:val="0"/>
      <w:spacing w:line="420" w:lineRule="atLeast"/>
      <w:ind w:left="1134" w:hanging="227"/>
    </w:pPr>
    <w:rPr>
      <w:rFonts w:ascii="Times New Roman" w:hAnsi="Times New Roman"/>
      <w:kern w:val="0"/>
      <w:szCs w:val="20"/>
    </w:rPr>
  </w:style>
  <w:style w:type="paragraph" w:customStyle="1" w:styleId="110">
    <w:name w:val="*正文"/>
    <w:basedOn w:val="1"/>
    <w:next w:val="1"/>
    <w:qFormat/>
    <w:uiPriority w:val="0"/>
    <w:pPr>
      <w:widowControl/>
      <w:ind w:firstLine="482"/>
    </w:pPr>
    <w:rPr>
      <w:rFonts w:ascii="微软雅黑" w:hAnsi="微软雅黑" w:eastAsia="微软雅黑" w:cstheme="minorBidi"/>
      <w:kern w:val="2"/>
      <w:sz w:val="21"/>
      <w:szCs w:val="22"/>
      <w:lang w:val="zh-CN"/>
    </w:rPr>
  </w:style>
  <w:style w:type="paragraph" w:customStyle="1" w:styleId="111">
    <w:name w:val="标题_0"/>
    <w:basedOn w:val="1"/>
    <w:next w:val="1"/>
    <w:qFormat/>
    <w:uiPriority w:val="0"/>
    <w:pPr>
      <w:widowControl/>
      <w:spacing w:before="240" w:after="60" w:line="360" w:lineRule="auto"/>
      <w:ind w:firstLine="200" w:firstLineChars="200"/>
      <w:jc w:val="center"/>
      <w:outlineLvl w:val="0"/>
    </w:pPr>
    <w:rPr>
      <w:rFonts w:ascii="Cambria" w:hAnsi="Cambria"/>
      <w:b/>
      <w:bCs/>
      <w:kern w:val="2"/>
      <w:sz w:val="32"/>
      <w:szCs w:val="32"/>
    </w:rPr>
  </w:style>
  <w:style w:type="paragraph" w:customStyle="1" w:styleId="112">
    <w:name w:val="*正文_1"/>
    <w:basedOn w:val="53"/>
    <w:next w:val="53"/>
    <w:qFormat/>
    <w:uiPriority w:val="0"/>
    <w:pPr>
      <w:widowControl/>
      <w:ind w:firstLine="482"/>
    </w:pPr>
    <w:rPr>
      <w:rFonts w:ascii="微软雅黑" w:hAnsi="微软雅黑" w:eastAsia="微软雅黑"/>
    </w:rPr>
  </w:style>
  <w:style w:type="paragraph" w:customStyle="1" w:styleId="113">
    <w:name w:val="*正文_0_0"/>
    <w:basedOn w:val="114"/>
    <w:next w:val="114"/>
    <w:qFormat/>
    <w:uiPriority w:val="0"/>
    <w:pPr>
      <w:widowControl/>
      <w:ind w:firstLine="482"/>
    </w:pPr>
    <w:rPr>
      <w:rFonts w:ascii="微软雅黑" w:hAnsi="微软雅黑" w:eastAsia="微软雅黑"/>
      <w:sz w:val="21"/>
    </w:rPr>
  </w:style>
  <w:style w:type="paragraph" w:customStyle="1" w:styleId="114">
    <w:name w:val="正文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5">
    <w:name w:val="*正文_2"/>
    <w:basedOn w:val="53"/>
    <w:next w:val="53"/>
    <w:qFormat/>
    <w:uiPriority w:val="0"/>
    <w:pPr>
      <w:widowControl/>
      <w:ind w:firstLine="482"/>
    </w:pPr>
    <w:rPr>
      <w:rFonts w:ascii="微软雅黑" w:hAnsi="微软雅黑" w:eastAsia="微软雅黑" w:cstheme="minorBidi"/>
    </w:rPr>
  </w:style>
  <w:style w:type="paragraph" w:customStyle="1" w:styleId="116">
    <w:name w:val="标题 2_0"/>
    <w:basedOn w:val="54"/>
    <w:next w:val="54"/>
    <w:unhideWhenUsed/>
    <w:qFormat/>
    <w:uiPriority w:val="0"/>
    <w:pPr>
      <w:keepNext/>
      <w:keepLines/>
      <w:spacing w:before="260" w:after="260" w:line="415" w:lineRule="auto"/>
      <w:outlineLvl w:val="1"/>
    </w:pPr>
    <w:rPr>
      <w:rFonts w:ascii="Arial" w:hAnsi="Arial" w:eastAsia="黑体"/>
      <w:b/>
      <w:bCs/>
      <w:sz w:val="32"/>
      <w:szCs w:val="32"/>
    </w:rPr>
  </w:style>
  <w:style w:type="character" w:customStyle="1" w:styleId="117">
    <w:name w:val="标题 4 Char"/>
    <w:link w:val="5"/>
    <w:qFormat/>
    <w:uiPriority w:val="0"/>
    <w:rPr>
      <w:rFonts w:ascii="Arial" w:hAnsi="Arial" w:eastAsia="仿宋"/>
      <w:b/>
      <w:bCs/>
      <w:sz w:val="28"/>
      <w:szCs w:val="28"/>
      <w:lang w:val="zh-CN"/>
    </w:rPr>
  </w:style>
  <w:style w:type="character" w:customStyle="1" w:styleId="118">
    <w:name w:val="font21"/>
    <w:basedOn w:val="28"/>
    <w:qFormat/>
    <w:uiPriority w:val="0"/>
    <w:rPr>
      <w:rFonts w:hint="eastAsia" w:ascii="宋体" w:hAnsi="宋体" w:eastAsia="宋体" w:cs="宋体"/>
      <w:color w:val="000000"/>
      <w:sz w:val="22"/>
      <w:szCs w:val="22"/>
      <w:u w:val="none"/>
    </w:rPr>
  </w:style>
  <w:style w:type="character" w:customStyle="1" w:styleId="119">
    <w:name w:val="NormalCharacter"/>
    <w:basedOn w:val="28"/>
    <w:qFormat/>
    <w:uiPriority w:val="0"/>
    <w:rPr>
      <w:rFonts w:hint="default" w:ascii="Calibri" w:hAnsi="Calibri" w:eastAsia="宋体" w:cs="Times New Roman"/>
      <w:kern w:val="2"/>
      <w:sz w:val="21"/>
      <w:szCs w:val="24"/>
      <w:lang w:val="en-US" w:eastAsia="zh-CN"/>
    </w:rPr>
  </w:style>
  <w:style w:type="paragraph" w:customStyle="1" w:styleId="120">
    <w:name w:val="*正文_11"/>
    <w:basedOn w:val="121"/>
    <w:next w:val="121"/>
    <w:qFormat/>
    <w:uiPriority w:val="0"/>
    <w:pPr>
      <w:widowControl/>
      <w:ind w:firstLine="482"/>
    </w:pPr>
    <w:rPr>
      <w:rFonts w:ascii="微软雅黑" w:hAnsi="微软雅黑" w:eastAsia="微软雅黑"/>
    </w:rPr>
  </w:style>
  <w:style w:type="paragraph" w:customStyle="1" w:styleId="121">
    <w:name w:val="正文_22"/>
    <w:next w:val="12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2">
    <w:name w:val="正文_23"/>
    <w:next w:val="1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标题 2_2"/>
    <w:basedOn w:val="122"/>
    <w:next w:val="122"/>
    <w:qFormat/>
    <w:uiPriority w:val="0"/>
    <w:pPr>
      <w:keepNext/>
      <w:keepLines/>
      <w:spacing w:line="416" w:lineRule="auto"/>
      <w:outlineLvl w:val="1"/>
    </w:pPr>
    <w:rPr>
      <w:rFonts w:ascii="Arial" w:hAnsi="Arial" w:eastAsia="黑体"/>
      <w:b/>
      <w:bCs/>
      <w:sz w:val="32"/>
      <w:szCs w:val="32"/>
    </w:rPr>
  </w:style>
  <w:style w:type="paragraph" w:customStyle="1" w:styleId="124">
    <w:name w:val="正文_22_0"/>
    <w:next w:val="12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
    <w:name w:val="Normal_5"/>
    <w:qFormat/>
    <w:uiPriority w:val="0"/>
    <w:rPr>
      <w:rFonts w:ascii="黑体" w:hAnsi="黑体" w:eastAsia="黑体" w:cs="Times New Roman"/>
      <w:b/>
      <w:sz w:val="32"/>
      <w:szCs w:val="24"/>
      <w:lang w:val="en-US" w:eastAsia="zh-CN" w:bidi="ar-SA"/>
    </w:rPr>
  </w:style>
  <w:style w:type="paragraph" w:customStyle="1" w:styleId="126">
    <w:name w:val="文档正文"/>
    <w:basedOn w:val="1"/>
    <w:qFormat/>
    <w:uiPriority w:val="0"/>
    <w:pPr>
      <w:adjustRightInd w:val="0"/>
      <w:spacing w:line="480" w:lineRule="atLeast"/>
      <w:ind w:firstLine="567"/>
      <w:textAlignment w:val="baseline"/>
    </w:pPr>
    <w:rPr>
      <w:rFonts w:ascii="仿宋_GB2312" w:eastAsia="仿宋_GB2312"/>
      <w:sz w:val="28"/>
    </w:rPr>
  </w:style>
  <w:style w:type="paragraph" w:customStyle="1" w:styleId="127">
    <w:name w:val="正文_17_0"/>
    <w:next w:val="1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8">
    <w:name w:val="标题 2_1_0"/>
    <w:basedOn w:val="127"/>
    <w:next w:val="129"/>
    <w:unhideWhenUsed/>
    <w:qFormat/>
    <w:uiPriority w:val="0"/>
    <w:pPr>
      <w:keepNext/>
      <w:keepLines/>
      <w:spacing w:before="260" w:after="260" w:line="415" w:lineRule="auto"/>
      <w:outlineLvl w:val="1"/>
    </w:pPr>
    <w:rPr>
      <w:rFonts w:ascii="Arial" w:hAnsi="Arial" w:eastAsia="黑体"/>
      <w:b/>
      <w:bCs/>
      <w:sz w:val="32"/>
      <w:szCs w:val="32"/>
    </w:rPr>
  </w:style>
  <w:style w:type="paragraph" w:customStyle="1" w:styleId="129">
    <w:name w:val="正文_14"/>
    <w:next w:val="1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0">
    <w:name w:val="正文_5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1">
    <w:name w:val="Normal_15_1"/>
    <w:qFormat/>
    <w:uiPriority w:val="0"/>
    <w:rPr>
      <w:rFonts w:ascii="黑体" w:hAnsi="黑体" w:eastAsia="黑体" w:cs="Times New Roman"/>
      <w:b/>
      <w:sz w:val="32"/>
      <w:szCs w:val="24"/>
      <w:lang w:val="en-US" w:eastAsia="zh-CN" w:bidi="ar-SA"/>
    </w:rPr>
  </w:style>
  <w:style w:type="paragraph" w:customStyle="1" w:styleId="132">
    <w:name w:val="Normal_18"/>
    <w:qFormat/>
    <w:uiPriority w:val="0"/>
    <w:rPr>
      <w:rFonts w:ascii="黑体" w:hAnsi="黑体" w:eastAsia="黑体" w:cs="Times New Roman"/>
      <w:b/>
      <w:sz w:val="32"/>
      <w:szCs w:val="24"/>
      <w:lang w:val="en-US" w:eastAsia="zh-CN" w:bidi="ar-SA"/>
    </w:rPr>
  </w:style>
  <w:style w:type="paragraph" w:customStyle="1" w:styleId="133">
    <w:name w:val="*正文_1_0"/>
    <w:basedOn w:val="130"/>
    <w:next w:val="130"/>
    <w:qFormat/>
    <w:uiPriority w:val="0"/>
    <w:pPr>
      <w:widowControl/>
      <w:ind w:firstLine="482"/>
    </w:pPr>
    <w:rPr>
      <w:rFonts w:ascii="微软雅黑" w:hAnsi="微软雅黑" w:eastAsia="微软雅黑"/>
      <w:kern w:val="0"/>
      <w:szCs w:val="20"/>
    </w:rPr>
  </w:style>
  <w:style w:type="paragraph" w:customStyle="1" w:styleId="134">
    <w:name w:val="正文_5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_4_0"/>
    <w:basedOn w:val="1"/>
    <w:next w:val="1"/>
    <w:qFormat/>
    <w:uiPriority w:val="0"/>
    <w:pPr>
      <w:widowControl/>
      <w:ind w:firstLine="482"/>
    </w:pPr>
    <w:rPr>
      <w:rFonts w:ascii="微软雅黑" w:hAnsi="微软雅黑" w:eastAsia="微软雅黑"/>
      <w:sz w:val="21"/>
    </w:rPr>
  </w:style>
  <w:style w:type="paragraph" w:customStyle="1" w:styleId="136">
    <w:name w:val="正文_6"/>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7">
    <w:name w:val="Normal_9"/>
    <w:qFormat/>
    <w:uiPriority w:val="0"/>
    <w:rPr>
      <w:rFonts w:ascii="黑体" w:hAnsi="黑体" w:eastAsia="黑体" w:cs="Times New Roman"/>
      <w:b/>
      <w:sz w:val="32"/>
      <w:szCs w:val="24"/>
      <w:lang w:val="en-US" w:eastAsia="zh-CN" w:bidi="ar-SA"/>
    </w:rPr>
  </w:style>
  <w:style w:type="paragraph" w:customStyle="1" w:styleId="138">
    <w:name w:val="正文_8"/>
    <w:next w:val="96"/>
    <w:qFormat/>
    <w:uiPriority w:val="0"/>
    <w:pPr>
      <w:widowControl w:val="0"/>
      <w:jc w:val="both"/>
    </w:pPr>
    <w:rPr>
      <w:rFonts w:ascii="Calibri" w:hAnsi="Calibri" w:eastAsia="宋体" w:cs="Times New Roman"/>
      <w:kern w:val="2"/>
      <w:sz w:val="21"/>
      <w:szCs w:val="22"/>
      <w:lang w:val="en-US" w:eastAsia="zh-CN" w:bidi="ar-SA"/>
    </w:rPr>
  </w:style>
  <w:style w:type="character" w:customStyle="1" w:styleId="139">
    <w:name w:val="hover18"/>
    <w:basedOn w:val="28"/>
    <w:qFormat/>
    <w:uiPriority w:val="0"/>
  </w:style>
  <w:style w:type="paragraph" w:customStyle="1" w:styleId="140">
    <w:name w:val="Table Paragraph"/>
    <w:basedOn w:val="1"/>
    <w:qFormat/>
    <w:uiPriority w:val="1"/>
    <w:rPr>
      <w:rFonts w:ascii="仿宋" w:hAnsi="仿宋" w:eastAsia="仿宋" w:cs="仿宋"/>
      <w:lang w:val="zh-CN" w:bidi="zh-CN"/>
    </w:rPr>
  </w:style>
  <w:style w:type="character" w:customStyle="1" w:styleId="141">
    <w:name w:val="font31"/>
    <w:basedOn w:val="28"/>
    <w:qFormat/>
    <w:uiPriority w:val="0"/>
    <w:rPr>
      <w:rFonts w:hint="eastAsia" w:ascii="仿宋" w:hAnsi="仿宋" w:eastAsia="仿宋" w:cs="仿宋"/>
      <w:color w:val="000000"/>
      <w:sz w:val="24"/>
      <w:szCs w:val="24"/>
      <w:u w:val="none"/>
    </w:rPr>
  </w:style>
  <w:style w:type="character" w:customStyle="1" w:styleId="142">
    <w:name w:val="标题 3 Char"/>
    <w:basedOn w:val="28"/>
    <w:link w:val="4"/>
    <w:qFormat/>
    <w:uiPriority w:val="1"/>
    <w:rPr>
      <w:rFonts w:eastAsia="仿宋"/>
      <w:b/>
      <w:bCs/>
      <w:sz w:val="30"/>
      <w:lang w:val="zh-CN"/>
    </w:rPr>
  </w:style>
  <w:style w:type="paragraph" w:styleId="143">
    <w:name w:val="List Paragraph"/>
    <w:basedOn w:val="1"/>
    <w:qFormat/>
    <w:uiPriority w:val="34"/>
    <w:pPr>
      <w:ind w:firstLine="420" w:firstLineChars="200"/>
    </w:pPr>
  </w:style>
  <w:style w:type="character" w:customStyle="1" w:styleId="144">
    <w:name w:val="hover"/>
    <w:basedOn w:val="28"/>
    <w:qFormat/>
    <w:uiPriority w:val="0"/>
    <w:rPr>
      <w:color w:val="2590EB"/>
    </w:rPr>
  </w:style>
  <w:style w:type="character" w:customStyle="1" w:styleId="145">
    <w:name w:val="hover1"/>
    <w:basedOn w:val="28"/>
    <w:qFormat/>
    <w:uiPriority w:val="0"/>
    <w:rPr>
      <w:color w:val="2590EB"/>
    </w:rPr>
  </w:style>
  <w:style w:type="character" w:customStyle="1" w:styleId="146">
    <w:name w:val="hover2"/>
    <w:basedOn w:val="28"/>
    <w:qFormat/>
    <w:uiPriority w:val="0"/>
  </w:style>
  <w:style w:type="character" w:customStyle="1" w:styleId="147">
    <w:name w:val="hover3"/>
    <w:basedOn w:val="28"/>
    <w:qFormat/>
    <w:uiPriority w:val="0"/>
    <w:rPr>
      <w:color w:val="2590EB"/>
      <w:shd w:val="clear" w:color="auto" w:fill="E9F4FD"/>
    </w:rPr>
  </w:style>
  <w:style w:type="character" w:customStyle="1" w:styleId="148">
    <w:name w:val="hover4"/>
    <w:basedOn w:val="28"/>
    <w:qFormat/>
    <w:uiPriority w:val="0"/>
    <w:rPr>
      <w:color w:val="2590EB"/>
      <w:shd w:val="clear" w:color="auto" w:fill="E9F4FD"/>
    </w:rPr>
  </w:style>
  <w:style w:type="character" w:customStyle="1" w:styleId="149">
    <w:name w:val="mini-outputtext1"/>
    <w:basedOn w:val="28"/>
    <w:qFormat/>
    <w:uiPriority w:val="0"/>
  </w:style>
  <w:style w:type="character" w:customStyle="1" w:styleId="150">
    <w:name w:val="批注框文本 Char"/>
    <w:basedOn w:val="28"/>
    <w:link w:val="14"/>
    <w:qFormat/>
    <w:uiPriority w:val="0"/>
    <w:rPr>
      <w:sz w:val="18"/>
      <w:szCs w:val="18"/>
    </w:rPr>
  </w:style>
  <w:style w:type="paragraph" w:customStyle="1" w:styleId="151">
    <w:name w:val="列表段落1"/>
    <w:basedOn w:val="1"/>
    <w:qFormat/>
    <w:uiPriority w:val="34"/>
    <w:pPr>
      <w:ind w:firstLine="420" w:firstLineChars="200"/>
    </w:pPr>
    <w:rPr>
      <w:rFonts w:ascii="Calibri" w:hAnsi="Calibri"/>
      <w:szCs w:val="22"/>
    </w:rPr>
  </w:style>
  <w:style w:type="character" w:customStyle="1" w:styleId="152">
    <w:name w:val="标题 4 字符"/>
    <w:link w:val="5"/>
    <w:qFormat/>
    <w:uiPriority w:val="0"/>
    <w:rPr>
      <w:rFonts w:ascii="Arial" w:hAnsi="Arial" w:eastAsia="仿宋"/>
      <w:b/>
      <w:bCs/>
      <w:sz w:val="28"/>
      <w:szCs w:val="28"/>
      <w:lang w:val="zh-CN"/>
    </w:rPr>
  </w:style>
  <w:style w:type="character" w:customStyle="1" w:styleId="153">
    <w:name w:val="first-child"/>
    <w:basedOn w:val="28"/>
    <w:qFormat/>
    <w:uiPriority w:val="0"/>
    <w:rPr>
      <w:color w:val="1F3149"/>
      <w:sz w:val="24"/>
      <w:szCs w:val="24"/>
    </w:rPr>
  </w:style>
  <w:style w:type="character" w:customStyle="1" w:styleId="154">
    <w:name w:val="first-child1"/>
    <w:basedOn w:val="28"/>
    <w:qFormat/>
    <w:uiPriority w:val="0"/>
    <w:rPr>
      <w:color w:val="1F3149"/>
      <w:sz w:val="24"/>
      <w:szCs w:val="24"/>
    </w:rPr>
  </w:style>
  <w:style w:type="character" w:customStyle="1" w:styleId="155">
    <w:name w:val="xiadan"/>
    <w:basedOn w:val="28"/>
    <w:qFormat/>
    <w:uiPriority w:val="0"/>
    <w:rPr>
      <w:shd w:val="clear" w:fill="E4393C"/>
    </w:rPr>
  </w:style>
  <w:style w:type="character" w:customStyle="1" w:styleId="156">
    <w:name w:val="fr"/>
    <w:basedOn w:val="28"/>
    <w:qFormat/>
    <w:uiPriority w:val="0"/>
  </w:style>
  <w:style w:type="character" w:customStyle="1" w:styleId="157">
    <w:name w:val="icon_ds"/>
    <w:basedOn w:val="28"/>
    <w:qFormat/>
    <w:uiPriority w:val="0"/>
  </w:style>
  <w:style w:type="character" w:customStyle="1" w:styleId="158">
    <w:name w:val="icon_ds1"/>
    <w:basedOn w:val="28"/>
    <w:qFormat/>
    <w:uiPriority w:val="0"/>
    <w:rPr>
      <w:sz w:val="21"/>
      <w:szCs w:val="21"/>
    </w:rPr>
  </w:style>
  <w:style w:type="character" w:customStyle="1" w:styleId="159">
    <w:name w:val="icon_gys"/>
    <w:basedOn w:val="28"/>
    <w:qFormat/>
    <w:uiPriority w:val="0"/>
    <w:rPr>
      <w:sz w:val="21"/>
      <w:szCs w:val="21"/>
    </w:rPr>
  </w:style>
  <w:style w:type="character" w:customStyle="1" w:styleId="160">
    <w:name w:val="font112"/>
    <w:basedOn w:val="28"/>
    <w:qFormat/>
    <w:uiPriority w:val="0"/>
    <w:rPr>
      <w:rFonts w:hint="eastAsia" w:ascii="微软雅黑" w:hAnsi="微软雅黑" w:eastAsia="微软雅黑" w:cs="微软雅黑"/>
      <w:color w:val="FF0000"/>
      <w:sz w:val="16"/>
      <w:szCs w:val="16"/>
      <w:u w:val="none"/>
    </w:rPr>
  </w:style>
  <w:style w:type="character" w:customStyle="1" w:styleId="161">
    <w:name w:val="font51"/>
    <w:basedOn w:val="28"/>
    <w:qFormat/>
    <w:uiPriority w:val="0"/>
    <w:rPr>
      <w:rFonts w:hint="eastAsia" w:ascii="微软雅黑" w:hAnsi="微软雅黑" w:eastAsia="微软雅黑" w:cs="微软雅黑"/>
      <w:color w:val="000000"/>
      <w:sz w:val="16"/>
      <w:szCs w:val="16"/>
      <w:u w:val="none"/>
    </w:rPr>
  </w:style>
  <w:style w:type="character" w:customStyle="1" w:styleId="162">
    <w:name w:val="font121"/>
    <w:basedOn w:val="28"/>
    <w:qFormat/>
    <w:uiPriority w:val="0"/>
    <w:rPr>
      <w:rFonts w:hint="eastAsia" w:ascii="微软雅黑" w:hAnsi="微软雅黑" w:eastAsia="微软雅黑" w:cs="微软雅黑"/>
      <w:color w:val="FF0000"/>
      <w:sz w:val="20"/>
      <w:szCs w:val="20"/>
      <w:u w:val="none"/>
    </w:rPr>
  </w:style>
  <w:style w:type="character" w:customStyle="1" w:styleId="163">
    <w:name w:val="font41"/>
    <w:basedOn w:val="28"/>
    <w:qFormat/>
    <w:uiPriority w:val="0"/>
    <w:rPr>
      <w:rFonts w:hint="eastAsia" w:ascii="微软雅黑" w:hAnsi="微软雅黑" w:eastAsia="微软雅黑" w:cs="微软雅黑"/>
      <w:color w:val="000000"/>
      <w:sz w:val="20"/>
      <w:szCs w:val="20"/>
      <w:u w:val="none"/>
    </w:rPr>
  </w:style>
  <w:style w:type="character" w:customStyle="1" w:styleId="164">
    <w:name w:val="font131"/>
    <w:basedOn w:val="28"/>
    <w:qFormat/>
    <w:uiPriority w:val="0"/>
    <w:rPr>
      <w:rFonts w:ascii="Calibri" w:hAnsi="Calibri" w:cs="Calibri"/>
      <w:color w:val="000000"/>
      <w:sz w:val="20"/>
      <w:szCs w:val="20"/>
      <w:u w:val="none"/>
    </w:rPr>
  </w:style>
  <w:style w:type="character" w:customStyle="1" w:styleId="165">
    <w:name w:val="font81"/>
    <w:basedOn w:val="28"/>
    <w:qFormat/>
    <w:uiPriority w:val="0"/>
    <w:rPr>
      <w:rFonts w:hint="eastAsia" w:ascii="微软雅黑" w:hAnsi="微软雅黑" w:eastAsia="微软雅黑" w:cs="微软雅黑"/>
      <w:color w:val="000000"/>
      <w:sz w:val="20"/>
      <w:szCs w:val="20"/>
      <w:u w:val="none"/>
    </w:rPr>
  </w:style>
  <w:style w:type="character" w:customStyle="1" w:styleId="166">
    <w:name w:val="font01"/>
    <w:basedOn w:val="28"/>
    <w:qFormat/>
    <w:uiPriority w:val="0"/>
    <w:rPr>
      <w:rFonts w:hint="default" w:ascii="Arial" w:hAnsi="Arial" w:cs="Arial"/>
      <w:color w:val="000000"/>
      <w:sz w:val="20"/>
      <w:szCs w:val="20"/>
      <w:u w:val="none"/>
    </w:rPr>
  </w:style>
  <w:style w:type="character" w:customStyle="1" w:styleId="167">
    <w:name w:val="font101"/>
    <w:basedOn w:val="28"/>
    <w:qFormat/>
    <w:uiPriority w:val="0"/>
    <w:rPr>
      <w:rFonts w:hint="eastAsia" w:ascii="宋体" w:hAnsi="宋体" w:eastAsia="宋体" w:cs="宋体"/>
      <w:color w:val="000000"/>
      <w:sz w:val="20"/>
      <w:szCs w:val="20"/>
      <w:u w:val="none"/>
    </w:rPr>
  </w:style>
  <w:style w:type="character" w:customStyle="1" w:styleId="168">
    <w:name w:val="font141"/>
    <w:basedOn w:val="28"/>
    <w:qFormat/>
    <w:uiPriority w:val="0"/>
    <w:rPr>
      <w:rFonts w:ascii="Noto Sans SC" w:hAnsi="Noto Sans SC" w:eastAsia="Noto Sans SC" w:cs="Noto Sans SC"/>
      <w:color w:val="000000"/>
      <w:sz w:val="20"/>
      <w:szCs w:val="20"/>
      <w:u w:val="none"/>
    </w:rPr>
  </w:style>
  <w:style w:type="character" w:customStyle="1" w:styleId="169">
    <w:name w:val="font151"/>
    <w:basedOn w:val="28"/>
    <w:qFormat/>
    <w:uiPriority w:val="0"/>
    <w:rPr>
      <w:rFonts w:hint="eastAsia" w:ascii="宋体" w:hAnsi="宋体" w:eastAsia="宋体" w:cs="宋体"/>
      <w:color w:val="FF0000"/>
      <w:sz w:val="20"/>
      <w:szCs w:val="20"/>
      <w:u w:val="none"/>
    </w:rPr>
  </w:style>
  <w:style w:type="character" w:customStyle="1" w:styleId="170">
    <w:name w:val="font161"/>
    <w:basedOn w:val="28"/>
    <w:qFormat/>
    <w:uiPriority w:val="0"/>
    <w:rPr>
      <w:rFonts w:ascii="Segoe UI Symbol" w:hAnsi="Segoe UI Symbol" w:eastAsia="Segoe UI Symbol" w:cs="Segoe UI Symbol"/>
      <w:color w:val="000000"/>
      <w:sz w:val="20"/>
      <w:szCs w:val="20"/>
      <w:u w:val="none"/>
    </w:rPr>
  </w:style>
  <w:style w:type="paragraph" w:customStyle="1" w:styleId="171">
    <w:name w:val="正文_17"/>
    <w:next w:val="17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2">
    <w:name w:val="标题 2_2_0"/>
    <w:basedOn w:val="171"/>
    <w:next w:val="171"/>
    <w:unhideWhenUsed/>
    <w:qFormat/>
    <w:uiPriority w:val="0"/>
    <w:pPr>
      <w:keepNext/>
      <w:keepLines/>
      <w:spacing w:before="260" w:after="260" w:line="415" w:lineRule="auto"/>
      <w:outlineLvl w:val="1"/>
    </w:pPr>
    <w:rPr>
      <w:rFonts w:ascii="Arial" w:hAnsi="Arial" w:eastAsia="黑体"/>
      <w:b/>
      <w:bCs/>
      <w:sz w:val="32"/>
      <w:szCs w:val="32"/>
    </w:rPr>
  </w:style>
  <w:style w:type="paragraph" w:customStyle="1" w:styleId="173">
    <w:name w:val="无间隔1"/>
    <w:qFormat/>
    <w:uiPriority w:val="0"/>
    <w:pPr>
      <w:widowControl w:val="0"/>
      <w:spacing w:line="360" w:lineRule="auto"/>
      <w:jc w:val="both"/>
    </w:pPr>
    <w:rPr>
      <w:rFonts w:ascii="Times New Roman" w:hAnsi="Times New Roman" w:eastAsia="宋体" w:cs="Times New Roman"/>
      <w:sz w:val="24"/>
      <w:lang w:bidi="ar-SA"/>
    </w:rPr>
  </w:style>
  <w:style w:type="paragraph" w:customStyle="1" w:styleId="174">
    <w:name w:val="*正文_4_0_0"/>
    <w:basedOn w:val="175"/>
    <w:next w:val="175"/>
    <w:qFormat/>
    <w:uiPriority w:val="0"/>
    <w:pPr>
      <w:widowControl/>
      <w:ind w:firstLine="482"/>
    </w:pPr>
    <w:rPr>
      <w:rFonts w:ascii="微软雅黑" w:hAnsi="微软雅黑" w:eastAsia="微软雅黑"/>
      <w:kern w:val="0"/>
      <w:szCs w:val="20"/>
    </w:rPr>
  </w:style>
  <w:style w:type="paragraph" w:customStyle="1" w:styleId="175">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6">
    <w:name w:val="正文缩进_0"/>
    <w:basedOn w:val="138"/>
    <w:unhideWhenUsed/>
    <w:qFormat/>
    <w:uiPriority w:val="0"/>
    <w:pPr>
      <w:ind w:firstLine="420" w:firstLineChars="200"/>
    </w:pPr>
    <w:rPr>
      <w:rFonts w:ascii="Calibri" w:hAnsi="Calibri" w:eastAsia="宋体"/>
    </w:rPr>
  </w:style>
  <w:style w:type="paragraph" w:customStyle="1" w:styleId="177">
    <w:name w:val="_Style 2"/>
    <w:qFormat/>
    <w:uiPriority w:val="1"/>
    <w:rPr>
      <w:rFonts w:ascii="Times New Roman" w:hAnsi="Times New Roman" w:eastAsia="宋体" w:cs="Times New Roman"/>
      <w:sz w:val="22"/>
      <w:szCs w:val="22"/>
      <w:lang w:val="en-US" w:eastAsia="zh-CN" w:bidi="ar-SA"/>
    </w:rPr>
  </w:style>
  <w:style w:type="paragraph" w:customStyle="1" w:styleId="178">
    <w:name w:val="WPSOffice手动目录 1"/>
    <w:qFormat/>
    <w:uiPriority w:val="0"/>
    <w:pPr>
      <w:ind w:leftChars="0"/>
    </w:pPr>
    <w:rPr>
      <w:rFonts w:ascii="Times New Roman" w:hAnsi="Times New Roman" w:eastAsia="宋体" w:cs="Times New Roman"/>
      <w:sz w:val="20"/>
      <w:szCs w:val="20"/>
    </w:rPr>
  </w:style>
  <w:style w:type="paragraph" w:customStyle="1" w:styleId="179">
    <w:name w:val="WPSOffice手动目录 2"/>
    <w:qFormat/>
    <w:uiPriority w:val="0"/>
    <w:pPr>
      <w:ind w:leftChars="200"/>
    </w:pPr>
    <w:rPr>
      <w:rFonts w:ascii="Times New Roman" w:hAnsi="Times New Roman" w:eastAsia="宋体" w:cs="Times New Roman"/>
      <w:sz w:val="20"/>
      <w:szCs w:val="20"/>
    </w:rPr>
  </w:style>
  <w:style w:type="paragraph" w:customStyle="1" w:styleId="180">
    <w:name w:val="_Style 35"/>
    <w:basedOn w:val="1"/>
    <w:next w:val="143"/>
    <w:qFormat/>
    <w:uiPriority w:val="34"/>
    <w:pPr>
      <w:widowControl/>
      <w:ind w:firstLine="420" w:firstLineChars="200"/>
      <w:jc w:val="left"/>
    </w:pPr>
    <w:rPr>
      <w:rFonts w:ascii="Times New Roman" w:hAnsi="Times New Roman"/>
      <w:kern w:val="0"/>
      <w:sz w:val="24"/>
    </w:rPr>
  </w:style>
  <w:style w:type="paragraph" w:customStyle="1" w:styleId="181">
    <w:name w:val="正文文本 2_1"/>
    <w:basedOn w:val="100"/>
    <w:unhideWhenUsed/>
    <w:qFormat/>
    <w:uiPriority w:val="0"/>
    <w:pPr>
      <w:spacing w:after="120" w:line="480" w:lineRule="auto"/>
    </w:pPr>
    <w:rPr>
      <w:rFonts w:ascii="Times New Roman" w:hAnsi="Times New Roman"/>
      <w:szCs w:val="24"/>
    </w:rPr>
  </w:style>
  <w:style w:type="paragraph" w:customStyle="1" w:styleId="182">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3">
    <w:name w:val="*正文_8"/>
    <w:basedOn w:val="184"/>
    <w:next w:val="184"/>
    <w:qFormat/>
    <w:uiPriority w:val="0"/>
    <w:pPr>
      <w:widowControl/>
      <w:ind w:firstLine="482"/>
    </w:pPr>
    <w:rPr>
      <w:rFonts w:ascii="微软雅黑" w:hAnsi="微软雅黑" w:eastAsia="微软雅黑"/>
      <w:kern w:val="0"/>
      <w:szCs w:val="20"/>
    </w:rPr>
  </w:style>
  <w:style w:type="paragraph" w:customStyle="1" w:styleId="184">
    <w:name w:val="正文_13_0"/>
    <w:next w:val="129"/>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河南省伟信招标管理咨询有限公司</Company>
  <Pages>85</Pages>
  <Words>2363</Words>
  <Characters>2757</Characters>
  <Lines>58</Lines>
  <Paragraphs>64</Paragraphs>
  <TotalTime>0</TotalTime>
  <ScaleCrop>false</ScaleCrop>
  <LinksUpToDate>false</LinksUpToDate>
  <CharactersWithSpaces>2938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2022-10-14T09:54:00Z</dcterms:created>
  <dc:creator>时光</dc:creator>
  <cp:lastModifiedBy>NTKO</cp:lastModifiedBy>
  <cp:lastPrinted>2024-12-05T07:01:00Z</cp:lastPrinted>
  <dcterms:modified xsi:type="dcterms:W3CDTF">2025-09-17T01:25:26Z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7420A4B869494B5CBB66DB8DB309E642_13</vt:lpwstr>
  </property>
  <property fmtid="{D5CDD505-2E9C-101B-9397-08002B2CF9AE}" pid="4" name="KSOTemplateDocerSaveRecord">
    <vt:lpwstr>eyJoZGlkIjoiYWMzMzE4MzlkOWU2NmMyNTg1NzE5ZGQzYjFhYWNkMjYiLCJ1c2VySWQiOiIxMTUwMjc0MTgxIn0=</vt:lpwstr>
  </property>
</Properties>
</file>