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29193">
      <w:pPr>
        <w:spacing w:line="360" w:lineRule="auto"/>
        <w:jc w:val="center"/>
        <w:rPr>
          <w:b/>
          <w:bCs/>
          <w:color w:val="auto"/>
          <w:sz w:val="56"/>
          <w:szCs w:val="56"/>
          <w:highlight w:val="none"/>
        </w:rPr>
      </w:pPr>
      <w:bookmarkStart w:id="1108" w:name="_GoBack"/>
      <w:bookmarkEnd w:id="1108"/>
    </w:p>
    <w:p w14:paraId="403FCE85">
      <w:pPr>
        <w:pStyle w:val="46"/>
        <w:ind w:left="0" w:leftChars="0" w:firstLine="0" w:firstLineChars="0"/>
        <w:jc w:val="center"/>
        <w:rPr>
          <w:rFonts w:hint="eastAsia" w:eastAsia="宋体"/>
          <w:color w:val="auto"/>
          <w:highlight w:val="none"/>
          <w:lang w:eastAsia="zh-CN"/>
        </w:rPr>
      </w:pPr>
      <w:r>
        <w:rPr>
          <w:rFonts w:hint="eastAsia"/>
          <w:b/>
          <w:bCs/>
          <w:color w:val="auto"/>
          <w:sz w:val="56"/>
          <w:szCs w:val="56"/>
          <w:highlight w:val="none"/>
          <w:lang w:eastAsia="zh-CN"/>
        </w:rPr>
        <w:t>中原工学院龙湖校区会议中心建设及配套设备采购项目</w:t>
      </w:r>
    </w:p>
    <w:p w14:paraId="77858C66">
      <w:pPr>
        <w:rPr>
          <w:color w:val="auto"/>
          <w:highlight w:val="none"/>
        </w:rPr>
      </w:pPr>
    </w:p>
    <w:p w14:paraId="10B3360D">
      <w:pPr>
        <w:rPr>
          <w:color w:val="auto"/>
          <w:highlight w:val="none"/>
        </w:rPr>
      </w:pPr>
    </w:p>
    <w:p w14:paraId="1B34C948">
      <w:pPr>
        <w:spacing w:line="360" w:lineRule="auto"/>
        <w:jc w:val="center"/>
        <w:rPr>
          <w:rFonts w:hint="eastAsia"/>
          <w:b/>
          <w:color w:val="auto"/>
          <w:sz w:val="72"/>
          <w:szCs w:val="72"/>
          <w:highlight w:val="none"/>
        </w:rPr>
      </w:pPr>
    </w:p>
    <w:p w14:paraId="2A3F22B2">
      <w:pPr>
        <w:spacing w:line="360" w:lineRule="auto"/>
        <w:jc w:val="center"/>
        <w:rPr>
          <w:b/>
          <w:color w:val="auto"/>
          <w:sz w:val="32"/>
          <w:szCs w:val="32"/>
          <w:highlight w:val="none"/>
        </w:rPr>
      </w:pPr>
      <w:r>
        <w:rPr>
          <w:rFonts w:hint="eastAsia"/>
          <w:b/>
          <w:color w:val="auto"/>
          <w:sz w:val="72"/>
          <w:szCs w:val="72"/>
          <w:highlight w:val="none"/>
        </w:rPr>
        <w:t>竞争性磋商文件</w:t>
      </w:r>
    </w:p>
    <w:p w14:paraId="5AFF1A6A">
      <w:pPr>
        <w:tabs>
          <w:tab w:val="left" w:pos="3104"/>
        </w:tabs>
        <w:spacing w:line="360" w:lineRule="auto"/>
        <w:jc w:val="center"/>
        <w:rPr>
          <w:b/>
          <w:color w:val="auto"/>
          <w:sz w:val="40"/>
          <w:szCs w:val="40"/>
          <w:highlight w:val="none"/>
        </w:rPr>
      </w:pPr>
    </w:p>
    <w:p w14:paraId="7FD2D6A0">
      <w:pPr>
        <w:pStyle w:val="46"/>
        <w:rPr>
          <w:b/>
          <w:color w:val="auto"/>
          <w:sz w:val="40"/>
          <w:szCs w:val="40"/>
          <w:highlight w:val="none"/>
        </w:rPr>
      </w:pPr>
    </w:p>
    <w:p w14:paraId="2CC3509E">
      <w:pPr>
        <w:rPr>
          <w:b/>
          <w:color w:val="auto"/>
          <w:sz w:val="40"/>
          <w:szCs w:val="40"/>
          <w:highlight w:val="none"/>
        </w:rPr>
      </w:pPr>
    </w:p>
    <w:p w14:paraId="4CA210B3">
      <w:pPr>
        <w:pStyle w:val="46"/>
        <w:rPr>
          <w:color w:val="auto"/>
          <w:highlight w:val="none"/>
        </w:rPr>
      </w:pPr>
    </w:p>
    <w:p w14:paraId="13963C8A">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b/>
          <w:bCs/>
          <w:color w:val="auto"/>
          <w:spacing w:val="-3"/>
          <w:sz w:val="28"/>
          <w:szCs w:val="28"/>
          <w:highlight w:val="none"/>
          <w:lang w:eastAsia="zh-CN"/>
        </w:rPr>
      </w:pPr>
      <w:r>
        <w:rPr>
          <w:rFonts w:ascii="宋体" w:hAnsi="宋体" w:eastAsia="宋体" w:cs="宋体"/>
          <w:b/>
          <w:bCs/>
          <w:color w:val="auto"/>
          <w:spacing w:val="-3"/>
          <w:sz w:val="28"/>
          <w:szCs w:val="28"/>
          <w:highlight w:val="none"/>
        </w:rPr>
        <w:t>采购编号：豫财磋商采购-2025-1025</w:t>
      </w:r>
    </w:p>
    <w:p w14:paraId="6F4096DE">
      <w:pPr>
        <w:pStyle w:val="69"/>
        <w:rPr>
          <w:color w:val="auto"/>
          <w:highlight w:val="none"/>
        </w:rPr>
      </w:pPr>
    </w:p>
    <w:p w14:paraId="288664BD">
      <w:pPr>
        <w:rPr>
          <w:color w:val="auto"/>
          <w:highlight w:val="none"/>
        </w:rPr>
      </w:pPr>
    </w:p>
    <w:p w14:paraId="0E174EE6">
      <w:pPr>
        <w:pStyle w:val="46"/>
        <w:rPr>
          <w:color w:val="auto"/>
          <w:highlight w:val="none"/>
        </w:rPr>
      </w:pPr>
    </w:p>
    <w:p w14:paraId="65BBB112">
      <w:pPr>
        <w:jc w:val="center"/>
        <w:rPr>
          <w:color w:val="auto"/>
          <w:highlight w:val="none"/>
        </w:rPr>
      </w:pPr>
    </w:p>
    <w:p w14:paraId="0D01E258">
      <w:pPr>
        <w:pStyle w:val="18"/>
        <w:ind w:left="63" w:right="63"/>
        <w:rPr>
          <w:color w:val="auto"/>
          <w:highlight w:val="none"/>
        </w:rPr>
      </w:pPr>
    </w:p>
    <w:p w14:paraId="7F2F5D2A">
      <w:pPr>
        <w:rPr>
          <w:color w:val="auto"/>
          <w:highlight w:val="none"/>
        </w:rPr>
      </w:pPr>
    </w:p>
    <w:p w14:paraId="5310F2AF">
      <w:pPr>
        <w:pStyle w:val="45"/>
        <w:ind w:firstLine="210"/>
        <w:rPr>
          <w:color w:val="auto"/>
          <w:highlight w:val="none"/>
        </w:rPr>
      </w:pPr>
    </w:p>
    <w:p w14:paraId="1C0D895B">
      <w:pPr>
        <w:pStyle w:val="46"/>
        <w:rPr>
          <w:color w:val="auto"/>
          <w:highlight w:val="none"/>
        </w:rPr>
      </w:pPr>
    </w:p>
    <w:p w14:paraId="3C76E67D">
      <w:pPr>
        <w:spacing w:line="600" w:lineRule="auto"/>
        <w:ind w:firstLine="470" w:firstLineChars="147"/>
        <w:rPr>
          <w:rFonts w:hint="eastAsia" w:eastAsia="宋体"/>
          <w:b/>
          <w:bCs/>
          <w:color w:val="auto"/>
          <w:sz w:val="32"/>
          <w:szCs w:val="32"/>
          <w:highlight w:val="none"/>
          <w:lang w:eastAsia="zh-CN"/>
        </w:rPr>
      </w:pPr>
      <w:r>
        <w:rPr>
          <w:rFonts w:hint="eastAsia"/>
          <w:b/>
          <w:bCs/>
          <w:color w:val="auto"/>
          <w:sz w:val="32"/>
          <w:szCs w:val="32"/>
          <w:highlight w:val="none"/>
        </w:rPr>
        <w:t>采   购   人：</w:t>
      </w:r>
      <w:r>
        <w:rPr>
          <w:rFonts w:hint="eastAsia"/>
          <w:b/>
          <w:bCs/>
          <w:color w:val="auto"/>
          <w:sz w:val="32"/>
          <w:szCs w:val="32"/>
          <w:highlight w:val="none"/>
          <w:lang w:eastAsia="zh-CN"/>
        </w:rPr>
        <w:t>中原工学院</w:t>
      </w:r>
    </w:p>
    <w:p w14:paraId="5828F07E">
      <w:pPr>
        <w:spacing w:line="600" w:lineRule="auto"/>
        <w:ind w:firstLine="470" w:firstLineChars="147"/>
        <w:rPr>
          <w:rFonts w:hint="eastAsia" w:eastAsia="宋体"/>
          <w:b/>
          <w:bCs/>
          <w:color w:val="auto"/>
          <w:sz w:val="32"/>
          <w:szCs w:val="32"/>
          <w:highlight w:val="none"/>
          <w:lang w:eastAsia="zh-CN"/>
        </w:rPr>
      </w:pPr>
      <w:r>
        <w:rPr>
          <w:rFonts w:hint="eastAsia"/>
          <w:b/>
          <w:bCs/>
          <w:color w:val="auto"/>
          <w:sz w:val="32"/>
          <w:szCs w:val="32"/>
          <w:highlight w:val="none"/>
        </w:rPr>
        <w:t>采购代理机构：</w:t>
      </w:r>
      <w:r>
        <w:rPr>
          <w:rFonts w:hint="eastAsia"/>
          <w:b/>
          <w:bCs/>
          <w:color w:val="auto"/>
          <w:sz w:val="32"/>
          <w:szCs w:val="32"/>
          <w:highlight w:val="none"/>
          <w:lang w:eastAsia="zh-CN"/>
        </w:rPr>
        <w:t>河南良智行工程管理咨询有限公司</w:t>
      </w:r>
    </w:p>
    <w:p w14:paraId="726F177B">
      <w:pPr>
        <w:spacing w:line="600" w:lineRule="auto"/>
        <w:ind w:firstLine="470" w:firstLineChars="147"/>
        <w:rPr>
          <w:b/>
          <w:bCs/>
          <w:color w:val="auto"/>
          <w:sz w:val="32"/>
          <w:szCs w:val="32"/>
          <w:highlight w:val="none"/>
        </w:rPr>
      </w:pPr>
      <w:r>
        <w:rPr>
          <w:rFonts w:hint="eastAsia"/>
          <w:b/>
          <w:bCs/>
          <w:color w:val="auto"/>
          <w:sz w:val="32"/>
          <w:szCs w:val="32"/>
          <w:highlight w:val="none"/>
        </w:rPr>
        <w:t>日         期：二〇二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九</w:t>
      </w:r>
      <w:r>
        <w:rPr>
          <w:rFonts w:hint="eastAsia"/>
          <w:b/>
          <w:bCs/>
          <w:color w:val="auto"/>
          <w:sz w:val="32"/>
          <w:szCs w:val="32"/>
          <w:highlight w:val="none"/>
        </w:rPr>
        <w:t>月</w:t>
      </w:r>
    </w:p>
    <w:p w14:paraId="772EBF12">
      <w:pPr>
        <w:pStyle w:val="27"/>
        <w:spacing w:beforeLines="100" w:afterLines="100" w:line="600" w:lineRule="exact"/>
        <w:rPr>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417" w:bottom="1417" w:left="1417" w:header="624" w:footer="641" w:gutter="0"/>
          <w:pgNumType w:start="1"/>
          <w:cols w:space="720" w:num="1"/>
          <w:titlePg/>
          <w:docGrid w:type="linesAndChars" w:linePitch="312" w:charSpace="0"/>
        </w:sectPr>
      </w:pPr>
    </w:p>
    <w:p w14:paraId="429F6082">
      <w:pPr>
        <w:jc w:val="center"/>
        <w:rPr>
          <w:b/>
          <w:bCs/>
          <w:color w:val="auto"/>
          <w:sz w:val="28"/>
          <w:szCs w:val="28"/>
          <w:highlight w:val="none"/>
        </w:rPr>
      </w:pPr>
      <w:bookmarkStart w:id="0" w:name="_Toc65662285"/>
      <w:bookmarkStart w:id="1" w:name="_Toc15390"/>
      <w:bookmarkStart w:id="2" w:name="_Toc1180"/>
      <w:bookmarkStart w:id="3" w:name="_Toc65662006"/>
      <w:r>
        <w:rPr>
          <w:rFonts w:hint="eastAsia"/>
          <w:b/>
          <w:bCs/>
          <w:color w:val="auto"/>
          <w:sz w:val="28"/>
          <w:szCs w:val="28"/>
          <w:highlight w:val="none"/>
        </w:rPr>
        <w:t>目   录</w:t>
      </w:r>
    </w:p>
    <w:p w14:paraId="134FA3E6">
      <w:pPr>
        <w:pStyle w:val="46"/>
        <w:rPr>
          <w:color w:val="auto"/>
          <w:highlight w:val="none"/>
        </w:rPr>
      </w:pPr>
    </w:p>
    <w:p w14:paraId="72C31616">
      <w:pPr>
        <w:pStyle w:val="34"/>
        <w:tabs>
          <w:tab w:val="right" w:leader="dot" w:pos="9073"/>
        </w:tabs>
        <w:spacing w:line="360" w:lineRule="auto"/>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TOC \o "1-3" \h \u </w:instrText>
      </w:r>
      <w:r>
        <w:rPr>
          <w:rFonts w:hint="eastAsia"/>
          <w:color w:val="auto"/>
          <w:sz w:val="28"/>
          <w:szCs w:val="28"/>
          <w:highlight w:val="none"/>
        </w:rPr>
        <w:fldChar w:fldCharType="separate"/>
      </w:r>
      <w:r>
        <w:rPr>
          <w:color w:val="auto"/>
          <w:highlight w:val="none"/>
        </w:rPr>
        <w:fldChar w:fldCharType="begin"/>
      </w:r>
      <w:r>
        <w:rPr>
          <w:color w:val="auto"/>
          <w:highlight w:val="none"/>
        </w:rPr>
        <w:instrText xml:space="preserve"> HYPERLINK \l "_Toc7996" </w:instrText>
      </w:r>
      <w:r>
        <w:rPr>
          <w:color w:val="auto"/>
          <w:highlight w:val="none"/>
        </w:rPr>
        <w:fldChar w:fldCharType="separate"/>
      </w:r>
      <w:r>
        <w:rPr>
          <w:rFonts w:hint="eastAsia" w:ascii="黑体" w:hAnsi="黑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_Toc7996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7E0DA3F5">
      <w:pPr>
        <w:pStyle w:val="34"/>
        <w:tabs>
          <w:tab w:val="right" w:leader="dot" w:pos="9073"/>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"_Toc1931" </w:instrText>
      </w:r>
      <w:r>
        <w:rPr>
          <w:color w:val="auto"/>
          <w:highlight w:val="none"/>
        </w:rPr>
        <w:fldChar w:fldCharType="separate"/>
      </w:r>
      <w:r>
        <w:rPr>
          <w:rFonts w:hint="eastAsia"/>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_Toc1931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28E9B64D">
      <w:pPr>
        <w:pStyle w:val="34"/>
        <w:tabs>
          <w:tab w:val="right" w:leader="dot" w:pos="9073"/>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"_Toc14509" </w:instrText>
      </w:r>
      <w:r>
        <w:rPr>
          <w:color w:val="auto"/>
          <w:highlight w:val="none"/>
        </w:rPr>
        <w:fldChar w:fldCharType="separate"/>
      </w:r>
      <w:r>
        <w:rPr>
          <w:rFonts w:hint="eastAsia"/>
          <w:bCs/>
          <w:color w:val="auto"/>
          <w:sz w:val="28"/>
          <w:szCs w:val="28"/>
          <w:highlight w:val="none"/>
        </w:rPr>
        <w:t>第三章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_Toc14509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14:paraId="03445662">
      <w:pPr>
        <w:pStyle w:val="34"/>
        <w:tabs>
          <w:tab w:val="right" w:leader="dot" w:pos="9073"/>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"_Toc1338" </w:instrText>
      </w:r>
      <w:r>
        <w:rPr>
          <w:color w:val="auto"/>
          <w:highlight w:val="none"/>
        </w:rPr>
        <w:fldChar w:fldCharType="separate"/>
      </w:r>
      <w:r>
        <w:rPr>
          <w:rFonts w:hint="eastAsia"/>
          <w:bCs/>
          <w:color w:val="auto"/>
          <w:sz w:val="28"/>
          <w:szCs w:val="28"/>
          <w:highlight w:val="none"/>
        </w:rPr>
        <w:t>第四章 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_Toc1338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color w:val="auto"/>
          <w:sz w:val="28"/>
          <w:szCs w:val="28"/>
          <w:highlight w:val="none"/>
        </w:rPr>
        <w:fldChar w:fldCharType="end"/>
      </w:r>
    </w:p>
    <w:p w14:paraId="25D7CBE2">
      <w:pPr>
        <w:pStyle w:val="34"/>
        <w:tabs>
          <w:tab w:val="right" w:leader="dot" w:pos="9073"/>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"_Toc31100" </w:instrText>
      </w:r>
      <w:r>
        <w:rPr>
          <w:color w:val="auto"/>
          <w:highlight w:val="none"/>
        </w:rPr>
        <w:fldChar w:fldCharType="separate"/>
      </w:r>
      <w:r>
        <w:rPr>
          <w:rFonts w:hint="eastAsia"/>
          <w:color w:val="auto"/>
          <w:sz w:val="28"/>
          <w:szCs w:val="28"/>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_Toc31100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color w:val="auto"/>
          <w:sz w:val="28"/>
          <w:szCs w:val="28"/>
          <w:highlight w:val="none"/>
        </w:rPr>
        <w:fldChar w:fldCharType="end"/>
      </w:r>
    </w:p>
    <w:p w14:paraId="11BE7D7C">
      <w:pPr>
        <w:pStyle w:val="34"/>
        <w:tabs>
          <w:tab w:val="right" w:leader="dot" w:pos="9073"/>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"_Toc26770" </w:instrText>
      </w:r>
      <w:r>
        <w:rPr>
          <w:color w:val="auto"/>
          <w:highlight w:val="none"/>
        </w:rPr>
        <w:fldChar w:fldCharType="separate"/>
      </w:r>
      <w:r>
        <w:rPr>
          <w:rFonts w:hint="eastAsia"/>
          <w:color w:val="auto"/>
          <w:sz w:val="28"/>
          <w:szCs w:val="28"/>
          <w:highlight w:val="none"/>
        </w:rPr>
        <w:t>第六章 磋商响应文件格式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_Toc26770 \h </w:instrText>
      </w:r>
      <w:r>
        <w:rPr>
          <w:color w:val="auto"/>
          <w:sz w:val="28"/>
          <w:szCs w:val="28"/>
          <w:highlight w:val="none"/>
        </w:rPr>
        <w:fldChar w:fldCharType="separate"/>
      </w:r>
      <w:r>
        <w:rPr>
          <w:color w:val="auto"/>
          <w:sz w:val="28"/>
          <w:szCs w:val="28"/>
          <w:highlight w:val="none"/>
        </w:rPr>
        <w:t>139</w:t>
      </w:r>
      <w:r>
        <w:rPr>
          <w:color w:val="auto"/>
          <w:sz w:val="28"/>
          <w:szCs w:val="28"/>
          <w:highlight w:val="none"/>
        </w:rPr>
        <w:fldChar w:fldCharType="end"/>
      </w:r>
      <w:r>
        <w:rPr>
          <w:color w:val="auto"/>
          <w:sz w:val="28"/>
          <w:szCs w:val="28"/>
          <w:highlight w:val="none"/>
        </w:rPr>
        <w:fldChar w:fldCharType="end"/>
      </w:r>
    </w:p>
    <w:p w14:paraId="61A9D31A">
      <w:pPr>
        <w:spacing w:line="360" w:lineRule="auto"/>
        <w:rPr>
          <w:color w:val="auto"/>
          <w:sz w:val="28"/>
          <w:szCs w:val="28"/>
          <w:highlight w:val="none"/>
        </w:rPr>
      </w:pPr>
      <w:r>
        <w:rPr>
          <w:rFonts w:hint="eastAsia"/>
          <w:color w:val="auto"/>
          <w:sz w:val="28"/>
          <w:szCs w:val="28"/>
          <w:highlight w:val="none"/>
        </w:rPr>
        <w:fldChar w:fldCharType="end"/>
      </w:r>
    </w:p>
    <w:p w14:paraId="2B36A7E3">
      <w:pPr>
        <w:pStyle w:val="46"/>
        <w:keepNext w:val="0"/>
        <w:keepLines w:val="0"/>
        <w:pageBreakBefore w:val="0"/>
        <w:numPr>
          <w:ilvl w:val="0"/>
          <w:numId w:val="2"/>
        </w:numPr>
        <w:overflowPunct/>
        <w:bidi w:val="0"/>
        <w:spacing w:after="0"/>
        <w:ind w:left="0" w:leftChars="0" w:firstLine="422"/>
        <w:jc w:val="center"/>
        <w:outlineLvl w:val="0"/>
        <w:rPr>
          <w:rFonts w:ascii="黑体" w:hAnsi="黑体"/>
          <w:b/>
          <w:bCs/>
          <w:color w:val="auto"/>
          <w:sz w:val="32"/>
          <w:szCs w:val="44"/>
          <w:highlight w:val="none"/>
        </w:rPr>
      </w:pPr>
      <w:r>
        <w:rPr>
          <w:rFonts w:hint="eastAsia"/>
          <w:b/>
          <w:bCs/>
          <w:color w:val="auto"/>
          <w:szCs w:val="32"/>
          <w:highlight w:val="none"/>
        </w:rPr>
        <w:br w:type="page"/>
      </w:r>
      <w:bookmarkEnd w:id="0"/>
      <w:bookmarkEnd w:id="1"/>
      <w:bookmarkEnd w:id="2"/>
      <w:bookmarkEnd w:id="3"/>
      <w:bookmarkStart w:id="4" w:name="_Toc13191"/>
      <w:bookmarkStart w:id="5" w:name="_Toc7996"/>
      <w:bookmarkStart w:id="6" w:name="_Toc410126998"/>
      <w:r>
        <w:rPr>
          <w:rFonts w:hint="eastAsia" w:ascii="黑体" w:hAnsi="黑体"/>
          <w:b/>
          <w:bCs/>
          <w:color w:val="auto"/>
          <w:sz w:val="32"/>
          <w:szCs w:val="44"/>
          <w:highlight w:val="none"/>
        </w:rPr>
        <w:t>竞争性磋商公告</w:t>
      </w:r>
      <w:bookmarkEnd w:id="4"/>
      <w:bookmarkEnd w:id="5"/>
    </w:p>
    <w:p w14:paraId="71CB68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ascii="宋体" w:hAnsi="宋体" w:eastAsia="宋体" w:cs="宋体"/>
          <w:color w:val="auto"/>
          <w:sz w:val="21"/>
          <w:szCs w:val="21"/>
          <w:highlight w:val="none"/>
        </w:rPr>
      </w:pPr>
      <w:bookmarkStart w:id="7" w:name="_Toc270604573"/>
      <w:r>
        <w:rPr>
          <w:rFonts w:ascii="宋体" w:hAnsi="宋体" w:eastAsia="宋体" w:cs="宋体"/>
          <w:color w:val="auto"/>
          <w:spacing w:val="6"/>
          <w:sz w:val="21"/>
          <w:szCs w:val="21"/>
          <w:highlight w:val="none"/>
        </w:rPr>
        <w:t>项目概况</w:t>
      </w:r>
    </w:p>
    <w:p w14:paraId="172CC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1"/>
          <w:szCs w:val="21"/>
          <w:highlight w:val="none"/>
        </w:rPr>
      </w:pPr>
      <w:r>
        <w:rPr>
          <w:rFonts w:hint="eastAsia" w:cs="宋体"/>
          <w:color w:val="auto"/>
          <w:spacing w:val="13"/>
          <w:sz w:val="21"/>
          <w:szCs w:val="21"/>
          <w:highlight w:val="none"/>
          <w:lang w:eastAsia="zh-CN"/>
        </w:rPr>
        <w:t>中原工学院龙湖校区会议中心建设及配套设备采购项目</w:t>
      </w:r>
      <w:r>
        <w:rPr>
          <w:rFonts w:ascii="宋体" w:hAnsi="宋体" w:eastAsia="宋体" w:cs="宋体"/>
          <w:color w:val="auto"/>
          <w:spacing w:val="13"/>
          <w:sz w:val="21"/>
          <w:szCs w:val="21"/>
          <w:highlight w:val="none"/>
        </w:rPr>
        <w:t>的潜在供应商应在河南省公共资源交</w:t>
      </w:r>
      <w:r>
        <w:rPr>
          <w:rFonts w:ascii="宋体" w:hAnsi="宋体" w:eastAsia="宋体" w:cs="宋体"/>
          <w:color w:val="auto"/>
          <w:spacing w:val="12"/>
          <w:sz w:val="21"/>
          <w:szCs w:val="21"/>
          <w:highlight w:val="none"/>
        </w:rPr>
        <w:t>易中心电子</w:t>
      </w:r>
      <w:r>
        <w:rPr>
          <w:rFonts w:ascii="宋体" w:hAnsi="宋体" w:eastAsia="宋体" w:cs="宋体"/>
          <w:color w:val="auto"/>
          <w:spacing w:val="6"/>
          <w:sz w:val="21"/>
          <w:szCs w:val="21"/>
          <w:highlight w:val="none"/>
        </w:rPr>
        <w:t>交易平台获取招标文件，并于</w:t>
      </w:r>
      <w:r>
        <w:rPr>
          <w:rFonts w:ascii="宋体" w:hAnsi="宋体" w:eastAsia="宋体" w:cs="宋体"/>
          <w:color w:val="auto"/>
          <w:spacing w:val="-30"/>
          <w:sz w:val="21"/>
          <w:szCs w:val="21"/>
          <w:highlight w:val="none"/>
        </w:rPr>
        <w:t xml:space="preserve"> </w:t>
      </w:r>
      <w:r>
        <w:rPr>
          <w:rFonts w:ascii="宋体" w:hAnsi="宋体" w:eastAsia="宋体" w:cs="宋体"/>
          <w:color w:val="auto"/>
          <w:spacing w:val="6"/>
          <w:sz w:val="21"/>
          <w:szCs w:val="21"/>
          <w:highlight w:val="none"/>
        </w:rPr>
        <w:t>2025</w:t>
      </w:r>
      <w:r>
        <w:rPr>
          <w:rFonts w:ascii="宋体" w:hAnsi="宋体" w:eastAsia="宋体" w:cs="宋体"/>
          <w:color w:val="auto"/>
          <w:spacing w:val="-37"/>
          <w:sz w:val="21"/>
          <w:szCs w:val="21"/>
          <w:highlight w:val="none"/>
        </w:rPr>
        <w:t xml:space="preserve"> </w:t>
      </w:r>
      <w:r>
        <w:rPr>
          <w:rFonts w:ascii="宋体" w:hAnsi="宋体" w:eastAsia="宋体" w:cs="宋体"/>
          <w:color w:val="auto"/>
          <w:spacing w:val="6"/>
          <w:sz w:val="21"/>
          <w:szCs w:val="21"/>
          <w:highlight w:val="none"/>
        </w:rPr>
        <w:t>年9</w:t>
      </w:r>
      <w:r>
        <w:rPr>
          <w:rFonts w:ascii="宋体" w:hAnsi="宋体" w:eastAsia="宋体" w:cs="宋体"/>
          <w:color w:val="auto"/>
          <w:spacing w:val="-33"/>
          <w:sz w:val="21"/>
          <w:szCs w:val="21"/>
          <w:highlight w:val="none"/>
        </w:rPr>
        <w:t xml:space="preserve"> </w:t>
      </w:r>
      <w:r>
        <w:rPr>
          <w:rFonts w:ascii="宋体" w:hAnsi="宋体" w:eastAsia="宋体" w:cs="宋体"/>
          <w:color w:val="auto"/>
          <w:spacing w:val="6"/>
          <w:sz w:val="21"/>
          <w:szCs w:val="21"/>
          <w:highlight w:val="none"/>
        </w:rPr>
        <w:t>月</w:t>
      </w:r>
      <w:r>
        <w:rPr>
          <w:rFonts w:ascii="宋体" w:hAnsi="宋体" w:eastAsia="宋体" w:cs="宋体"/>
          <w:color w:val="auto"/>
          <w:spacing w:val="-38"/>
          <w:sz w:val="21"/>
          <w:szCs w:val="21"/>
          <w:highlight w:val="none"/>
        </w:rPr>
        <w:t xml:space="preserve"> </w:t>
      </w:r>
      <w:r>
        <w:rPr>
          <w:rFonts w:hint="eastAsia" w:ascii="宋体" w:hAnsi="宋体" w:eastAsia="宋体" w:cs="宋体"/>
          <w:color w:val="auto"/>
          <w:spacing w:val="-38"/>
          <w:sz w:val="21"/>
          <w:szCs w:val="21"/>
          <w:highlight w:val="none"/>
          <w:lang w:val="en-US" w:eastAsia="zh-CN"/>
        </w:rPr>
        <w:t xml:space="preserve">  28</w:t>
      </w:r>
      <w:r>
        <w:rPr>
          <w:rFonts w:ascii="宋体" w:hAnsi="宋体" w:eastAsia="宋体" w:cs="宋体"/>
          <w:color w:val="auto"/>
          <w:spacing w:val="48"/>
          <w:sz w:val="21"/>
          <w:szCs w:val="21"/>
          <w:highlight w:val="none"/>
        </w:rPr>
        <w:t xml:space="preserve"> </w:t>
      </w:r>
      <w:r>
        <w:rPr>
          <w:rFonts w:ascii="宋体" w:hAnsi="宋体" w:eastAsia="宋体" w:cs="宋体"/>
          <w:color w:val="auto"/>
          <w:spacing w:val="6"/>
          <w:sz w:val="21"/>
          <w:szCs w:val="21"/>
          <w:highlight w:val="none"/>
        </w:rPr>
        <w:t>日</w:t>
      </w:r>
      <w:r>
        <w:rPr>
          <w:rFonts w:ascii="宋体" w:hAnsi="宋体" w:eastAsia="宋体" w:cs="宋体"/>
          <w:color w:val="auto"/>
          <w:spacing w:val="-36"/>
          <w:sz w:val="21"/>
          <w:szCs w:val="21"/>
          <w:highlight w:val="none"/>
        </w:rPr>
        <w:t xml:space="preserve"> </w:t>
      </w:r>
      <w:r>
        <w:rPr>
          <w:rFonts w:ascii="宋体" w:hAnsi="宋体" w:eastAsia="宋体" w:cs="宋体"/>
          <w:color w:val="auto"/>
          <w:spacing w:val="6"/>
          <w:sz w:val="21"/>
          <w:szCs w:val="21"/>
          <w:highlight w:val="none"/>
        </w:rPr>
        <w:t>9</w:t>
      </w:r>
      <w:r>
        <w:rPr>
          <w:rFonts w:ascii="宋体" w:hAnsi="宋体" w:eastAsia="宋体" w:cs="宋体"/>
          <w:color w:val="auto"/>
          <w:spacing w:val="-30"/>
          <w:sz w:val="21"/>
          <w:szCs w:val="21"/>
          <w:highlight w:val="none"/>
        </w:rPr>
        <w:t xml:space="preserve"> </w:t>
      </w:r>
      <w:r>
        <w:rPr>
          <w:rFonts w:ascii="宋体" w:hAnsi="宋体" w:eastAsia="宋体" w:cs="宋体"/>
          <w:color w:val="auto"/>
          <w:spacing w:val="6"/>
          <w:sz w:val="21"/>
          <w:szCs w:val="21"/>
          <w:highlight w:val="none"/>
        </w:rPr>
        <w:t>时</w:t>
      </w:r>
      <w:r>
        <w:rPr>
          <w:rFonts w:ascii="宋体" w:hAnsi="宋体" w:eastAsia="宋体" w:cs="宋体"/>
          <w:color w:val="auto"/>
          <w:spacing w:val="-35"/>
          <w:sz w:val="21"/>
          <w:szCs w:val="21"/>
          <w:highlight w:val="none"/>
        </w:rPr>
        <w:t xml:space="preserve"> </w:t>
      </w:r>
      <w:r>
        <w:rPr>
          <w:rFonts w:ascii="宋体" w:hAnsi="宋体" w:eastAsia="宋体" w:cs="宋体"/>
          <w:color w:val="auto"/>
          <w:spacing w:val="6"/>
          <w:sz w:val="21"/>
          <w:szCs w:val="21"/>
          <w:highlight w:val="none"/>
        </w:rPr>
        <w:t>00</w:t>
      </w:r>
      <w:r>
        <w:rPr>
          <w:rFonts w:ascii="宋体" w:hAnsi="宋体" w:eastAsia="宋体" w:cs="宋体"/>
          <w:color w:val="auto"/>
          <w:spacing w:val="-38"/>
          <w:sz w:val="21"/>
          <w:szCs w:val="21"/>
          <w:highlight w:val="none"/>
        </w:rPr>
        <w:t xml:space="preserve"> </w:t>
      </w:r>
      <w:r>
        <w:rPr>
          <w:rFonts w:ascii="宋体" w:hAnsi="宋体" w:eastAsia="宋体" w:cs="宋体"/>
          <w:color w:val="auto"/>
          <w:spacing w:val="6"/>
          <w:sz w:val="21"/>
          <w:szCs w:val="21"/>
          <w:highlight w:val="none"/>
        </w:rPr>
        <w:t>分（北京时间）前递交响应文件。</w:t>
      </w:r>
    </w:p>
    <w:p w14:paraId="54879C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一、项目基本情况</w:t>
      </w:r>
    </w:p>
    <w:p w14:paraId="0CE847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1、采购编号：</w:t>
      </w:r>
      <w:r>
        <w:rPr>
          <w:rFonts w:hint="eastAsia" w:ascii="宋体" w:hAnsi="宋体" w:eastAsia="宋体" w:cs="宋体"/>
          <w:color w:val="auto"/>
          <w:spacing w:val="6"/>
          <w:sz w:val="21"/>
          <w:szCs w:val="21"/>
          <w:highlight w:val="none"/>
        </w:rPr>
        <w:t>豫财磋商采购-2025-1025</w:t>
      </w:r>
    </w:p>
    <w:p w14:paraId="36D734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rPr>
        <w:t>2、项目名称：</w:t>
      </w:r>
      <w:r>
        <w:rPr>
          <w:rFonts w:hint="eastAsia" w:cs="宋体"/>
          <w:color w:val="auto"/>
          <w:spacing w:val="9"/>
          <w:sz w:val="21"/>
          <w:szCs w:val="21"/>
          <w:highlight w:val="none"/>
          <w:lang w:eastAsia="zh-CN"/>
        </w:rPr>
        <w:t>中原工学院龙湖校区会议中心建设及配套设备采购项目</w:t>
      </w:r>
    </w:p>
    <w:p w14:paraId="726A53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3、采购方式：竞争性磋商</w:t>
      </w:r>
    </w:p>
    <w:p w14:paraId="403248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default" w:ascii="宋体" w:hAnsi="宋体" w:eastAsia="宋体" w:cs="宋体"/>
          <w:color w:val="auto"/>
          <w:sz w:val="21"/>
          <w:szCs w:val="21"/>
          <w:highlight w:val="none"/>
          <w:lang w:val="en-US" w:eastAsia="zh-CN"/>
        </w:rPr>
      </w:pPr>
      <w:r>
        <w:rPr>
          <w:rFonts w:ascii="宋体" w:hAnsi="宋体" w:eastAsia="宋体" w:cs="宋体"/>
          <w:color w:val="auto"/>
          <w:spacing w:val="6"/>
          <w:sz w:val="21"/>
          <w:szCs w:val="21"/>
          <w:highlight w:val="none"/>
        </w:rPr>
        <w:t>4、预算金额：</w:t>
      </w:r>
      <w:r>
        <w:rPr>
          <w:rFonts w:hint="eastAsia" w:cs="宋体"/>
          <w:color w:val="auto"/>
          <w:spacing w:val="6"/>
          <w:sz w:val="21"/>
          <w:szCs w:val="21"/>
          <w:highlight w:val="none"/>
          <w:lang w:eastAsia="zh-CN"/>
        </w:rPr>
        <w:t>3550000.00</w:t>
      </w:r>
      <w:r>
        <w:rPr>
          <w:rFonts w:ascii="宋体" w:hAnsi="宋体" w:eastAsia="宋体" w:cs="宋体"/>
          <w:color w:val="auto"/>
          <w:spacing w:val="-39"/>
          <w:sz w:val="21"/>
          <w:szCs w:val="21"/>
          <w:highlight w:val="none"/>
        </w:rPr>
        <w:t xml:space="preserve"> </w:t>
      </w:r>
      <w:r>
        <w:rPr>
          <w:rFonts w:ascii="宋体" w:hAnsi="宋体" w:eastAsia="宋体" w:cs="宋体"/>
          <w:color w:val="auto"/>
          <w:spacing w:val="6"/>
          <w:sz w:val="21"/>
          <w:szCs w:val="21"/>
          <w:highlight w:val="none"/>
        </w:rPr>
        <w:t>元； 最高限价：</w:t>
      </w:r>
      <w:r>
        <w:rPr>
          <w:rFonts w:hint="eastAsia" w:cs="宋体"/>
          <w:color w:val="auto"/>
          <w:spacing w:val="6"/>
          <w:sz w:val="21"/>
          <w:szCs w:val="21"/>
          <w:highlight w:val="none"/>
          <w:lang w:val="en-US" w:eastAsia="zh-CN"/>
        </w:rPr>
        <w:t>3500000.00元</w:t>
      </w:r>
    </w:p>
    <w:tbl>
      <w:tblPr>
        <w:tblStyle w:val="179"/>
        <w:tblW w:w="100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785"/>
        <w:gridCol w:w="3734"/>
        <w:gridCol w:w="1705"/>
        <w:gridCol w:w="2012"/>
      </w:tblGrid>
      <w:tr w14:paraId="0FF5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7" w:type="dxa"/>
            <w:vAlign w:val="center"/>
          </w:tcPr>
          <w:p w14:paraId="04C5F89C">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color w:val="auto"/>
                <w:sz w:val="21"/>
                <w:szCs w:val="21"/>
                <w:highlight w:val="none"/>
              </w:rPr>
            </w:pPr>
            <w:r>
              <w:rPr>
                <w:b/>
                <w:bCs/>
                <w:color w:val="auto"/>
                <w:spacing w:val="4"/>
                <w:sz w:val="21"/>
                <w:szCs w:val="21"/>
                <w:highlight w:val="none"/>
              </w:rPr>
              <w:t>序号</w:t>
            </w:r>
          </w:p>
        </w:tc>
        <w:tc>
          <w:tcPr>
            <w:tcW w:w="1785" w:type="dxa"/>
            <w:vAlign w:val="center"/>
          </w:tcPr>
          <w:p w14:paraId="55F4F4A1">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jc w:val="both"/>
              <w:textAlignment w:val="baseline"/>
              <w:outlineLvl w:val="9"/>
              <w:rPr>
                <w:color w:val="auto"/>
                <w:sz w:val="21"/>
                <w:szCs w:val="21"/>
                <w:highlight w:val="none"/>
              </w:rPr>
            </w:pPr>
            <w:r>
              <w:rPr>
                <w:b/>
                <w:bCs/>
                <w:color w:val="auto"/>
                <w:spacing w:val="3"/>
                <w:sz w:val="21"/>
                <w:szCs w:val="21"/>
                <w:highlight w:val="none"/>
              </w:rPr>
              <w:t>包号</w:t>
            </w:r>
          </w:p>
        </w:tc>
        <w:tc>
          <w:tcPr>
            <w:tcW w:w="3734" w:type="dxa"/>
            <w:vAlign w:val="center"/>
          </w:tcPr>
          <w:p w14:paraId="21BC0FE2">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center"/>
              <w:textAlignment w:val="baseline"/>
              <w:outlineLvl w:val="9"/>
              <w:rPr>
                <w:color w:val="auto"/>
                <w:sz w:val="21"/>
                <w:szCs w:val="21"/>
                <w:highlight w:val="none"/>
              </w:rPr>
            </w:pPr>
            <w:r>
              <w:rPr>
                <w:b/>
                <w:bCs/>
                <w:color w:val="auto"/>
                <w:spacing w:val="5"/>
                <w:sz w:val="21"/>
                <w:szCs w:val="21"/>
                <w:highlight w:val="none"/>
              </w:rPr>
              <w:t>包名称</w:t>
            </w:r>
          </w:p>
        </w:tc>
        <w:tc>
          <w:tcPr>
            <w:tcW w:w="1705" w:type="dxa"/>
            <w:vAlign w:val="center"/>
          </w:tcPr>
          <w:p w14:paraId="02C3BA18">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color w:val="auto"/>
                <w:sz w:val="21"/>
                <w:szCs w:val="21"/>
                <w:highlight w:val="none"/>
              </w:rPr>
            </w:pPr>
            <w:r>
              <w:rPr>
                <w:b/>
                <w:bCs/>
                <w:color w:val="auto"/>
                <w:spacing w:val="5"/>
                <w:sz w:val="21"/>
                <w:szCs w:val="21"/>
                <w:highlight w:val="none"/>
              </w:rPr>
              <w:t>包预算（元）</w:t>
            </w:r>
          </w:p>
        </w:tc>
        <w:tc>
          <w:tcPr>
            <w:tcW w:w="2012" w:type="dxa"/>
            <w:vAlign w:val="center"/>
          </w:tcPr>
          <w:p w14:paraId="78AE7CF6">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color w:val="auto"/>
                <w:sz w:val="21"/>
                <w:szCs w:val="21"/>
                <w:highlight w:val="none"/>
              </w:rPr>
            </w:pPr>
            <w:r>
              <w:rPr>
                <w:b/>
                <w:bCs/>
                <w:color w:val="auto"/>
                <w:spacing w:val="-3"/>
                <w:sz w:val="21"/>
                <w:szCs w:val="21"/>
                <w:highlight w:val="none"/>
              </w:rPr>
              <w:t>包最高限价（元）</w:t>
            </w:r>
          </w:p>
        </w:tc>
      </w:tr>
      <w:tr w14:paraId="78D2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7" w:type="dxa"/>
            <w:vAlign w:val="center"/>
          </w:tcPr>
          <w:p w14:paraId="02C87088">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color w:val="auto"/>
                <w:sz w:val="21"/>
                <w:szCs w:val="21"/>
                <w:highlight w:val="none"/>
              </w:rPr>
            </w:pPr>
            <w:r>
              <w:rPr>
                <w:color w:val="auto"/>
                <w:position w:val="1"/>
                <w:sz w:val="21"/>
                <w:szCs w:val="21"/>
                <w:highlight w:val="none"/>
              </w:rPr>
              <w:t>1</w:t>
            </w:r>
          </w:p>
        </w:tc>
        <w:tc>
          <w:tcPr>
            <w:tcW w:w="1785" w:type="dxa"/>
            <w:vAlign w:val="center"/>
          </w:tcPr>
          <w:p w14:paraId="311A6C64">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default" w:eastAsia="宋体"/>
                <w:color w:val="auto"/>
                <w:sz w:val="21"/>
                <w:szCs w:val="21"/>
                <w:highlight w:val="none"/>
                <w:lang w:val="en-US" w:eastAsia="zh-CN"/>
              </w:rPr>
            </w:pPr>
            <w:r>
              <w:rPr>
                <w:rFonts w:hint="eastAsia" w:cs="宋体"/>
                <w:color w:val="auto"/>
                <w:spacing w:val="9"/>
                <w:sz w:val="21"/>
                <w:szCs w:val="21"/>
                <w:highlight w:val="none"/>
                <w:lang w:eastAsia="zh-CN"/>
              </w:rPr>
              <w:t>豫政采(2)20251663-1</w:t>
            </w:r>
          </w:p>
        </w:tc>
        <w:tc>
          <w:tcPr>
            <w:tcW w:w="3734" w:type="dxa"/>
            <w:vAlign w:val="center"/>
          </w:tcPr>
          <w:p w14:paraId="459827AB">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center"/>
              <w:textAlignment w:val="baseline"/>
              <w:outlineLvl w:val="9"/>
              <w:rPr>
                <w:color w:val="auto"/>
                <w:sz w:val="21"/>
                <w:szCs w:val="21"/>
                <w:highlight w:val="none"/>
              </w:rPr>
            </w:pPr>
            <w:r>
              <w:rPr>
                <w:rFonts w:hint="eastAsia" w:cs="宋体"/>
                <w:color w:val="auto"/>
                <w:spacing w:val="9"/>
                <w:sz w:val="21"/>
                <w:szCs w:val="21"/>
                <w:highlight w:val="none"/>
                <w:lang w:eastAsia="zh-CN"/>
              </w:rPr>
              <w:t>中原工学院龙湖校区会议中心建设及配套设备采购项目</w:t>
            </w:r>
          </w:p>
        </w:tc>
        <w:tc>
          <w:tcPr>
            <w:tcW w:w="1705" w:type="dxa"/>
            <w:vAlign w:val="center"/>
          </w:tcPr>
          <w:p w14:paraId="3683F96B">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outlineLvl w:val="9"/>
              <w:rPr>
                <w:rFonts w:hint="default" w:eastAsia="宋体"/>
                <w:color w:val="auto"/>
                <w:sz w:val="21"/>
                <w:szCs w:val="21"/>
                <w:highlight w:val="none"/>
                <w:lang w:val="en-US" w:eastAsia="zh-CN"/>
              </w:rPr>
            </w:pPr>
            <w:r>
              <w:rPr>
                <w:rFonts w:hint="eastAsia"/>
                <w:color w:val="auto"/>
                <w:sz w:val="21"/>
                <w:szCs w:val="21"/>
                <w:highlight w:val="none"/>
                <w:lang w:val="en-US" w:eastAsia="zh-CN"/>
              </w:rPr>
              <w:t>3550000.00</w:t>
            </w:r>
          </w:p>
        </w:tc>
        <w:tc>
          <w:tcPr>
            <w:tcW w:w="2012" w:type="dxa"/>
            <w:vAlign w:val="center"/>
          </w:tcPr>
          <w:p w14:paraId="1EE0797A">
            <w:pPr>
              <w:pStyle w:val="17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outlineLvl w:val="9"/>
              <w:rPr>
                <w:rFonts w:hint="default" w:eastAsia="宋体"/>
                <w:color w:val="auto"/>
                <w:sz w:val="21"/>
                <w:szCs w:val="21"/>
                <w:highlight w:val="none"/>
                <w:lang w:val="en-US" w:eastAsia="zh-CN"/>
              </w:rPr>
            </w:pPr>
            <w:r>
              <w:rPr>
                <w:rFonts w:hint="eastAsia"/>
                <w:color w:val="auto"/>
                <w:sz w:val="21"/>
                <w:szCs w:val="21"/>
                <w:highlight w:val="none"/>
                <w:lang w:val="en-US" w:eastAsia="zh-CN"/>
              </w:rPr>
              <w:t>3500000.00</w:t>
            </w:r>
          </w:p>
        </w:tc>
      </w:tr>
    </w:tbl>
    <w:p w14:paraId="546571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5、采购需求（包括但不限于标的的名称、数量、简要技术需求或服务要求等）</w:t>
      </w:r>
    </w:p>
    <w:p w14:paraId="0CAAB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（1）采购内容：</w:t>
      </w:r>
      <w:r>
        <w:rPr>
          <w:rFonts w:hint="eastAsia" w:cs="宋体"/>
          <w:color w:val="auto"/>
          <w:spacing w:val="9"/>
          <w:sz w:val="21"/>
          <w:szCs w:val="21"/>
          <w:highlight w:val="none"/>
          <w:lang w:eastAsia="zh-CN"/>
        </w:rPr>
        <w:t>包含3间会议室、1间接待室、1间贵宾室及配套走廊卫生间区域的建设升级；2号演播厅、3组团学术报告厅会场系统升级配套包含对两个场馆的设备线路、控制系统、灯光音响、声学效果内部环境、等进行功能配套升级；</w:t>
      </w:r>
      <w:r>
        <w:rPr>
          <w:rFonts w:ascii="宋体" w:hAnsi="宋体" w:eastAsia="宋体" w:cs="宋体"/>
          <w:color w:val="auto"/>
          <w:spacing w:val="9"/>
          <w:sz w:val="21"/>
          <w:szCs w:val="21"/>
          <w:highlight w:val="none"/>
        </w:rPr>
        <w:t>（详见采购需求</w:t>
      </w:r>
      <w:r>
        <w:rPr>
          <w:rFonts w:ascii="宋体" w:hAnsi="宋体" w:eastAsia="宋体" w:cs="宋体"/>
          <w:color w:val="auto"/>
          <w:spacing w:val="4"/>
          <w:sz w:val="21"/>
          <w:szCs w:val="21"/>
          <w:highlight w:val="none"/>
        </w:rPr>
        <w:t>）</w:t>
      </w:r>
    </w:p>
    <w:p w14:paraId="30BB71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rPr>
        <w:t>（2）项目地点：</w:t>
      </w:r>
      <w:r>
        <w:rPr>
          <w:rFonts w:hint="eastAsia" w:cs="宋体"/>
          <w:color w:val="auto"/>
          <w:spacing w:val="7"/>
          <w:sz w:val="21"/>
          <w:szCs w:val="21"/>
          <w:highlight w:val="none"/>
          <w:lang w:eastAsia="zh-CN"/>
        </w:rPr>
        <w:t>中原工学院龙湖校区</w:t>
      </w:r>
      <w:r>
        <w:rPr>
          <w:rFonts w:hint="eastAsia" w:ascii="宋体" w:hAnsi="宋体" w:eastAsia="宋体" w:cs="宋体"/>
          <w:color w:val="auto"/>
          <w:spacing w:val="7"/>
          <w:sz w:val="21"/>
          <w:szCs w:val="21"/>
          <w:highlight w:val="none"/>
          <w:lang w:eastAsia="zh-CN"/>
        </w:rPr>
        <w:t>；</w:t>
      </w:r>
    </w:p>
    <w:p w14:paraId="34783A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w:t>
      </w:r>
      <w:r>
        <w:rPr>
          <w:rFonts w:hint="eastAsia"/>
          <w:color w:val="auto"/>
          <w:highlight w:val="none"/>
        </w:rPr>
        <w:t>交货及安装期</w:t>
      </w:r>
      <w:r>
        <w:rPr>
          <w:rFonts w:ascii="宋体" w:hAnsi="宋体" w:eastAsia="宋体" w:cs="宋体"/>
          <w:color w:val="auto"/>
          <w:spacing w:val="3"/>
          <w:sz w:val="21"/>
          <w:szCs w:val="21"/>
          <w:highlight w:val="none"/>
        </w:rPr>
        <w:t>：</w:t>
      </w:r>
      <w:r>
        <w:rPr>
          <w:rFonts w:hint="eastAsia" w:cs="宋体"/>
          <w:color w:val="auto"/>
          <w:spacing w:val="3"/>
          <w:sz w:val="21"/>
          <w:szCs w:val="21"/>
          <w:highlight w:val="none"/>
          <w:lang w:val="en-US" w:eastAsia="zh-CN"/>
        </w:rPr>
        <w:t>签订合同后20日历天</w:t>
      </w:r>
      <w:r>
        <w:rPr>
          <w:rFonts w:ascii="宋体" w:hAnsi="宋体" w:eastAsia="宋体" w:cs="宋体"/>
          <w:color w:val="auto"/>
          <w:spacing w:val="3"/>
          <w:sz w:val="21"/>
          <w:szCs w:val="21"/>
          <w:highlight w:val="none"/>
        </w:rPr>
        <w:t>；</w:t>
      </w:r>
    </w:p>
    <w:p w14:paraId="2081B1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（4）质量要求：</w:t>
      </w:r>
      <w:r>
        <w:rPr>
          <w:rFonts w:hint="eastAsia" w:ascii="宋体" w:hAnsi="宋体" w:eastAsia="宋体" w:cs="宋体"/>
          <w:color w:val="auto"/>
          <w:spacing w:val="7"/>
          <w:sz w:val="21"/>
          <w:szCs w:val="21"/>
          <w:highlight w:val="none"/>
          <w:lang w:eastAsia="zh-CN"/>
        </w:rPr>
        <w:t>合格，达到国家、行业规范标准，并满足采购人要求。</w:t>
      </w:r>
    </w:p>
    <w:p w14:paraId="01EF1B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default" w:ascii="宋体" w:hAnsi="宋体" w:eastAsia="宋体" w:cs="宋体"/>
          <w:color w:val="auto"/>
          <w:spacing w:val="7"/>
          <w:sz w:val="21"/>
          <w:szCs w:val="21"/>
          <w:highlight w:val="none"/>
          <w:lang w:val="en-US" w:eastAsia="zh-CN"/>
        </w:rPr>
      </w:pPr>
      <w:r>
        <w:rPr>
          <w:rFonts w:hint="eastAsia" w:cs="宋体"/>
          <w:color w:val="auto"/>
          <w:spacing w:val="7"/>
          <w:sz w:val="21"/>
          <w:szCs w:val="21"/>
          <w:highlight w:val="none"/>
          <w:lang w:eastAsia="zh-CN"/>
        </w:rPr>
        <w:t>（</w:t>
      </w:r>
      <w:r>
        <w:rPr>
          <w:rFonts w:hint="eastAsia" w:cs="宋体"/>
          <w:color w:val="auto"/>
          <w:spacing w:val="7"/>
          <w:sz w:val="21"/>
          <w:szCs w:val="21"/>
          <w:highlight w:val="none"/>
          <w:lang w:val="en-US" w:eastAsia="zh-CN"/>
        </w:rPr>
        <w:t>5</w:t>
      </w:r>
      <w:r>
        <w:rPr>
          <w:rFonts w:hint="eastAsia" w:cs="宋体"/>
          <w:color w:val="auto"/>
          <w:spacing w:val="7"/>
          <w:sz w:val="21"/>
          <w:szCs w:val="21"/>
          <w:highlight w:val="none"/>
          <w:lang w:eastAsia="zh-CN"/>
        </w:rPr>
        <w:t>）</w:t>
      </w:r>
      <w:r>
        <w:rPr>
          <w:rFonts w:hint="eastAsia" w:cs="宋体"/>
          <w:color w:val="auto"/>
          <w:spacing w:val="7"/>
          <w:sz w:val="21"/>
          <w:szCs w:val="21"/>
          <w:highlight w:val="none"/>
          <w:lang w:val="en-US" w:eastAsia="zh-CN"/>
        </w:rPr>
        <w:t>质保期：一年</w:t>
      </w:r>
    </w:p>
    <w:p w14:paraId="2FDC87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6、合同履行期限：</w:t>
      </w:r>
      <w:r>
        <w:rPr>
          <w:rFonts w:hint="eastAsia" w:cs="宋体"/>
          <w:color w:val="auto"/>
          <w:spacing w:val="3"/>
          <w:sz w:val="21"/>
          <w:szCs w:val="21"/>
          <w:highlight w:val="none"/>
          <w:lang w:val="en-US" w:eastAsia="zh-CN"/>
        </w:rPr>
        <w:t>签订合同后20日历天；</w:t>
      </w:r>
    </w:p>
    <w:p w14:paraId="4491BB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7、本项目是否接受联合体投标：否</w:t>
      </w:r>
    </w:p>
    <w:p w14:paraId="2E0245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8、是否接受进口产品：否</w:t>
      </w:r>
    </w:p>
    <w:p w14:paraId="57FEC8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9、是否专门面向中小企业：</w:t>
      </w:r>
      <w:r>
        <w:rPr>
          <w:rFonts w:hint="eastAsia" w:ascii="宋体" w:hAnsi="宋体" w:eastAsia="宋体" w:cs="宋体"/>
          <w:color w:val="auto"/>
          <w:spacing w:val="8"/>
          <w:sz w:val="21"/>
          <w:szCs w:val="21"/>
          <w:highlight w:val="none"/>
          <w:lang w:val="en-US" w:eastAsia="zh-CN"/>
        </w:rPr>
        <w:t>否</w:t>
      </w:r>
    </w:p>
    <w:p w14:paraId="41C8F6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二、</w:t>
      </w:r>
      <w:r>
        <w:rPr>
          <w:rFonts w:ascii="宋体" w:hAnsi="宋体" w:eastAsia="宋体" w:cs="宋体"/>
          <w:color w:val="auto"/>
          <w:spacing w:val="-57"/>
          <w:sz w:val="21"/>
          <w:szCs w:val="21"/>
          <w:highlight w:val="none"/>
        </w:rPr>
        <w:t xml:space="preserve"> </w:t>
      </w:r>
      <w:r>
        <w:rPr>
          <w:rFonts w:ascii="宋体" w:hAnsi="宋体" w:eastAsia="宋体" w:cs="宋体"/>
          <w:b/>
          <w:bCs/>
          <w:color w:val="auto"/>
          <w:spacing w:val="2"/>
          <w:sz w:val="21"/>
          <w:szCs w:val="21"/>
          <w:highlight w:val="none"/>
        </w:rPr>
        <w:t>申请人资格要求：</w:t>
      </w:r>
    </w:p>
    <w:p w14:paraId="677C4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1、满足《中华人民共和国政府采购法》第二十二条规定；</w:t>
      </w:r>
    </w:p>
    <w:p w14:paraId="08817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2、落实政府采购政策满足的资格要求：</w:t>
      </w:r>
    </w:p>
    <w:p w14:paraId="7BE23A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促进中小型企业发展政策（监狱企业、残疾人福利性企业视同小微企业）、强制采购节</w:t>
      </w:r>
      <w:r>
        <w:rPr>
          <w:rFonts w:ascii="宋体" w:hAnsi="宋体" w:eastAsia="宋体" w:cs="宋体"/>
          <w:color w:val="auto"/>
          <w:spacing w:val="7"/>
          <w:sz w:val="21"/>
          <w:szCs w:val="21"/>
          <w:highlight w:val="none"/>
        </w:rPr>
        <w:t>能产品、优</w:t>
      </w:r>
      <w:r>
        <w:rPr>
          <w:rFonts w:ascii="宋体" w:hAnsi="宋体" w:eastAsia="宋体" w:cs="宋体"/>
          <w:color w:val="auto"/>
          <w:spacing w:val="8"/>
          <w:sz w:val="21"/>
          <w:szCs w:val="21"/>
          <w:highlight w:val="none"/>
        </w:rPr>
        <w:t>先采购节能环保产品等政府采购政策。</w:t>
      </w:r>
    </w:p>
    <w:p w14:paraId="5D689F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3、本项目的特定资格要求</w:t>
      </w:r>
    </w:p>
    <w:p w14:paraId="2C2AA5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3.1 信誉要求：根据《关于在政府采购活动中查询及使用信用记录有关问题的通知》（财库［2016］125号）的规定，对列入失信被执行人、重大税收违法失信主体、政府采购严重违法失信行为记录名单的供应商，拒绝参与本项目政府采购活动；采购人、采购代理机构将通过“信用中国 ”网站（</w:t>
      </w:r>
      <w:r>
        <w:rPr>
          <w:rFonts w:ascii="宋体" w:hAnsi="宋体" w:eastAsia="宋体" w:cs="宋体"/>
          <w:color w:val="auto"/>
          <w:spacing w:val="8"/>
          <w:sz w:val="21"/>
          <w:szCs w:val="21"/>
          <w:highlight w:val="none"/>
        </w:rPr>
        <w:fldChar w:fldCharType="begin"/>
      </w:r>
      <w:r>
        <w:rPr>
          <w:rFonts w:ascii="宋体" w:hAnsi="宋体" w:eastAsia="宋体" w:cs="宋体"/>
          <w:color w:val="auto"/>
          <w:spacing w:val="8"/>
          <w:sz w:val="21"/>
          <w:szCs w:val="21"/>
          <w:highlight w:val="none"/>
        </w:rPr>
        <w:instrText xml:space="preserve"> HYPERLINK "https://www.creditchina.gov.cn" </w:instrText>
      </w:r>
      <w:r>
        <w:rPr>
          <w:rFonts w:ascii="宋体" w:hAnsi="宋体" w:eastAsia="宋体" w:cs="宋体"/>
          <w:color w:val="auto"/>
          <w:spacing w:val="8"/>
          <w:sz w:val="21"/>
          <w:szCs w:val="21"/>
          <w:highlight w:val="none"/>
        </w:rPr>
        <w:fldChar w:fldCharType="separate"/>
      </w:r>
      <w:r>
        <w:rPr>
          <w:rFonts w:ascii="宋体" w:hAnsi="宋体" w:eastAsia="宋体" w:cs="宋体"/>
          <w:color w:val="auto"/>
          <w:spacing w:val="8"/>
          <w:sz w:val="21"/>
          <w:szCs w:val="21"/>
          <w:highlight w:val="none"/>
        </w:rPr>
        <w:t>www.creditchina.gov.cn</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）、中国政府采购网（</w:t>
      </w:r>
      <w:r>
        <w:rPr>
          <w:rFonts w:ascii="宋体" w:hAnsi="宋体" w:eastAsia="宋体" w:cs="宋体"/>
          <w:color w:val="auto"/>
          <w:spacing w:val="8"/>
          <w:sz w:val="21"/>
          <w:szCs w:val="21"/>
          <w:highlight w:val="none"/>
        </w:rPr>
        <w:fldChar w:fldCharType="begin"/>
      </w:r>
      <w:r>
        <w:rPr>
          <w:rFonts w:ascii="宋体" w:hAnsi="宋体" w:eastAsia="宋体" w:cs="宋体"/>
          <w:color w:val="auto"/>
          <w:spacing w:val="8"/>
          <w:sz w:val="21"/>
          <w:szCs w:val="21"/>
          <w:highlight w:val="none"/>
        </w:rPr>
        <w:instrText xml:space="preserve"> HYPERLINK "https://www.ccgp.gov.cn" </w:instrText>
      </w:r>
      <w:r>
        <w:rPr>
          <w:rFonts w:ascii="宋体" w:hAnsi="宋体" w:eastAsia="宋体" w:cs="宋体"/>
          <w:color w:val="auto"/>
          <w:spacing w:val="8"/>
          <w:sz w:val="21"/>
          <w:szCs w:val="21"/>
          <w:highlight w:val="none"/>
        </w:rPr>
        <w:fldChar w:fldCharType="separate"/>
      </w:r>
      <w:r>
        <w:rPr>
          <w:rFonts w:ascii="宋体" w:hAnsi="宋体" w:eastAsia="宋体" w:cs="宋体"/>
          <w:color w:val="auto"/>
          <w:spacing w:val="8"/>
          <w:sz w:val="21"/>
          <w:szCs w:val="21"/>
          <w:highlight w:val="none"/>
        </w:rPr>
        <w:t>www.ccgp.gov.cn</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）渠道查询供应商信用记录，被列入失信被执行人、重大税收违法失信主体、政府采购严重违法失信行为记录名单的单位将被拒绝参与本项目投标</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以开标当天采购人及采购代理机构现场查询为准</w:t>
      </w:r>
      <w:r>
        <w:rPr>
          <w:rFonts w:hint="eastAsia" w:ascii="宋体" w:hAnsi="宋体" w:eastAsia="宋体" w:cs="宋体"/>
          <w:color w:val="auto"/>
          <w:spacing w:val="8"/>
          <w:sz w:val="21"/>
          <w:szCs w:val="21"/>
          <w:highlight w:val="none"/>
          <w:lang w:eastAsia="zh-CN"/>
        </w:rPr>
        <w:t>）</w:t>
      </w:r>
      <w:r>
        <w:rPr>
          <w:rFonts w:ascii="宋体" w:hAnsi="宋体" w:eastAsia="宋体" w:cs="宋体"/>
          <w:color w:val="auto"/>
          <w:spacing w:val="8"/>
          <w:sz w:val="21"/>
          <w:szCs w:val="21"/>
          <w:highlight w:val="none"/>
        </w:rPr>
        <w:t>；信用信息查询记录和证据将同采购文件等资 料一同归档保存。</w:t>
      </w:r>
    </w:p>
    <w:p w14:paraId="76000C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3.2</w:t>
      </w:r>
      <w:r>
        <w:rPr>
          <w:rFonts w:ascii="宋体" w:hAnsi="宋体" w:eastAsia="宋体" w:cs="宋体"/>
          <w:color w:val="auto"/>
          <w:spacing w:val="8"/>
          <w:sz w:val="21"/>
          <w:szCs w:val="21"/>
          <w:highlight w:val="none"/>
        </w:rPr>
        <w:t>单位负责人为同一人或者存在直接控股、管理关系的不同供应商，不得参加同一合同项下的政府采购活动。</w:t>
      </w:r>
    </w:p>
    <w:p w14:paraId="76B7E5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三、获取采购文件</w:t>
      </w:r>
    </w:p>
    <w:p w14:paraId="70D9B2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1.时间：2025</w:t>
      </w:r>
      <w:r>
        <w:rPr>
          <w:rFonts w:ascii="宋体" w:hAnsi="宋体" w:eastAsia="宋体" w:cs="宋体"/>
          <w:color w:val="auto"/>
          <w:spacing w:val="-37"/>
          <w:sz w:val="21"/>
          <w:szCs w:val="21"/>
          <w:highlight w:val="none"/>
        </w:rPr>
        <w:t xml:space="preserve"> </w:t>
      </w:r>
      <w:r>
        <w:rPr>
          <w:rFonts w:ascii="宋体" w:hAnsi="宋体" w:eastAsia="宋体" w:cs="宋体"/>
          <w:color w:val="auto"/>
          <w:sz w:val="21"/>
          <w:szCs w:val="21"/>
          <w:highlight w:val="none"/>
        </w:rPr>
        <w:t>年</w:t>
      </w:r>
      <w:r>
        <w:rPr>
          <w:rFonts w:ascii="宋体" w:hAnsi="宋体" w:eastAsia="宋体" w:cs="宋体"/>
          <w:color w:val="auto"/>
          <w:spacing w:val="-39"/>
          <w:sz w:val="21"/>
          <w:szCs w:val="21"/>
          <w:highlight w:val="none"/>
        </w:rPr>
        <w:t xml:space="preserve"> </w:t>
      </w:r>
      <w:r>
        <w:rPr>
          <w:rFonts w:hint="eastAsia" w:ascii="宋体" w:hAnsi="宋体" w:eastAsia="宋体" w:cs="宋体"/>
          <w:color w:val="auto"/>
          <w:sz w:val="21"/>
          <w:szCs w:val="21"/>
          <w:highlight w:val="none"/>
          <w:lang w:val="en-US" w:eastAsia="zh-CN"/>
        </w:rPr>
        <w:t>9</w:t>
      </w:r>
      <w:r>
        <w:rPr>
          <w:rFonts w:ascii="宋体" w:hAnsi="宋体" w:eastAsia="宋体" w:cs="宋体"/>
          <w:color w:val="auto"/>
          <w:sz w:val="21"/>
          <w:szCs w:val="21"/>
          <w:highlight w:val="none"/>
        </w:rPr>
        <w:t>月</w:t>
      </w:r>
      <w:r>
        <w:rPr>
          <w:rFonts w:ascii="宋体" w:hAnsi="宋体" w:eastAsia="宋体" w:cs="宋体"/>
          <w:color w:val="auto"/>
          <w:spacing w:val="-36"/>
          <w:sz w:val="21"/>
          <w:szCs w:val="21"/>
          <w:highlight w:val="none"/>
        </w:rPr>
        <w:t xml:space="preserve"> </w:t>
      </w:r>
      <w:r>
        <w:rPr>
          <w:rFonts w:hint="eastAsia" w:cs="宋体"/>
          <w:color w:val="auto"/>
          <w:spacing w:val="-36"/>
          <w:sz w:val="21"/>
          <w:szCs w:val="21"/>
          <w:highlight w:val="none"/>
          <w:lang w:val="en-US" w:eastAsia="zh-CN"/>
        </w:rPr>
        <w:t xml:space="preserve">18  </w:t>
      </w:r>
      <w:r>
        <w:rPr>
          <w:rFonts w:ascii="宋体" w:hAnsi="宋体" w:eastAsia="宋体" w:cs="宋体"/>
          <w:color w:val="auto"/>
          <w:sz w:val="21"/>
          <w:szCs w:val="21"/>
          <w:highlight w:val="none"/>
        </w:rPr>
        <w:t>日至</w:t>
      </w:r>
      <w:r>
        <w:rPr>
          <w:rFonts w:ascii="宋体" w:hAnsi="宋体" w:eastAsia="宋体" w:cs="宋体"/>
          <w:color w:val="auto"/>
          <w:spacing w:val="-34"/>
          <w:sz w:val="21"/>
          <w:szCs w:val="21"/>
          <w:highlight w:val="none"/>
        </w:rPr>
        <w:t xml:space="preserve"> </w:t>
      </w:r>
      <w:r>
        <w:rPr>
          <w:rFonts w:ascii="宋体" w:hAnsi="宋体" w:eastAsia="宋体" w:cs="宋体"/>
          <w:color w:val="auto"/>
          <w:sz w:val="21"/>
          <w:szCs w:val="21"/>
          <w:highlight w:val="none"/>
        </w:rPr>
        <w:t>2025</w:t>
      </w:r>
      <w:r>
        <w:rPr>
          <w:rFonts w:ascii="宋体" w:hAnsi="宋体" w:eastAsia="宋体" w:cs="宋体"/>
          <w:color w:val="auto"/>
          <w:spacing w:val="-40"/>
          <w:sz w:val="21"/>
          <w:szCs w:val="21"/>
          <w:highlight w:val="none"/>
        </w:rPr>
        <w:t xml:space="preserve"> </w:t>
      </w:r>
      <w:r>
        <w:rPr>
          <w:rFonts w:ascii="宋体" w:hAnsi="宋体" w:eastAsia="宋体" w:cs="宋体"/>
          <w:color w:val="auto"/>
          <w:sz w:val="21"/>
          <w:szCs w:val="21"/>
          <w:highlight w:val="none"/>
        </w:rPr>
        <w:t>年</w:t>
      </w:r>
      <w:r>
        <w:rPr>
          <w:rFonts w:ascii="宋体" w:hAnsi="宋体" w:eastAsia="宋体" w:cs="宋体"/>
          <w:color w:val="auto"/>
          <w:spacing w:val="-36"/>
          <w:sz w:val="21"/>
          <w:szCs w:val="21"/>
          <w:highlight w:val="none"/>
        </w:rPr>
        <w:t xml:space="preserve"> </w:t>
      </w:r>
      <w:r>
        <w:rPr>
          <w:rFonts w:ascii="宋体" w:hAnsi="宋体" w:eastAsia="宋体" w:cs="宋体"/>
          <w:color w:val="auto"/>
          <w:sz w:val="21"/>
          <w:szCs w:val="21"/>
          <w:highlight w:val="none"/>
        </w:rPr>
        <w:t>9</w:t>
      </w:r>
      <w:r>
        <w:rPr>
          <w:rFonts w:ascii="宋体" w:hAnsi="宋体" w:eastAsia="宋体" w:cs="宋体"/>
          <w:color w:val="auto"/>
          <w:spacing w:val="-35"/>
          <w:sz w:val="21"/>
          <w:szCs w:val="21"/>
          <w:highlight w:val="none"/>
        </w:rPr>
        <w:t xml:space="preserve"> </w:t>
      </w:r>
      <w:r>
        <w:rPr>
          <w:rFonts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24 </w:t>
      </w:r>
      <w:r>
        <w:rPr>
          <w:rFonts w:ascii="宋体" w:hAnsi="宋体" w:eastAsia="宋体" w:cs="宋体"/>
          <w:color w:val="auto"/>
          <w:sz w:val="21"/>
          <w:szCs w:val="21"/>
          <w:highlight w:val="none"/>
        </w:rPr>
        <w:t>日，每天上午</w:t>
      </w:r>
      <w:r>
        <w:rPr>
          <w:rFonts w:ascii="宋体" w:hAnsi="宋体" w:eastAsia="宋体" w:cs="宋体"/>
          <w:color w:val="auto"/>
          <w:spacing w:val="-35"/>
          <w:sz w:val="21"/>
          <w:szCs w:val="21"/>
          <w:highlight w:val="none"/>
        </w:rPr>
        <w:t xml:space="preserve"> </w:t>
      </w:r>
      <w:r>
        <w:rPr>
          <w:rFonts w:ascii="宋体" w:hAnsi="宋体" w:eastAsia="宋体" w:cs="宋体"/>
          <w:color w:val="auto"/>
          <w:sz w:val="21"/>
          <w:szCs w:val="21"/>
          <w:highlight w:val="none"/>
        </w:rPr>
        <w:t>00:00</w:t>
      </w:r>
      <w:r>
        <w:rPr>
          <w:rFonts w:ascii="宋体" w:hAnsi="宋体" w:eastAsia="宋体" w:cs="宋体"/>
          <w:color w:val="auto"/>
          <w:spacing w:val="-36"/>
          <w:sz w:val="21"/>
          <w:szCs w:val="21"/>
          <w:highlight w:val="none"/>
        </w:rPr>
        <w:t xml:space="preserve"> </w:t>
      </w:r>
      <w:r>
        <w:rPr>
          <w:rFonts w:ascii="宋体" w:hAnsi="宋体" w:eastAsia="宋体" w:cs="宋体"/>
          <w:color w:val="auto"/>
          <w:sz w:val="21"/>
          <w:szCs w:val="21"/>
          <w:highlight w:val="none"/>
        </w:rPr>
        <w:t>至</w:t>
      </w:r>
      <w:r>
        <w:rPr>
          <w:rFonts w:ascii="宋体" w:hAnsi="宋体" w:eastAsia="宋体" w:cs="宋体"/>
          <w:color w:val="auto"/>
          <w:spacing w:val="-24"/>
          <w:sz w:val="21"/>
          <w:szCs w:val="21"/>
          <w:highlight w:val="none"/>
        </w:rPr>
        <w:t xml:space="preserve"> </w:t>
      </w:r>
      <w:r>
        <w:rPr>
          <w:rFonts w:ascii="宋体" w:hAnsi="宋体" w:eastAsia="宋体" w:cs="宋体"/>
          <w:color w:val="auto"/>
          <w:sz w:val="21"/>
          <w:szCs w:val="21"/>
          <w:highlight w:val="none"/>
        </w:rPr>
        <w:t>12:00，下午</w:t>
      </w:r>
      <w:r>
        <w:rPr>
          <w:rFonts w:ascii="宋体" w:hAnsi="宋体" w:eastAsia="宋体" w:cs="宋体"/>
          <w:color w:val="auto"/>
          <w:spacing w:val="-21"/>
          <w:sz w:val="21"/>
          <w:szCs w:val="21"/>
          <w:highlight w:val="none"/>
        </w:rPr>
        <w:t xml:space="preserve"> </w:t>
      </w:r>
      <w:r>
        <w:rPr>
          <w:rFonts w:ascii="宋体" w:hAnsi="宋体" w:eastAsia="宋体" w:cs="宋体"/>
          <w:color w:val="auto"/>
          <w:sz w:val="21"/>
          <w:szCs w:val="21"/>
          <w:highlight w:val="none"/>
        </w:rPr>
        <w:t>12:00</w:t>
      </w:r>
      <w:r>
        <w:rPr>
          <w:rFonts w:ascii="宋体" w:hAnsi="宋体" w:eastAsia="宋体" w:cs="宋体"/>
          <w:color w:val="auto"/>
          <w:spacing w:val="-36"/>
          <w:sz w:val="21"/>
          <w:szCs w:val="21"/>
          <w:highlight w:val="none"/>
        </w:rPr>
        <w:t xml:space="preserve"> </w:t>
      </w:r>
      <w:r>
        <w:rPr>
          <w:rFonts w:ascii="宋体" w:hAnsi="宋体" w:eastAsia="宋体" w:cs="宋体"/>
          <w:color w:val="auto"/>
          <w:sz w:val="21"/>
          <w:szCs w:val="21"/>
          <w:highlight w:val="none"/>
        </w:rPr>
        <w:t>至</w:t>
      </w:r>
      <w:r>
        <w:rPr>
          <w:rFonts w:ascii="宋体" w:hAnsi="宋体" w:eastAsia="宋体" w:cs="宋体"/>
          <w:color w:val="auto"/>
          <w:spacing w:val="-37"/>
          <w:sz w:val="21"/>
          <w:szCs w:val="21"/>
          <w:highlight w:val="none"/>
        </w:rPr>
        <w:t xml:space="preserve"> </w:t>
      </w:r>
      <w:r>
        <w:rPr>
          <w:rFonts w:ascii="宋体" w:hAnsi="宋体" w:eastAsia="宋体" w:cs="宋体"/>
          <w:color w:val="auto"/>
          <w:sz w:val="21"/>
          <w:szCs w:val="21"/>
          <w:highlight w:val="none"/>
        </w:rPr>
        <w:t>23:59</w:t>
      </w:r>
      <w:r>
        <w:rPr>
          <w:rFonts w:ascii="宋体" w:hAnsi="宋体" w:eastAsia="宋体" w:cs="宋体"/>
          <w:color w:val="auto"/>
          <w:spacing w:val="-1"/>
          <w:sz w:val="21"/>
          <w:szCs w:val="21"/>
          <w:highlight w:val="none"/>
        </w:rPr>
        <w:t>（北</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京时间，法定节假日除外。）</w:t>
      </w:r>
    </w:p>
    <w:p w14:paraId="73B7BE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2.地点：登录“河南省公共资源交易中心（</w:t>
      </w:r>
      <w:r>
        <w:rPr>
          <w:color w:val="auto"/>
          <w:sz w:val="22"/>
          <w:szCs w:val="22"/>
          <w:highlight w:val="none"/>
        </w:rPr>
        <w:fldChar w:fldCharType="begin"/>
      </w:r>
      <w:r>
        <w:rPr>
          <w:color w:val="auto"/>
          <w:sz w:val="22"/>
          <w:szCs w:val="22"/>
          <w:highlight w:val="none"/>
        </w:rPr>
        <w:instrText xml:space="preserve"> HYPERLINK "http://www.hnggzy.net/" </w:instrText>
      </w:r>
      <w:r>
        <w:rPr>
          <w:color w:val="auto"/>
          <w:sz w:val="22"/>
          <w:szCs w:val="22"/>
          <w:highlight w:val="none"/>
        </w:rPr>
        <w:fldChar w:fldCharType="separate"/>
      </w:r>
      <w:r>
        <w:rPr>
          <w:rFonts w:ascii="宋体" w:hAnsi="宋体" w:eastAsia="宋体" w:cs="宋体"/>
          <w:color w:val="auto"/>
          <w:sz w:val="21"/>
          <w:szCs w:val="21"/>
          <w:highlight w:val="none"/>
        </w:rPr>
        <w:t>http</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hnggzy</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net</w:t>
      </w:r>
      <w:r>
        <w:rPr>
          <w:rFonts w:ascii="宋体" w:hAnsi="宋体" w:eastAsia="宋体" w:cs="宋体"/>
          <w:color w:val="auto"/>
          <w:spacing w:val="8"/>
          <w:sz w:val="21"/>
          <w:szCs w:val="21"/>
          <w:highlight w:val="none"/>
        </w:rPr>
        <w:t>/</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w:t>
      </w:r>
      <w:r>
        <w:rPr>
          <w:rFonts w:ascii="宋体" w:hAnsi="宋体" w:eastAsia="宋体" w:cs="宋体"/>
          <w:color w:val="auto"/>
          <w:spacing w:val="-71"/>
          <w:sz w:val="21"/>
          <w:szCs w:val="21"/>
          <w:highlight w:val="none"/>
        </w:rPr>
        <w:t xml:space="preserve"> </w:t>
      </w:r>
      <w:r>
        <w:rPr>
          <w:rFonts w:ascii="宋体" w:hAnsi="宋体" w:eastAsia="宋体" w:cs="宋体"/>
          <w:color w:val="auto"/>
          <w:spacing w:val="8"/>
          <w:sz w:val="21"/>
          <w:szCs w:val="21"/>
          <w:highlight w:val="none"/>
        </w:rPr>
        <w:t>”网上，凭领取的企业身份认</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证锁（</w:t>
      </w:r>
      <w:r>
        <w:rPr>
          <w:rFonts w:ascii="宋体" w:hAnsi="宋体" w:eastAsia="宋体" w:cs="宋体"/>
          <w:color w:val="auto"/>
          <w:sz w:val="21"/>
          <w:szCs w:val="21"/>
          <w:highlight w:val="none"/>
        </w:rPr>
        <w:t>CA</w:t>
      </w:r>
      <w:r>
        <w:rPr>
          <w:rFonts w:ascii="宋体" w:hAnsi="宋体" w:eastAsia="宋体" w:cs="宋体"/>
          <w:color w:val="auto"/>
          <w:spacing w:val="-39"/>
          <w:sz w:val="21"/>
          <w:szCs w:val="21"/>
          <w:highlight w:val="none"/>
        </w:rPr>
        <w:t xml:space="preserve"> </w:t>
      </w:r>
      <w:r>
        <w:rPr>
          <w:rFonts w:ascii="宋体" w:hAnsi="宋体" w:eastAsia="宋体" w:cs="宋体"/>
          <w:color w:val="auto"/>
          <w:spacing w:val="9"/>
          <w:sz w:val="21"/>
          <w:szCs w:val="21"/>
          <w:highlight w:val="none"/>
        </w:rPr>
        <w:t>密钥）进行网上下载磋商文件及资料。</w:t>
      </w:r>
    </w:p>
    <w:p w14:paraId="477F1C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3.方式：凡有意参加投标者，应首先办理</w:t>
      </w:r>
      <w:r>
        <w:rPr>
          <w:rFonts w:ascii="宋体" w:hAnsi="宋体" w:eastAsia="宋体" w:cs="宋体"/>
          <w:color w:val="auto"/>
          <w:spacing w:val="-30"/>
          <w:sz w:val="21"/>
          <w:szCs w:val="21"/>
          <w:highlight w:val="none"/>
        </w:rPr>
        <w:t xml:space="preserve"> </w:t>
      </w:r>
      <w:r>
        <w:rPr>
          <w:rFonts w:ascii="宋体" w:hAnsi="宋体" w:eastAsia="宋体" w:cs="宋体"/>
          <w:color w:val="auto"/>
          <w:sz w:val="21"/>
          <w:szCs w:val="21"/>
          <w:highlight w:val="none"/>
        </w:rPr>
        <w:t>CA</w:t>
      </w:r>
      <w:r>
        <w:rPr>
          <w:rFonts w:ascii="宋体" w:hAnsi="宋体" w:eastAsia="宋体" w:cs="宋体"/>
          <w:color w:val="auto"/>
          <w:spacing w:val="-36"/>
          <w:sz w:val="21"/>
          <w:szCs w:val="21"/>
          <w:highlight w:val="none"/>
        </w:rPr>
        <w:t xml:space="preserve"> </w:t>
      </w:r>
      <w:r>
        <w:rPr>
          <w:rFonts w:ascii="宋体" w:hAnsi="宋体" w:eastAsia="宋体" w:cs="宋体"/>
          <w:color w:val="auto"/>
          <w:spacing w:val="9"/>
          <w:sz w:val="21"/>
          <w:szCs w:val="21"/>
          <w:highlight w:val="none"/>
        </w:rPr>
        <w:t>数字证书及电子签章（具体办理事宜请查询河南省公共</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资源交易中心网站-办事指南-《</w:t>
      </w:r>
      <w:r>
        <w:rPr>
          <w:rFonts w:ascii="宋体" w:hAnsi="宋体" w:eastAsia="宋体" w:cs="宋体"/>
          <w:color w:val="auto"/>
          <w:sz w:val="21"/>
          <w:szCs w:val="21"/>
          <w:highlight w:val="none"/>
        </w:rPr>
        <w:t>CA</w:t>
      </w:r>
      <w:r>
        <w:rPr>
          <w:rFonts w:ascii="宋体" w:hAnsi="宋体" w:eastAsia="宋体" w:cs="宋体"/>
          <w:color w:val="auto"/>
          <w:spacing w:val="-35"/>
          <w:sz w:val="21"/>
          <w:szCs w:val="21"/>
          <w:highlight w:val="none"/>
        </w:rPr>
        <w:t xml:space="preserve"> </w:t>
      </w:r>
      <w:r>
        <w:rPr>
          <w:rFonts w:ascii="宋体" w:hAnsi="宋体" w:eastAsia="宋体" w:cs="宋体"/>
          <w:color w:val="auto"/>
          <w:spacing w:val="11"/>
          <w:sz w:val="21"/>
          <w:szCs w:val="21"/>
          <w:highlight w:val="none"/>
        </w:rPr>
        <w:t>数字证书办理指南》</w:t>
      </w:r>
      <w:r>
        <w:rPr>
          <w:rFonts w:ascii="宋体" w:hAnsi="宋体" w:eastAsia="宋体" w:cs="宋体"/>
          <w:color w:val="auto"/>
          <w:spacing w:val="-6"/>
          <w:sz w:val="21"/>
          <w:szCs w:val="21"/>
          <w:highlight w:val="none"/>
        </w:rPr>
        <w:t>），</w:t>
      </w:r>
      <w:r>
        <w:rPr>
          <w:rFonts w:ascii="宋体" w:hAnsi="宋体" w:eastAsia="宋体" w:cs="宋体"/>
          <w:color w:val="auto"/>
          <w:spacing w:val="11"/>
          <w:sz w:val="21"/>
          <w:szCs w:val="21"/>
          <w:highlight w:val="none"/>
        </w:rPr>
        <w:t>使用</w:t>
      </w:r>
      <w:r>
        <w:rPr>
          <w:rFonts w:ascii="宋体" w:hAnsi="宋体" w:eastAsia="宋体" w:cs="宋体"/>
          <w:color w:val="auto"/>
          <w:sz w:val="21"/>
          <w:szCs w:val="21"/>
          <w:highlight w:val="none"/>
        </w:rPr>
        <w:t>CA</w:t>
      </w:r>
      <w:r>
        <w:rPr>
          <w:rFonts w:ascii="宋体" w:hAnsi="宋体" w:eastAsia="宋体" w:cs="宋体"/>
          <w:color w:val="auto"/>
          <w:spacing w:val="-36"/>
          <w:sz w:val="21"/>
          <w:szCs w:val="21"/>
          <w:highlight w:val="none"/>
        </w:rPr>
        <w:t xml:space="preserve"> </w:t>
      </w:r>
      <w:r>
        <w:rPr>
          <w:rFonts w:ascii="宋体" w:hAnsi="宋体" w:eastAsia="宋体" w:cs="宋体"/>
          <w:color w:val="auto"/>
          <w:spacing w:val="11"/>
          <w:sz w:val="21"/>
          <w:szCs w:val="21"/>
          <w:highlight w:val="none"/>
        </w:rPr>
        <w:t>数字证书登</w:t>
      </w:r>
      <w:r>
        <w:rPr>
          <w:rFonts w:ascii="宋体" w:hAnsi="宋体" w:eastAsia="宋体" w:cs="宋体"/>
          <w:color w:val="auto"/>
          <w:spacing w:val="10"/>
          <w:sz w:val="21"/>
          <w:szCs w:val="21"/>
          <w:highlight w:val="none"/>
        </w:rPr>
        <w:t>录“河南省公共资源交易</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中心-市场主体系统</w:t>
      </w:r>
      <w:r>
        <w:rPr>
          <w:rFonts w:ascii="宋体" w:hAnsi="宋体" w:eastAsia="宋体" w:cs="宋体"/>
          <w:color w:val="auto"/>
          <w:spacing w:val="-70"/>
          <w:sz w:val="21"/>
          <w:szCs w:val="21"/>
          <w:highlight w:val="none"/>
        </w:rPr>
        <w:t xml:space="preserve"> </w:t>
      </w:r>
      <w:r>
        <w:rPr>
          <w:rFonts w:ascii="宋体" w:hAnsi="宋体" w:eastAsia="宋体" w:cs="宋体"/>
          <w:color w:val="auto"/>
          <w:spacing w:val="9"/>
          <w:sz w:val="21"/>
          <w:szCs w:val="21"/>
          <w:highlight w:val="none"/>
        </w:rPr>
        <w:t>”，进行市场主体信息库登记（具体办理事宜请查询河南省公共资源</w:t>
      </w:r>
      <w:r>
        <w:rPr>
          <w:rFonts w:ascii="宋体" w:hAnsi="宋体" w:eastAsia="宋体" w:cs="宋体"/>
          <w:color w:val="auto"/>
          <w:spacing w:val="8"/>
          <w:sz w:val="21"/>
          <w:szCs w:val="21"/>
          <w:highlight w:val="none"/>
        </w:rPr>
        <w:t>交易中心网站-</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办事指南-《河南省公共资源交易平台市场主体信息库登记指</w:t>
      </w:r>
      <w:r>
        <w:rPr>
          <w:rFonts w:ascii="宋体" w:hAnsi="宋体" w:eastAsia="宋体" w:cs="宋体"/>
          <w:color w:val="auto"/>
          <w:spacing w:val="9"/>
          <w:sz w:val="21"/>
          <w:szCs w:val="21"/>
          <w:highlight w:val="none"/>
        </w:rPr>
        <w:t>南（工程建设、政府采购）》；市场主体信</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息库登记通过后，凭</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CA</w:t>
      </w:r>
      <w:r>
        <w:rPr>
          <w:rFonts w:ascii="宋体" w:hAnsi="宋体" w:eastAsia="宋体" w:cs="宋体"/>
          <w:color w:val="auto"/>
          <w:spacing w:val="-37"/>
          <w:sz w:val="21"/>
          <w:szCs w:val="21"/>
          <w:highlight w:val="none"/>
        </w:rPr>
        <w:t xml:space="preserve"> </w:t>
      </w:r>
      <w:r>
        <w:rPr>
          <w:rFonts w:ascii="宋体" w:hAnsi="宋体" w:eastAsia="宋体" w:cs="宋体"/>
          <w:color w:val="auto"/>
          <w:spacing w:val="11"/>
          <w:sz w:val="21"/>
          <w:szCs w:val="21"/>
          <w:highlight w:val="none"/>
        </w:rPr>
        <w:t>密钥登陆市场主体系统并按网上提示下载磋商文件及资料（详见</w:t>
      </w:r>
      <w:r>
        <w:rPr>
          <w:color w:val="auto"/>
          <w:sz w:val="22"/>
          <w:szCs w:val="22"/>
          <w:highlight w:val="none"/>
        </w:rPr>
        <w:fldChar w:fldCharType="begin"/>
      </w:r>
      <w:r>
        <w:rPr>
          <w:color w:val="auto"/>
          <w:sz w:val="22"/>
          <w:szCs w:val="22"/>
          <w:highlight w:val="none"/>
        </w:rPr>
        <w:instrText xml:space="preserve"> HYPERLINK "http://www.hnggzy" </w:instrText>
      </w:r>
      <w:r>
        <w:rPr>
          <w:color w:val="auto"/>
          <w:sz w:val="22"/>
          <w:szCs w:val="22"/>
          <w:highlight w:val="none"/>
        </w:rPr>
        <w:fldChar w:fldCharType="separate"/>
      </w:r>
      <w:r>
        <w:rPr>
          <w:rFonts w:ascii="宋体" w:hAnsi="宋体" w:eastAsia="宋体" w:cs="宋体"/>
          <w:color w:val="auto"/>
          <w:sz w:val="21"/>
          <w:szCs w:val="21"/>
          <w:highlight w:val="none"/>
        </w:rPr>
        <w:t>http</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hng</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w:t>
      </w:r>
      <w:r>
        <w:rPr>
          <w:color w:val="auto"/>
          <w:sz w:val="22"/>
          <w:szCs w:val="22"/>
          <w:highlight w:val="none"/>
        </w:rPr>
        <w:fldChar w:fldCharType="begin"/>
      </w:r>
      <w:r>
        <w:rPr>
          <w:color w:val="auto"/>
          <w:sz w:val="22"/>
          <w:szCs w:val="22"/>
          <w:highlight w:val="none"/>
        </w:rPr>
        <w:instrText xml:space="preserve"> HYPERLINK "http://www.hnggzy" </w:instrText>
      </w:r>
      <w:r>
        <w:rPr>
          <w:color w:val="auto"/>
          <w:sz w:val="22"/>
          <w:szCs w:val="22"/>
          <w:highlight w:val="none"/>
        </w:rPr>
        <w:fldChar w:fldCharType="separate"/>
      </w:r>
      <w:r>
        <w:rPr>
          <w:rFonts w:ascii="宋体" w:hAnsi="宋体" w:eastAsia="宋体" w:cs="宋体"/>
          <w:color w:val="auto"/>
          <w:sz w:val="21"/>
          <w:szCs w:val="21"/>
          <w:highlight w:val="none"/>
        </w:rPr>
        <w:t>gzy</w:t>
      </w:r>
      <w:r>
        <w:rPr>
          <w:rFonts w:ascii="宋体" w:hAnsi="宋体" w:eastAsia="宋体" w:cs="宋体"/>
          <w:color w:val="auto"/>
          <w:sz w:val="21"/>
          <w:szCs w:val="21"/>
          <w:highlight w:val="none"/>
        </w:rPr>
        <w:fldChar w:fldCharType="end"/>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net</w:t>
      </w:r>
      <w:r>
        <w:rPr>
          <w:rFonts w:ascii="宋体" w:hAnsi="宋体" w:eastAsia="宋体" w:cs="宋体"/>
          <w:color w:val="auto"/>
          <w:spacing w:val="8"/>
          <w:sz w:val="21"/>
          <w:szCs w:val="21"/>
          <w:highlight w:val="none"/>
        </w:rPr>
        <w:t>/公共服务-办事指南）。</w:t>
      </w:r>
    </w:p>
    <w:p w14:paraId="602A9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4.售价：0</w:t>
      </w:r>
      <w:r>
        <w:rPr>
          <w:rFonts w:ascii="宋体" w:hAnsi="宋体" w:eastAsia="宋体" w:cs="宋体"/>
          <w:color w:val="auto"/>
          <w:spacing w:val="-36"/>
          <w:sz w:val="21"/>
          <w:szCs w:val="21"/>
          <w:highlight w:val="none"/>
        </w:rPr>
        <w:t xml:space="preserve"> </w:t>
      </w:r>
      <w:r>
        <w:rPr>
          <w:rFonts w:ascii="宋体" w:hAnsi="宋体" w:eastAsia="宋体" w:cs="宋体"/>
          <w:color w:val="auto"/>
          <w:spacing w:val="5"/>
          <w:sz w:val="21"/>
          <w:szCs w:val="21"/>
          <w:highlight w:val="none"/>
        </w:rPr>
        <w:t>元</w:t>
      </w:r>
    </w:p>
    <w:p w14:paraId="199A4E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四、响应文件提交</w:t>
      </w:r>
    </w:p>
    <w:p w14:paraId="41F3AC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1.时间：2025</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年</w:t>
      </w:r>
      <w:r>
        <w:rPr>
          <w:rFonts w:ascii="宋体" w:hAnsi="宋体" w:eastAsia="宋体" w:cs="宋体"/>
          <w:color w:val="auto"/>
          <w:spacing w:val="-36"/>
          <w:sz w:val="21"/>
          <w:szCs w:val="21"/>
          <w:highlight w:val="none"/>
        </w:rPr>
        <w:t xml:space="preserve"> </w:t>
      </w:r>
      <w:r>
        <w:rPr>
          <w:rFonts w:ascii="宋体" w:hAnsi="宋体" w:eastAsia="宋体" w:cs="宋体"/>
          <w:color w:val="auto"/>
          <w:spacing w:val="1"/>
          <w:sz w:val="21"/>
          <w:szCs w:val="21"/>
          <w:highlight w:val="none"/>
        </w:rPr>
        <w:t>9</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 xml:space="preserve"> </w:t>
      </w:r>
      <w:r>
        <w:rPr>
          <w:rFonts w:hint="eastAsia" w:cs="宋体"/>
          <w:color w:val="auto"/>
          <w:spacing w:val="1"/>
          <w:sz w:val="21"/>
          <w:szCs w:val="21"/>
          <w:highlight w:val="none"/>
          <w:lang w:val="en-US" w:eastAsia="zh-CN"/>
        </w:rPr>
        <w:t xml:space="preserve">28 </w:t>
      </w:r>
      <w:r>
        <w:rPr>
          <w:rFonts w:ascii="宋体" w:hAnsi="宋体" w:eastAsia="宋体" w:cs="宋体"/>
          <w:color w:val="auto"/>
          <w:spacing w:val="1"/>
          <w:sz w:val="21"/>
          <w:szCs w:val="21"/>
          <w:highlight w:val="none"/>
        </w:rPr>
        <w:t>日</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9</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时</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00</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分（北京</w:t>
      </w:r>
      <w:r>
        <w:rPr>
          <w:rFonts w:ascii="宋体" w:hAnsi="宋体" w:eastAsia="宋体" w:cs="宋体"/>
          <w:color w:val="auto"/>
          <w:sz w:val="21"/>
          <w:szCs w:val="21"/>
          <w:highlight w:val="none"/>
        </w:rPr>
        <w:t>时间）</w:t>
      </w:r>
    </w:p>
    <w:p w14:paraId="36D6F4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pacing w:val="8"/>
          <w:sz w:val="21"/>
          <w:szCs w:val="21"/>
          <w:highlight w:val="none"/>
          <w:lang w:val="en-US" w:eastAsia="zh-CN"/>
        </w:rPr>
      </w:pPr>
      <w:r>
        <w:rPr>
          <w:rFonts w:ascii="宋体" w:hAnsi="宋体" w:eastAsia="宋体" w:cs="宋体"/>
          <w:color w:val="auto"/>
          <w:spacing w:val="8"/>
          <w:sz w:val="21"/>
          <w:szCs w:val="21"/>
          <w:highlight w:val="none"/>
        </w:rPr>
        <w:t>2.地点：</w:t>
      </w:r>
      <w:r>
        <w:rPr>
          <w:rFonts w:hint="eastAsia" w:ascii="宋体" w:hAnsi="宋体" w:eastAsia="宋体" w:cs="宋体"/>
          <w:color w:val="auto"/>
          <w:spacing w:val="8"/>
          <w:sz w:val="21"/>
          <w:szCs w:val="21"/>
          <w:highlight w:val="none"/>
        </w:rPr>
        <w:t>加密电子响应文件须在响应文件提交截止时间前通过“河南省公共资源交易中心（http://hnsggzyjy.henan.gov.cn/）”电子交易平台上传，加密的电子响应文件逾期上传或未上传至指定地点的，采购人不予受理</w:t>
      </w:r>
      <w:r>
        <w:rPr>
          <w:rFonts w:hint="eastAsia" w:ascii="宋体" w:hAnsi="宋体" w:eastAsia="宋体" w:cs="宋体"/>
          <w:color w:val="auto"/>
          <w:spacing w:val="8"/>
          <w:sz w:val="21"/>
          <w:szCs w:val="21"/>
          <w:highlight w:val="none"/>
          <w:lang w:eastAsia="zh-CN"/>
        </w:rPr>
        <w:t>。</w:t>
      </w:r>
    </w:p>
    <w:p w14:paraId="0F8ED9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五、响应文件开启</w:t>
      </w:r>
    </w:p>
    <w:p w14:paraId="539855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1.时间：2025</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年</w:t>
      </w:r>
      <w:r>
        <w:rPr>
          <w:rFonts w:ascii="宋体" w:hAnsi="宋体" w:eastAsia="宋体" w:cs="宋体"/>
          <w:color w:val="auto"/>
          <w:spacing w:val="-36"/>
          <w:sz w:val="21"/>
          <w:szCs w:val="21"/>
          <w:highlight w:val="none"/>
        </w:rPr>
        <w:t xml:space="preserve"> </w:t>
      </w:r>
      <w:r>
        <w:rPr>
          <w:rFonts w:ascii="宋体" w:hAnsi="宋体" w:eastAsia="宋体" w:cs="宋体"/>
          <w:color w:val="auto"/>
          <w:spacing w:val="1"/>
          <w:sz w:val="21"/>
          <w:szCs w:val="21"/>
          <w:highlight w:val="none"/>
        </w:rPr>
        <w:t>9</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月</w:t>
      </w:r>
      <w:r>
        <w:rPr>
          <w:rFonts w:ascii="宋体" w:hAnsi="宋体" w:eastAsia="宋体" w:cs="宋体"/>
          <w:color w:val="auto"/>
          <w:spacing w:val="-36"/>
          <w:sz w:val="21"/>
          <w:szCs w:val="21"/>
          <w:highlight w:val="none"/>
        </w:rPr>
        <w:t xml:space="preserve"> </w:t>
      </w:r>
      <w:r>
        <w:rPr>
          <w:rFonts w:hint="eastAsia" w:cs="宋体"/>
          <w:color w:val="auto"/>
          <w:spacing w:val="-36"/>
          <w:sz w:val="21"/>
          <w:szCs w:val="21"/>
          <w:highlight w:val="none"/>
          <w:lang w:val="en-US" w:eastAsia="zh-CN"/>
        </w:rPr>
        <w:t xml:space="preserve">2 8  </w:t>
      </w:r>
      <w:r>
        <w:rPr>
          <w:rFonts w:ascii="宋体" w:hAnsi="宋体" w:eastAsia="宋体" w:cs="宋体"/>
          <w:color w:val="auto"/>
          <w:spacing w:val="1"/>
          <w:sz w:val="21"/>
          <w:szCs w:val="21"/>
          <w:highlight w:val="none"/>
        </w:rPr>
        <w:t>日</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9</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时</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00</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分（北京</w:t>
      </w:r>
      <w:r>
        <w:rPr>
          <w:rFonts w:ascii="宋体" w:hAnsi="宋体" w:eastAsia="宋体" w:cs="宋体"/>
          <w:color w:val="auto"/>
          <w:sz w:val="21"/>
          <w:szCs w:val="21"/>
          <w:highlight w:val="none"/>
        </w:rPr>
        <w:t>时间）</w:t>
      </w:r>
    </w:p>
    <w:p w14:paraId="043ECA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default" w:ascii="宋体" w:hAnsi="宋体" w:eastAsia="宋体" w:cs="宋体"/>
          <w:color w:val="auto"/>
          <w:sz w:val="21"/>
          <w:szCs w:val="21"/>
          <w:highlight w:val="none"/>
          <w:lang w:val="en-US" w:eastAsia="zh-CN"/>
        </w:rPr>
      </w:pPr>
      <w:r>
        <w:rPr>
          <w:rFonts w:ascii="宋体" w:hAnsi="宋体" w:eastAsia="宋体" w:cs="宋体"/>
          <w:color w:val="auto"/>
          <w:spacing w:val="8"/>
          <w:sz w:val="21"/>
          <w:szCs w:val="21"/>
          <w:highlight w:val="none"/>
        </w:rPr>
        <w:t>2.地点：河南省公共资源交易中心</w:t>
      </w:r>
      <w:r>
        <w:rPr>
          <w:rFonts w:hint="eastAsia" w:ascii="宋体" w:hAnsi="宋体" w:eastAsia="宋体" w:cs="宋体"/>
          <w:color w:val="auto"/>
          <w:spacing w:val="8"/>
          <w:sz w:val="21"/>
          <w:szCs w:val="21"/>
          <w:highlight w:val="none"/>
        </w:rPr>
        <w:t>远程开标室(五)-5</w:t>
      </w:r>
    </w:p>
    <w:p w14:paraId="4CC4BA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8"/>
          <w:sz w:val="21"/>
          <w:szCs w:val="21"/>
          <w:highlight w:val="none"/>
        </w:rPr>
        <w:t>六、发布公告的媒介及磋商公告期限</w:t>
      </w:r>
    </w:p>
    <w:p w14:paraId="27273C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本次磋商公告在《河南省政府采购网》、《河南省公共资源交易中心网》</w:t>
      </w:r>
      <w:r>
        <w:rPr>
          <w:rFonts w:hint="eastAsia" w:ascii="宋体" w:hAnsi="宋体" w:eastAsia="宋体" w:cs="宋体"/>
          <w:color w:val="auto"/>
          <w:spacing w:val="8"/>
          <w:sz w:val="21"/>
          <w:szCs w:val="21"/>
          <w:highlight w:val="none"/>
          <w:lang w:eastAsia="zh-CN"/>
        </w:rPr>
        <w:t>、《中原工学院采购与招标信息网》</w:t>
      </w:r>
      <w:r>
        <w:rPr>
          <w:rFonts w:ascii="宋体" w:hAnsi="宋体" w:eastAsia="宋体" w:cs="宋体"/>
          <w:color w:val="auto"/>
          <w:spacing w:val="8"/>
          <w:sz w:val="21"/>
          <w:szCs w:val="21"/>
          <w:highlight w:val="none"/>
        </w:rPr>
        <w:t>上发布，公告期限为三</w:t>
      </w:r>
      <w:r>
        <w:rPr>
          <w:rFonts w:ascii="宋体" w:hAnsi="宋体" w:eastAsia="宋体" w:cs="宋体"/>
          <w:color w:val="auto"/>
          <w:spacing w:val="7"/>
          <w:sz w:val="21"/>
          <w:szCs w:val="21"/>
          <w:highlight w:val="none"/>
        </w:rPr>
        <w:t>个工</w:t>
      </w:r>
      <w:r>
        <w:rPr>
          <w:rFonts w:ascii="宋体" w:hAnsi="宋体" w:eastAsia="宋体" w:cs="宋体"/>
          <w:color w:val="auto"/>
          <w:spacing w:val="2"/>
          <w:sz w:val="21"/>
          <w:szCs w:val="21"/>
          <w:highlight w:val="none"/>
        </w:rPr>
        <w:t>作日。</w:t>
      </w:r>
    </w:p>
    <w:p w14:paraId="6CBC8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七、其他补充事宜：无</w:t>
      </w:r>
    </w:p>
    <w:p w14:paraId="1A324E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8"/>
          <w:sz w:val="21"/>
          <w:szCs w:val="21"/>
          <w:highlight w:val="none"/>
        </w:rPr>
        <w:t>八、凡对本次磋商提出询问，请按照以下方式联系</w:t>
      </w:r>
    </w:p>
    <w:p w14:paraId="567316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1.采购人信息</w:t>
      </w:r>
    </w:p>
    <w:p w14:paraId="4FCB7E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名称：</w:t>
      </w:r>
      <w:r>
        <w:rPr>
          <w:rFonts w:hint="eastAsia" w:ascii="宋体" w:hAnsi="宋体" w:eastAsia="宋体" w:cs="宋体"/>
          <w:color w:val="auto"/>
          <w:spacing w:val="8"/>
          <w:sz w:val="21"/>
          <w:szCs w:val="21"/>
          <w:highlight w:val="none"/>
          <w:lang w:eastAsia="zh-CN"/>
        </w:rPr>
        <w:t>中原工学院</w:t>
      </w:r>
    </w:p>
    <w:p w14:paraId="2982D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rPr>
        <w:t>地址：</w:t>
      </w:r>
      <w:r>
        <w:rPr>
          <w:rFonts w:hint="eastAsia" w:ascii="宋体" w:hAnsi="宋体" w:eastAsia="宋体" w:cs="宋体"/>
          <w:color w:val="auto"/>
          <w:spacing w:val="9"/>
          <w:sz w:val="21"/>
          <w:szCs w:val="21"/>
          <w:highlight w:val="none"/>
          <w:lang w:eastAsia="zh-CN"/>
        </w:rPr>
        <w:t>郑州市新郑双湖经济开发区淮河路1号</w:t>
      </w:r>
    </w:p>
    <w:p w14:paraId="7B6229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lang w:eastAsia="zh-CN"/>
        </w:rPr>
        <w:t>成老师</w:t>
      </w:r>
    </w:p>
    <w:p w14:paraId="5B7E6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rPr>
        <w:t>联系方式：</w:t>
      </w:r>
      <w:r>
        <w:rPr>
          <w:rFonts w:hint="eastAsia" w:ascii="宋体" w:hAnsi="宋体" w:eastAsia="宋体" w:cs="宋体"/>
          <w:color w:val="auto"/>
          <w:spacing w:val="5"/>
          <w:sz w:val="21"/>
          <w:szCs w:val="21"/>
          <w:highlight w:val="none"/>
          <w:lang w:eastAsia="zh-CN"/>
        </w:rPr>
        <w:t>0371-62506800</w:t>
      </w:r>
    </w:p>
    <w:p w14:paraId="52904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2.采购代理机构信息</w:t>
      </w:r>
    </w:p>
    <w:p w14:paraId="617E97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名称：</w:t>
      </w:r>
      <w:r>
        <w:rPr>
          <w:rFonts w:hint="eastAsia" w:ascii="宋体" w:hAnsi="宋体" w:eastAsia="宋体" w:cs="宋体"/>
          <w:color w:val="auto"/>
          <w:spacing w:val="8"/>
          <w:sz w:val="21"/>
          <w:szCs w:val="21"/>
          <w:highlight w:val="none"/>
          <w:lang w:eastAsia="zh-CN"/>
        </w:rPr>
        <w:t>河南良智行工程管理咨询有限公司</w:t>
      </w:r>
    </w:p>
    <w:p w14:paraId="0287B6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rPr>
        <w:t>地址：</w:t>
      </w:r>
      <w:r>
        <w:rPr>
          <w:rFonts w:hint="eastAsia" w:ascii="宋体" w:hAnsi="宋体" w:eastAsia="宋体" w:cs="宋体"/>
          <w:color w:val="auto"/>
          <w:spacing w:val="5"/>
          <w:sz w:val="21"/>
          <w:szCs w:val="21"/>
          <w:highlight w:val="none"/>
          <w:lang w:eastAsia="zh-CN"/>
        </w:rPr>
        <w:t>河南省郑州市惠济区江山路西、008乡道南弘泰小区1号楼1单元3层302号</w:t>
      </w:r>
    </w:p>
    <w:p w14:paraId="71367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联系人：</w:t>
      </w:r>
      <w:r>
        <w:rPr>
          <w:rFonts w:hint="eastAsia" w:ascii="宋体" w:hAnsi="宋体" w:eastAsia="宋体" w:cs="宋体"/>
          <w:color w:val="auto"/>
          <w:spacing w:val="6"/>
          <w:sz w:val="21"/>
          <w:szCs w:val="21"/>
          <w:highlight w:val="none"/>
          <w:lang w:eastAsia="zh-CN"/>
        </w:rPr>
        <w:t>李先生</w:t>
      </w:r>
    </w:p>
    <w:p w14:paraId="590AAB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rPr>
        <w:t>联系方式：</w:t>
      </w:r>
      <w:r>
        <w:rPr>
          <w:rFonts w:hint="eastAsia" w:ascii="宋体" w:hAnsi="宋体" w:eastAsia="宋体" w:cs="宋体"/>
          <w:color w:val="auto"/>
          <w:spacing w:val="5"/>
          <w:sz w:val="21"/>
          <w:szCs w:val="21"/>
          <w:highlight w:val="none"/>
          <w:lang w:eastAsia="zh-CN"/>
        </w:rPr>
        <w:t>0371-88109299  15036078881</w:t>
      </w:r>
    </w:p>
    <w:p w14:paraId="2B4F4A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3.项目联系方式</w:t>
      </w:r>
    </w:p>
    <w:p w14:paraId="267359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联系人：</w:t>
      </w:r>
      <w:r>
        <w:rPr>
          <w:rFonts w:hint="eastAsia" w:ascii="宋体" w:hAnsi="宋体" w:eastAsia="宋体" w:cs="宋体"/>
          <w:color w:val="auto"/>
          <w:spacing w:val="6"/>
          <w:sz w:val="21"/>
          <w:szCs w:val="21"/>
          <w:highlight w:val="none"/>
          <w:lang w:eastAsia="zh-CN"/>
        </w:rPr>
        <w:t>李先生</w:t>
      </w:r>
    </w:p>
    <w:p w14:paraId="128D6F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rPr>
        <w:t>联系方式：</w:t>
      </w:r>
      <w:r>
        <w:rPr>
          <w:rFonts w:hint="eastAsia" w:ascii="宋体" w:hAnsi="宋体" w:eastAsia="宋体" w:cs="宋体"/>
          <w:color w:val="auto"/>
          <w:spacing w:val="5"/>
          <w:sz w:val="21"/>
          <w:szCs w:val="21"/>
          <w:highlight w:val="none"/>
          <w:lang w:eastAsia="zh-CN"/>
        </w:rPr>
        <w:t>0371-88109299  15036078881</w:t>
      </w:r>
    </w:p>
    <w:p w14:paraId="6DE198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color w:val="auto"/>
          <w:sz w:val="21"/>
          <w:szCs w:val="21"/>
          <w:highlight w:val="none"/>
        </w:rPr>
        <w:sectPr>
          <w:footerReference r:id="rId9" w:type="default"/>
          <w:pgSz w:w="11850" w:h="16783"/>
          <w:pgMar w:top="1426" w:right="1777" w:bottom="1363" w:left="1140" w:header="0" w:footer="1200" w:gutter="0"/>
          <w:pgBorders>
            <w:top w:val="none" w:sz="0" w:space="0"/>
            <w:left w:val="none" w:sz="0" w:space="0"/>
            <w:bottom w:val="none" w:sz="0" w:space="0"/>
            <w:right w:val="none" w:sz="0" w:space="0"/>
          </w:pgBorders>
          <w:pgNumType w:fmt="decimal"/>
          <w:cols w:space="720" w:num="1"/>
        </w:sectPr>
      </w:pPr>
    </w:p>
    <w:p w14:paraId="61A1F581">
      <w:pPr>
        <w:widowControl/>
        <w:spacing w:line="360" w:lineRule="auto"/>
        <w:jc w:val="center"/>
        <w:outlineLvl w:val="0"/>
        <w:rPr>
          <w:rStyle w:val="66"/>
          <w:color w:val="auto"/>
          <w:highlight w:val="none"/>
        </w:rPr>
      </w:pPr>
      <w:bookmarkStart w:id="8" w:name="_Toc1254"/>
      <w:bookmarkStart w:id="9" w:name="_Toc24348"/>
      <w:bookmarkStart w:id="10" w:name="_Toc65662286"/>
      <w:bookmarkStart w:id="11" w:name="_Toc1931"/>
      <w:bookmarkStart w:id="12" w:name="_Toc31246"/>
      <w:bookmarkStart w:id="13" w:name="_Toc65662007"/>
      <w:r>
        <w:rPr>
          <w:rStyle w:val="66"/>
          <w:rFonts w:hint="eastAsia"/>
          <w:color w:val="auto"/>
          <w:highlight w:val="none"/>
        </w:rPr>
        <w:t>第二章 供应商须知</w:t>
      </w:r>
      <w:bookmarkEnd w:id="6"/>
      <w:bookmarkEnd w:id="7"/>
      <w:bookmarkEnd w:id="8"/>
      <w:bookmarkEnd w:id="9"/>
      <w:bookmarkEnd w:id="10"/>
      <w:bookmarkEnd w:id="11"/>
      <w:bookmarkEnd w:id="12"/>
      <w:bookmarkEnd w:id="13"/>
    </w:p>
    <w:p w14:paraId="1EB19CFE">
      <w:pPr>
        <w:pStyle w:val="3"/>
        <w:wordWrap/>
        <w:topLinePunct w:val="0"/>
        <w:spacing w:line="360" w:lineRule="auto"/>
        <w:jc w:val="center"/>
        <w:rPr>
          <w:color w:val="auto"/>
          <w:highlight w:val="none"/>
        </w:rPr>
      </w:pPr>
      <w:bookmarkStart w:id="14" w:name="_Toc28515"/>
      <w:bookmarkStart w:id="15" w:name="_Toc29945"/>
      <w:bookmarkStart w:id="16" w:name="_Toc27362"/>
      <w:bookmarkStart w:id="17" w:name="_Toc12318"/>
      <w:bookmarkStart w:id="18" w:name="_Toc76134448"/>
      <w:bookmarkStart w:id="19" w:name="_Toc18978"/>
      <w:bookmarkStart w:id="20" w:name="_Toc65662008"/>
      <w:bookmarkStart w:id="21" w:name="_Toc65662287"/>
      <w:bookmarkStart w:id="22" w:name="_Toc13329"/>
      <w:r>
        <w:rPr>
          <w:rStyle w:val="66"/>
          <w:rFonts w:hint="eastAsia" w:ascii="Times New Roman" w:hAnsi="Times New Roman" w:cs="Times New Roman"/>
          <w:b/>
          <w:bCs w:val="0"/>
          <w:color w:val="auto"/>
          <w:sz w:val="24"/>
          <w:szCs w:val="24"/>
          <w:highlight w:val="none"/>
        </w:rPr>
        <w:t>供应商须知前附表</w:t>
      </w:r>
      <w:bookmarkEnd w:id="14"/>
      <w:bookmarkEnd w:id="15"/>
      <w:bookmarkEnd w:id="16"/>
      <w:bookmarkEnd w:id="17"/>
      <w:bookmarkEnd w:id="18"/>
      <w:bookmarkEnd w:id="19"/>
      <w:bookmarkEnd w:id="20"/>
      <w:bookmarkEnd w:id="21"/>
      <w:bookmarkEnd w:id="22"/>
    </w:p>
    <w:tbl>
      <w:tblPr>
        <w:tblStyle w:val="47"/>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757"/>
        <w:gridCol w:w="6333"/>
      </w:tblGrid>
      <w:tr w14:paraId="7F41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4C36AD6F">
            <w:pPr>
              <w:wordWrap/>
              <w:topLinePunct w:val="0"/>
              <w:spacing w:line="360" w:lineRule="auto"/>
              <w:jc w:val="center"/>
              <w:rPr>
                <w:color w:val="auto"/>
                <w:highlight w:val="none"/>
              </w:rPr>
            </w:pPr>
            <w:r>
              <w:rPr>
                <w:rFonts w:hint="eastAsia"/>
                <w:color w:val="auto"/>
                <w:highlight w:val="none"/>
              </w:rPr>
              <w:t>序号</w:t>
            </w:r>
          </w:p>
        </w:tc>
        <w:tc>
          <w:tcPr>
            <w:tcW w:w="2757" w:type="dxa"/>
            <w:noWrap/>
            <w:vAlign w:val="center"/>
          </w:tcPr>
          <w:p w14:paraId="25B4FA5D">
            <w:pPr>
              <w:wordWrap/>
              <w:topLinePunct w:val="0"/>
              <w:spacing w:line="360" w:lineRule="auto"/>
              <w:jc w:val="center"/>
              <w:rPr>
                <w:color w:val="auto"/>
                <w:highlight w:val="none"/>
              </w:rPr>
            </w:pPr>
            <w:r>
              <w:rPr>
                <w:rFonts w:hint="eastAsia"/>
                <w:color w:val="auto"/>
                <w:highlight w:val="none"/>
              </w:rPr>
              <w:t>条款名称</w:t>
            </w:r>
          </w:p>
        </w:tc>
        <w:tc>
          <w:tcPr>
            <w:tcW w:w="6333" w:type="dxa"/>
            <w:noWrap/>
            <w:vAlign w:val="center"/>
          </w:tcPr>
          <w:p w14:paraId="5AF6D0A9">
            <w:pPr>
              <w:wordWrap/>
              <w:topLinePunct w:val="0"/>
              <w:spacing w:line="360" w:lineRule="auto"/>
              <w:jc w:val="center"/>
              <w:rPr>
                <w:color w:val="auto"/>
                <w:highlight w:val="none"/>
              </w:rPr>
            </w:pPr>
            <w:r>
              <w:rPr>
                <w:rFonts w:hint="eastAsia"/>
                <w:color w:val="auto"/>
                <w:highlight w:val="none"/>
              </w:rPr>
              <w:t>编列内容</w:t>
            </w:r>
          </w:p>
        </w:tc>
      </w:tr>
      <w:tr w14:paraId="4434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18A2C2F3">
            <w:pPr>
              <w:wordWrap/>
              <w:topLinePunct w:val="0"/>
              <w:spacing w:line="360" w:lineRule="auto"/>
              <w:rPr>
                <w:color w:val="auto"/>
                <w:highlight w:val="none"/>
              </w:rPr>
            </w:pPr>
            <w:r>
              <w:rPr>
                <w:rFonts w:hint="eastAsia"/>
                <w:color w:val="auto"/>
                <w:highlight w:val="none"/>
              </w:rPr>
              <w:t>1.1.2</w:t>
            </w:r>
          </w:p>
        </w:tc>
        <w:tc>
          <w:tcPr>
            <w:tcW w:w="2757" w:type="dxa"/>
            <w:noWrap/>
            <w:vAlign w:val="center"/>
          </w:tcPr>
          <w:p w14:paraId="3D0756F9">
            <w:pPr>
              <w:wordWrap/>
              <w:topLinePunct w:val="0"/>
              <w:spacing w:line="360" w:lineRule="auto"/>
              <w:jc w:val="center"/>
              <w:rPr>
                <w:color w:val="auto"/>
                <w:highlight w:val="none"/>
              </w:rPr>
            </w:pPr>
            <w:r>
              <w:rPr>
                <w:rFonts w:hint="eastAsia"/>
                <w:color w:val="auto"/>
                <w:highlight w:val="none"/>
              </w:rPr>
              <w:t>采购人</w:t>
            </w:r>
          </w:p>
        </w:tc>
        <w:tc>
          <w:tcPr>
            <w:tcW w:w="6333" w:type="dxa"/>
            <w:noWrap/>
            <w:vAlign w:val="center"/>
          </w:tcPr>
          <w:p w14:paraId="33C9E4F5">
            <w:pPr>
              <w:wordWrap/>
              <w:topLinePunct w:val="0"/>
              <w:spacing w:line="360" w:lineRule="auto"/>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中原工学院</w:t>
            </w:r>
          </w:p>
          <w:p w14:paraId="1341F7A4">
            <w:pPr>
              <w:wordWrap/>
              <w:topLinePunct w:val="0"/>
              <w:spacing w:line="360" w:lineRule="auto"/>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郑州市新郑双湖经济开发区淮河路1号</w:t>
            </w:r>
          </w:p>
          <w:p w14:paraId="4F6D7794">
            <w:pPr>
              <w:wordWrap/>
              <w:topLinePunct w:val="0"/>
              <w:spacing w:line="360" w:lineRule="auto"/>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成老师</w:t>
            </w:r>
          </w:p>
          <w:p w14:paraId="7851E223">
            <w:pPr>
              <w:wordWrap/>
              <w:topLinePunct w:val="0"/>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0371-62506800</w:t>
            </w:r>
          </w:p>
        </w:tc>
      </w:tr>
      <w:tr w14:paraId="707F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6CE01273">
            <w:pPr>
              <w:wordWrap/>
              <w:topLinePunct w:val="0"/>
              <w:spacing w:line="360" w:lineRule="auto"/>
              <w:rPr>
                <w:color w:val="auto"/>
                <w:highlight w:val="none"/>
              </w:rPr>
            </w:pPr>
            <w:r>
              <w:rPr>
                <w:rFonts w:hint="eastAsia"/>
                <w:color w:val="auto"/>
                <w:highlight w:val="none"/>
              </w:rPr>
              <w:t>1.1.3</w:t>
            </w:r>
          </w:p>
        </w:tc>
        <w:tc>
          <w:tcPr>
            <w:tcW w:w="2757" w:type="dxa"/>
            <w:noWrap/>
            <w:vAlign w:val="center"/>
          </w:tcPr>
          <w:p w14:paraId="3E1FB825">
            <w:pPr>
              <w:wordWrap/>
              <w:topLinePunct w:val="0"/>
              <w:spacing w:line="360" w:lineRule="auto"/>
              <w:jc w:val="center"/>
              <w:rPr>
                <w:color w:val="auto"/>
                <w:highlight w:val="none"/>
              </w:rPr>
            </w:pPr>
            <w:r>
              <w:rPr>
                <w:rFonts w:hint="eastAsia"/>
                <w:color w:val="auto"/>
                <w:highlight w:val="none"/>
              </w:rPr>
              <w:t>采购代理机构</w:t>
            </w:r>
          </w:p>
        </w:tc>
        <w:tc>
          <w:tcPr>
            <w:tcW w:w="6333" w:type="dxa"/>
            <w:noWrap/>
            <w:vAlign w:val="center"/>
          </w:tcPr>
          <w:p w14:paraId="0AA42DA2">
            <w:pPr>
              <w:wordWrap/>
              <w:topLinePunct w:val="0"/>
              <w:spacing w:line="360" w:lineRule="auto"/>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河南良智行工程管理咨询有限公司</w:t>
            </w:r>
          </w:p>
          <w:p w14:paraId="44A90710">
            <w:pPr>
              <w:wordWrap/>
              <w:topLinePunct w:val="0"/>
              <w:spacing w:line="360" w:lineRule="auto"/>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河南省郑州市惠济区江山路西、008乡道南弘泰小区1号楼1单元3层302号</w:t>
            </w:r>
          </w:p>
          <w:p w14:paraId="4DB8831E">
            <w:pPr>
              <w:wordWrap/>
              <w:topLinePunct w:val="0"/>
              <w:spacing w:line="360" w:lineRule="auto"/>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李先生</w:t>
            </w:r>
          </w:p>
          <w:p w14:paraId="2AFFD4BD">
            <w:pPr>
              <w:wordWrap/>
              <w:topLinePunct w:val="0"/>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0371-88109299  15036078881</w:t>
            </w:r>
          </w:p>
        </w:tc>
      </w:tr>
      <w:tr w14:paraId="1155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noWrap/>
            <w:vAlign w:val="center"/>
          </w:tcPr>
          <w:p w14:paraId="16F2146C">
            <w:pPr>
              <w:wordWrap/>
              <w:topLinePunct w:val="0"/>
              <w:spacing w:line="360" w:lineRule="auto"/>
              <w:rPr>
                <w:color w:val="auto"/>
                <w:highlight w:val="none"/>
              </w:rPr>
            </w:pPr>
            <w:r>
              <w:rPr>
                <w:rFonts w:hint="eastAsia"/>
                <w:color w:val="auto"/>
                <w:highlight w:val="none"/>
              </w:rPr>
              <w:t>1.1.4</w:t>
            </w:r>
          </w:p>
        </w:tc>
        <w:tc>
          <w:tcPr>
            <w:tcW w:w="2757" w:type="dxa"/>
            <w:noWrap/>
            <w:vAlign w:val="center"/>
          </w:tcPr>
          <w:p w14:paraId="060D362E">
            <w:pPr>
              <w:wordWrap/>
              <w:topLinePunct w:val="0"/>
              <w:spacing w:line="360" w:lineRule="auto"/>
              <w:jc w:val="center"/>
              <w:rPr>
                <w:color w:val="auto"/>
                <w:highlight w:val="none"/>
              </w:rPr>
            </w:pPr>
            <w:r>
              <w:rPr>
                <w:rFonts w:hint="eastAsia"/>
                <w:color w:val="auto"/>
                <w:highlight w:val="none"/>
              </w:rPr>
              <w:t>采购方式</w:t>
            </w:r>
          </w:p>
        </w:tc>
        <w:tc>
          <w:tcPr>
            <w:tcW w:w="6333" w:type="dxa"/>
            <w:noWrap/>
            <w:vAlign w:val="center"/>
          </w:tcPr>
          <w:p w14:paraId="04EE5862">
            <w:pPr>
              <w:wordWrap/>
              <w:topLinePunct w:val="0"/>
              <w:spacing w:line="360" w:lineRule="auto"/>
              <w:rPr>
                <w:color w:val="auto"/>
                <w:highlight w:val="none"/>
              </w:rPr>
            </w:pPr>
            <w:r>
              <w:rPr>
                <w:rFonts w:hint="eastAsia"/>
                <w:color w:val="auto"/>
                <w:highlight w:val="none"/>
              </w:rPr>
              <w:t>竞争性磋商</w:t>
            </w:r>
          </w:p>
        </w:tc>
      </w:tr>
      <w:tr w14:paraId="272D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noWrap/>
            <w:vAlign w:val="center"/>
          </w:tcPr>
          <w:p w14:paraId="7A5D1660">
            <w:pPr>
              <w:wordWrap/>
              <w:topLinePunct w:val="0"/>
              <w:spacing w:line="360" w:lineRule="auto"/>
              <w:rPr>
                <w:color w:val="auto"/>
                <w:highlight w:val="none"/>
              </w:rPr>
            </w:pPr>
            <w:r>
              <w:rPr>
                <w:rFonts w:hint="eastAsia"/>
                <w:color w:val="auto"/>
                <w:highlight w:val="none"/>
              </w:rPr>
              <w:t>1.1.5</w:t>
            </w:r>
          </w:p>
        </w:tc>
        <w:tc>
          <w:tcPr>
            <w:tcW w:w="2757" w:type="dxa"/>
            <w:noWrap/>
            <w:vAlign w:val="center"/>
          </w:tcPr>
          <w:p w14:paraId="6B3ACDED">
            <w:pPr>
              <w:wordWrap/>
              <w:topLinePunct w:val="0"/>
              <w:spacing w:line="360" w:lineRule="auto"/>
              <w:jc w:val="center"/>
              <w:rPr>
                <w:color w:val="auto"/>
                <w:highlight w:val="none"/>
              </w:rPr>
            </w:pPr>
            <w:r>
              <w:rPr>
                <w:rFonts w:hint="eastAsia"/>
                <w:color w:val="auto"/>
                <w:highlight w:val="none"/>
              </w:rPr>
              <w:t>项目名称及采购编号</w:t>
            </w:r>
          </w:p>
        </w:tc>
        <w:tc>
          <w:tcPr>
            <w:tcW w:w="6333" w:type="dxa"/>
            <w:noWrap/>
            <w:vAlign w:val="center"/>
          </w:tcPr>
          <w:p w14:paraId="2333C2AB">
            <w:pPr>
              <w:wordWrap/>
              <w:topLinePunct w:val="0"/>
              <w:spacing w:line="360" w:lineRule="auto"/>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中原工学院龙湖校区会议中心建设及配套设备采购项目</w:t>
            </w:r>
          </w:p>
          <w:p w14:paraId="6BA12539">
            <w:pPr>
              <w:wordWrap/>
              <w:topLinePunct w:val="0"/>
              <w:spacing w:line="360" w:lineRule="auto"/>
              <w:rPr>
                <w:color w:val="auto"/>
                <w:highlight w:val="none"/>
              </w:rPr>
            </w:pPr>
            <w:r>
              <w:rPr>
                <w:rFonts w:hint="eastAsia"/>
                <w:color w:val="auto"/>
                <w:highlight w:val="none"/>
              </w:rPr>
              <w:t>采购编号：豫财磋商采购-2025-1025</w:t>
            </w:r>
          </w:p>
        </w:tc>
      </w:tr>
      <w:tr w14:paraId="0E1D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68C8ADF1">
            <w:pPr>
              <w:wordWrap/>
              <w:topLinePunct w:val="0"/>
              <w:spacing w:line="360" w:lineRule="auto"/>
              <w:rPr>
                <w:color w:val="auto"/>
                <w:highlight w:val="none"/>
              </w:rPr>
            </w:pPr>
            <w:r>
              <w:rPr>
                <w:rFonts w:hint="eastAsia"/>
                <w:color w:val="auto"/>
                <w:highlight w:val="none"/>
              </w:rPr>
              <w:t>1.1.6</w:t>
            </w:r>
          </w:p>
        </w:tc>
        <w:tc>
          <w:tcPr>
            <w:tcW w:w="2757" w:type="dxa"/>
            <w:noWrap/>
            <w:vAlign w:val="center"/>
          </w:tcPr>
          <w:p w14:paraId="63DE3548">
            <w:pPr>
              <w:wordWrap/>
              <w:topLinePunct w:val="0"/>
              <w:spacing w:line="360" w:lineRule="auto"/>
              <w:jc w:val="center"/>
              <w:rPr>
                <w:color w:val="auto"/>
                <w:highlight w:val="none"/>
              </w:rPr>
            </w:pPr>
            <w:r>
              <w:rPr>
                <w:rFonts w:hint="eastAsia"/>
                <w:color w:val="auto"/>
                <w:highlight w:val="none"/>
              </w:rPr>
              <w:t>项目地点</w:t>
            </w:r>
          </w:p>
        </w:tc>
        <w:tc>
          <w:tcPr>
            <w:tcW w:w="6333" w:type="dxa"/>
            <w:noWrap/>
            <w:vAlign w:val="center"/>
          </w:tcPr>
          <w:p w14:paraId="39367082">
            <w:pPr>
              <w:wordWrap/>
              <w:topLinePunct w:val="0"/>
              <w:spacing w:line="360" w:lineRule="auto"/>
              <w:rPr>
                <w:color w:val="auto"/>
                <w:highlight w:val="none"/>
              </w:rPr>
            </w:pPr>
            <w:r>
              <w:rPr>
                <w:rFonts w:hint="eastAsia"/>
                <w:color w:val="auto"/>
                <w:highlight w:val="none"/>
                <w:lang w:eastAsia="zh-CN"/>
              </w:rPr>
              <w:t>中原工学院龙湖校区</w:t>
            </w:r>
          </w:p>
        </w:tc>
      </w:tr>
      <w:tr w14:paraId="2C30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43B17CA9">
            <w:pPr>
              <w:wordWrap/>
              <w:topLinePunct w:val="0"/>
              <w:spacing w:line="360" w:lineRule="auto"/>
              <w:rPr>
                <w:color w:val="auto"/>
                <w:highlight w:val="none"/>
              </w:rPr>
            </w:pPr>
            <w:r>
              <w:rPr>
                <w:rFonts w:hint="eastAsia"/>
                <w:color w:val="auto"/>
                <w:highlight w:val="none"/>
              </w:rPr>
              <w:t>1.2.1</w:t>
            </w:r>
          </w:p>
        </w:tc>
        <w:tc>
          <w:tcPr>
            <w:tcW w:w="2757" w:type="dxa"/>
            <w:noWrap/>
            <w:vAlign w:val="center"/>
          </w:tcPr>
          <w:p w14:paraId="4C241690">
            <w:pPr>
              <w:wordWrap/>
              <w:topLinePunct w:val="0"/>
              <w:spacing w:line="360" w:lineRule="auto"/>
              <w:jc w:val="center"/>
              <w:rPr>
                <w:color w:val="auto"/>
                <w:highlight w:val="none"/>
              </w:rPr>
            </w:pPr>
            <w:r>
              <w:rPr>
                <w:rFonts w:hint="eastAsia"/>
                <w:color w:val="auto"/>
                <w:highlight w:val="none"/>
              </w:rPr>
              <w:t>资金来源</w:t>
            </w:r>
          </w:p>
        </w:tc>
        <w:tc>
          <w:tcPr>
            <w:tcW w:w="6333" w:type="dxa"/>
            <w:noWrap/>
            <w:vAlign w:val="center"/>
          </w:tcPr>
          <w:p w14:paraId="3D25F345">
            <w:pPr>
              <w:wordWrap/>
              <w:topLinePunct w:val="0"/>
              <w:spacing w:line="360" w:lineRule="auto"/>
              <w:rPr>
                <w:bCs/>
                <w:color w:val="auto"/>
                <w:highlight w:val="none"/>
              </w:rPr>
            </w:pPr>
            <w:r>
              <w:rPr>
                <w:rFonts w:hint="eastAsia"/>
                <w:bCs/>
                <w:color w:val="auto"/>
                <w:highlight w:val="none"/>
              </w:rPr>
              <w:t>财政资金</w:t>
            </w:r>
          </w:p>
        </w:tc>
      </w:tr>
      <w:tr w14:paraId="7F8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431AF0A2">
            <w:pPr>
              <w:wordWrap/>
              <w:topLinePunct w:val="0"/>
              <w:spacing w:line="360" w:lineRule="auto"/>
              <w:rPr>
                <w:color w:val="auto"/>
                <w:highlight w:val="none"/>
              </w:rPr>
            </w:pPr>
            <w:r>
              <w:rPr>
                <w:rFonts w:hint="eastAsia"/>
                <w:color w:val="auto"/>
                <w:highlight w:val="none"/>
              </w:rPr>
              <w:t>1.2.2</w:t>
            </w:r>
          </w:p>
        </w:tc>
        <w:tc>
          <w:tcPr>
            <w:tcW w:w="2757" w:type="dxa"/>
            <w:noWrap/>
            <w:vAlign w:val="center"/>
          </w:tcPr>
          <w:p w14:paraId="515611C3">
            <w:pPr>
              <w:wordWrap/>
              <w:topLinePunct w:val="0"/>
              <w:spacing w:line="360" w:lineRule="auto"/>
              <w:jc w:val="center"/>
              <w:rPr>
                <w:color w:val="auto"/>
                <w:highlight w:val="none"/>
              </w:rPr>
            </w:pPr>
            <w:r>
              <w:rPr>
                <w:rFonts w:hint="eastAsia"/>
                <w:color w:val="auto"/>
                <w:highlight w:val="none"/>
              </w:rPr>
              <w:t>采购预算金额</w:t>
            </w:r>
          </w:p>
        </w:tc>
        <w:tc>
          <w:tcPr>
            <w:tcW w:w="6333" w:type="dxa"/>
            <w:noWrap/>
            <w:vAlign w:val="center"/>
          </w:tcPr>
          <w:p w14:paraId="0702D663">
            <w:pPr>
              <w:wordWrap/>
              <w:topLinePunct w:val="0"/>
              <w:spacing w:line="360" w:lineRule="auto"/>
              <w:rPr>
                <w:rFonts w:hint="default" w:eastAsia="宋体"/>
                <w:color w:val="auto"/>
                <w:highlight w:val="none"/>
                <w:lang w:val="en-US" w:eastAsia="zh-CN"/>
              </w:rPr>
            </w:pPr>
            <w:r>
              <w:rPr>
                <w:rFonts w:hint="eastAsia"/>
                <w:color w:val="auto"/>
                <w:highlight w:val="none"/>
                <w:lang w:eastAsia="zh-CN"/>
              </w:rPr>
              <w:t>3550000.00</w:t>
            </w:r>
            <w:r>
              <w:rPr>
                <w:rFonts w:hint="eastAsia"/>
                <w:color w:val="auto"/>
                <w:highlight w:val="none"/>
                <w:lang w:val="en-US" w:eastAsia="zh-CN"/>
              </w:rPr>
              <w:t>元</w:t>
            </w:r>
          </w:p>
        </w:tc>
      </w:tr>
      <w:tr w14:paraId="18FE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0CD96A84">
            <w:pPr>
              <w:wordWrap/>
              <w:topLinePunct w:val="0"/>
              <w:spacing w:line="360" w:lineRule="auto"/>
              <w:rPr>
                <w:color w:val="auto"/>
                <w:highlight w:val="none"/>
              </w:rPr>
            </w:pPr>
            <w:r>
              <w:rPr>
                <w:rFonts w:hint="eastAsia"/>
                <w:color w:val="auto"/>
                <w:highlight w:val="none"/>
              </w:rPr>
              <w:t>1.2.3</w:t>
            </w:r>
          </w:p>
        </w:tc>
        <w:tc>
          <w:tcPr>
            <w:tcW w:w="2757" w:type="dxa"/>
            <w:noWrap/>
            <w:vAlign w:val="center"/>
          </w:tcPr>
          <w:p w14:paraId="177F7647">
            <w:pPr>
              <w:wordWrap/>
              <w:topLinePunct w:val="0"/>
              <w:spacing w:line="360" w:lineRule="auto"/>
              <w:jc w:val="center"/>
              <w:rPr>
                <w:color w:val="auto"/>
                <w:highlight w:val="none"/>
              </w:rPr>
            </w:pPr>
            <w:r>
              <w:rPr>
                <w:rFonts w:hint="eastAsia"/>
                <w:color w:val="auto"/>
                <w:highlight w:val="none"/>
              </w:rPr>
              <w:t>采购项目性质</w:t>
            </w:r>
          </w:p>
        </w:tc>
        <w:tc>
          <w:tcPr>
            <w:tcW w:w="6333" w:type="dxa"/>
            <w:noWrap/>
            <w:vAlign w:val="center"/>
          </w:tcPr>
          <w:p w14:paraId="7B43D3C0">
            <w:pPr>
              <w:wordWrap/>
              <w:topLinePunct w:val="0"/>
              <w:spacing w:line="360" w:lineRule="auto"/>
              <w:rPr>
                <w:color w:val="auto"/>
                <w:highlight w:val="none"/>
              </w:rPr>
            </w:pPr>
            <w:r>
              <w:rPr>
                <w:rFonts w:hint="eastAsia"/>
                <w:color w:val="auto"/>
                <w:highlight w:val="none"/>
              </w:rPr>
              <w:t>货物</w:t>
            </w:r>
          </w:p>
        </w:tc>
      </w:tr>
      <w:tr w14:paraId="16F2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688102ED">
            <w:pPr>
              <w:wordWrap/>
              <w:topLinePunct w:val="0"/>
              <w:spacing w:line="360" w:lineRule="auto"/>
              <w:rPr>
                <w:color w:val="auto"/>
                <w:highlight w:val="none"/>
              </w:rPr>
            </w:pPr>
            <w:r>
              <w:rPr>
                <w:rFonts w:hint="eastAsia"/>
                <w:color w:val="auto"/>
                <w:highlight w:val="none"/>
              </w:rPr>
              <w:t>1.2.4</w:t>
            </w:r>
          </w:p>
        </w:tc>
        <w:tc>
          <w:tcPr>
            <w:tcW w:w="2757" w:type="dxa"/>
            <w:noWrap/>
            <w:vAlign w:val="center"/>
          </w:tcPr>
          <w:p w14:paraId="60992D7C">
            <w:pPr>
              <w:wordWrap/>
              <w:topLinePunct w:val="0"/>
              <w:spacing w:line="360" w:lineRule="auto"/>
              <w:jc w:val="center"/>
              <w:rPr>
                <w:color w:val="auto"/>
                <w:highlight w:val="none"/>
              </w:rPr>
            </w:pPr>
            <w:r>
              <w:rPr>
                <w:rFonts w:hint="eastAsia"/>
                <w:color w:val="auto"/>
                <w:highlight w:val="none"/>
              </w:rPr>
              <w:t>资金落实情况</w:t>
            </w:r>
          </w:p>
        </w:tc>
        <w:tc>
          <w:tcPr>
            <w:tcW w:w="6333" w:type="dxa"/>
            <w:noWrap/>
            <w:vAlign w:val="center"/>
          </w:tcPr>
          <w:p w14:paraId="7BA50CCF">
            <w:pPr>
              <w:wordWrap/>
              <w:topLinePunct w:val="0"/>
              <w:spacing w:line="360" w:lineRule="auto"/>
              <w:rPr>
                <w:color w:val="auto"/>
                <w:highlight w:val="none"/>
              </w:rPr>
            </w:pPr>
            <w:r>
              <w:rPr>
                <w:rFonts w:hint="eastAsia"/>
                <w:bCs/>
                <w:color w:val="auto"/>
                <w:highlight w:val="none"/>
              </w:rPr>
              <w:t>已落实</w:t>
            </w:r>
          </w:p>
        </w:tc>
      </w:tr>
      <w:tr w14:paraId="3E2F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625CE2FC">
            <w:pPr>
              <w:wordWrap/>
              <w:topLinePunct w:val="0"/>
              <w:spacing w:line="360" w:lineRule="auto"/>
              <w:rPr>
                <w:rFonts w:hint="eastAsia" w:eastAsia="宋体"/>
                <w:color w:val="auto"/>
                <w:highlight w:val="none"/>
                <w:lang w:eastAsia="zh-CN"/>
              </w:rPr>
            </w:pPr>
            <w:r>
              <w:rPr>
                <w:rFonts w:hint="eastAsia"/>
                <w:color w:val="auto"/>
                <w:highlight w:val="none"/>
              </w:rPr>
              <w:t>1.3.</w:t>
            </w:r>
            <w:r>
              <w:rPr>
                <w:rFonts w:hint="eastAsia"/>
                <w:color w:val="auto"/>
                <w:highlight w:val="none"/>
                <w:lang w:val="en-US" w:eastAsia="zh-CN"/>
              </w:rPr>
              <w:t>1</w:t>
            </w:r>
          </w:p>
        </w:tc>
        <w:tc>
          <w:tcPr>
            <w:tcW w:w="2757" w:type="dxa"/>
            <w:noWrap/>
            <w:vAlign w:val="center"/>
          </w:tcPr>
          <w:p w14:paraId="3BF3F140">
            <w:pPr>
              <w:wordWrap/>
              <w:topLinePunct w:val="0"/>
              <w:spacing w:line="360" w:lineRule="auto"/>
              <w:jc w:val="center"/>
              <w:rPr>
                <w:color w:val="auto"/>
                <w:highlight w:val="none"/>
              </w:rPr>
            </w:pPr>
            <w:r>
              <w:rPr>
                <w:rFonts w:hint="eastAsia"/>
                <w:color w:val="auto"/>
                <w:highlight w:val="none"/>
              </w:rPr>
              <w:t>交货及安装期</w:t>
            </w:r>
          </w:p>
        </w:tc>
        <w:tc>
          <w:tcPr>
            <w:tcW w:w="6333" w:type="dxa"/>
            <w:noWrap/>
            <w:vAlign w:val="center"/>
          </w:tcPr>
          <w:p w14:paraId="10855465">
            <w:pPr>
              <w:wordWrap/>
              <w:topLinePunct w:val="0"/>
              <w:spacing w:line="360" w:lineRule="auto"/>
              <w:rPr>
                <w:rFonts w:hint="eastAsia" w:eastAsia="宋体"/>
                <w:color w:val="auto"/>
                <w:highlight w:val="none"/>
                <w:lang w:eastAsia="zh-CN"/>
              </w:rPr>
            </w:pPr>
            <w:r>
              <w:rPr>
                <w:rFonts w:hint="eastAsia"/>
                <w:color w:val="auto"/>
                <w:highlight w:val="none"/>
                <w:lang w:eastAsia="zh-CN"/>
              </w:rPr>
              <w:t>签订合同后20日历天</w:t>
            </w:r>
          </w:p>
        </w:tc>
      </w:tr>
      <w:tr w14:paraId="42B9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ign w:val="center"/>
          </w:tcPr>
          <w:p w14:paraId="3ADFE0A6">
            <w:pPr>
              <w:wordWrap/>
              <w:topLinePunct w:val="0"/>
              <w:spacing w:line="360" w:lineRule="auto"/>
              <w:rPr>
                <w:rFonts w:hint="eastAsia" w:eastAsia="宋体"/>
                <w:color w:val="auto"/>
                <w:highlight w:val="none"/>
                <w:lang w:val="en-US" w:eastAsia="zh-CN"/>
              </w:rPr>
            </w:pPr>
            <w:r>
              <w:rPr>
                <w:rFonts w:hint="eastAsia"/>
                <w:color w:val="auto"/>
                <w:highlight w:val="none"/>
              </w:rPr>
              <w:t>1.3.</w:t>
            </w:r>
            <w:r>
              <w:rPr>
                <w:rFonts w:hint="eastAsia"/>
                <w:color w:val="auto"/>
                <w:highlight w:val="none"/>
                <w:lang w:val="en-US" w:eastAsia="zh-CN"/>
              </w:rPr>
              <w:t>2</w:t>
            </w:r>
          </w:p>
        </w:tc>
        <w:tc>
          <w:tcPr>
            <w:tcW w:w="2757" w:type="dxa"/>
            <w:noWrap/>
            <w:vAlign w:val="center"/>
          </w:tcPr>
          <w:p w14:paraId="3B962301">
            <w:pPr>
              <w:wordWrap/>
              <w:topLinePunct w:val="0"/>
              <w:spacing w:line="360" w:lineRule="auto"/>
              <w:jc w:val="center"/>
              <w:rPr>
                <w:color w:val="auto"/>
                <w:highlight w:val="none"/>
              </w:rPr>
            </w:pPr>
            <w:r>
              <w:rPr>
                <w:rFonts w:hint="eastAsia"/>
                <w:color w:val="auto"/>
                <w:highlight w:val="none"/>
              </w:rPr>
              <w:t>服务地点</w:t>
            </w:r>
          </w:p>
        </w:tc>
        <w:tc>
          <w:tcPr>
            <w:tcW w:w="6333" w:type="dxa"/>
            <w:noWrap/>
            <w:vAlign w:val="center"/>
          </w:tcPr>
          <w:p w14:paraId="2E82D9A5">
            <w:pPr>
              <w:wordWrap/>
              <w:topLinePunct w:val="0"/>
              <w:spacing w:line="360" w:lineRule="auto"/>
              <w:rPr>
                <w:color w:val="auto"/>
                <w:highlight w:val="none"/>
              </w:rPr>
            </w:pPr>
            <w:r>
              <w:rPr>
                <w:rFonts w:hint="eastAsia"/>
                <w:color w:val="auto"/>
                <w:highlight w:val="none"/>
                <w:lang w:eastAsia="zh-CN"/>
              </w:rPr>
              <w:t>中原工学院龙湖校区</w:t>
            </w:r>
          </w:p>
        </w:tc>
      </w:tr>
      <w:tr w14:paraId="3BAF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4" w:type="dxa"/>
            <w:noWrap/>
            <w:vAlign w:val="center"/>
          </w:tcPr>
          <w:p w14:paraId="30654C9F">
            <w:pPr>
              <w:wordWrap/>
              <w:topLinePunct w:val="0"/>
              <w:spacing w:line="360" w:lineRule="auto"/>
              <w:rPr>
                <w:rFonts w:hint="eastAsia" w:eastAsia="宋体"/>
                <w:color w:val="auto"/>
                <w:highlight w:val="none"/>
                <w:lang w:val="en-US" w:eastAsia="zh-CN"/>
              </w:rPr>
            </w:pPr>
            <w:r>
              <w:rPr>
                <w:rFonts w:hint="eastAsia"/>
                <w:color w:val="auto"/>
                <w:highlight w:val="none"/>
              </w:rPr>
              <w:t>1.3.</w:t>
            </w:r>
            <w:r>
              <w:rPr>
                <w:rFonts w:hint="eastAsia"/>
                <w:color w:val="auto"/>
                <w:highlight w:val="none"/>
                <w:lang w:val="en-US" w:eastAsia="zh-CN"/>
              </w:rPr>
              <w:t>3</w:t>
            </w:r>
          </w:p>
        </w:tc>
        <w:tc>
          <w:tcPr>
            <w:tcW w:w="2757" w:type="dxa"/>
            <w:noWrap/>
            <w:vAlign w:val="center"/>
          </w:tcPr>
          <w:p w14:paraId="5880078C">
            <w:pPr>
              <w:wordWrap/>
              <w:topLinePunct w:val="0"/>
              <w:spacing w:line="360" w:lineRule="auto"/>
              <w:jc w:val="center"/>
              <w:rPr>
                <w:color w:val="auto"/>
                <w:highlight w:val="none"/>
              </w:rPr>
            </w:pPr>
            <w:r>
              <w:rPr>
                <w:rFonts w:hint="eastAsia"/>
                <w:color w:val="auto"/>
                <w:highlight w:val="none"/>
              </w:rPr>
              <w:t>质量要求</w:t>
            </w:r>
          </w:p>
        </w:tc>
        <w:tc>
          <w:tcPr>
            <w:tcW w:w="6333" w:type="dxa"/>
            <w:noWrap/>
            <w:vAlign w:val="center"/>
          </w:tcPr>
          <w:p w14:paraId="43639067">
            <w:pPr>
              <w:pStyle w:val="45"/>
              <w:spacing w:line="360" w:lineRule="auto"/>
              <w:ind w:firstLine="0" w:firstLineChars="0"/>
              <w:rPr>
                <w:color w:val="auto"/>
                <w:highlight w:val="none"/>
              </w:rPr>
            </w:pPr>
            <w:r>
              <w:rPr>
                <w:rFonts w:hint="eastAsia" w:ascii="宋体" w:hAnsi="宋体" w:eastAsia="宋体" w:cs="宋体"/>
                <w:color w:val="auto"/>
                <w:spacing w:val="7"/>
                <w:sz w:val="21"/>
                <w:szCs w:val="21"/>
                <w:highlight w:val="none"/>
                <w:lang w:eastAsia="zh-CN"/>
              </w:rPr>
              <w:t>合格，达到国家、行业规范标准，并满足采购人要求。</w:t>
            </w:r>
          </w:p>
        </w:tc>
      </w:tr>
      <w:tr w14:paraId="727A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7" w:hRule="atLeast"/>
          <w:jc w:val="center"/>
        </w:trPr>
        <w:tc>
          <w:tcPr>
            <w:tcW w:w="974" w:type="dxa"/>
            <w:noWrap/>
            <w:vAlign w:val="center"/>
          </w:tcPr>
          <w:p w14:paraId="626FE640">
            <w:pPr>
              <w:wordWrap/>
              <w:topLinePunct w:val="0"/>
              <w:spacing w:line="360" w:lineRule="auto"/>
              <w:rPr>
                <w:color w:val="auto"/>
                <w:highlight w:val="none"/>
              </w:rPr>
            </w:pPr>
            <w:r>
              <w:rPr>
                <w:rFonts w:hint="eastAsia"/>
                <w:color w:val="auto"/>
                <w:highlight w:val="none"/>
              </w:rPr>
              <w:t>1.4.1</w:t>
            </w:r>
          </w:p>
        </w:tc>
        <w:tc>
          <w:tcPr>
            <w:tcW w:w="2757" w:type="dxa"/>
            <w:noWrap/>
            <w:vAlign w:val="center"/>
          </w:tcPr>
          <w:p w14:paraId="2F152FBB">
            <w:pPr>
              <w:wordWrap/>
              <w:topLinePunct w:val="0"/>
              <w:spacing w:line="360" w:lineRule="auto"/>
              <w:jc w:val="center"/>
              <w:rPr>
                <w:color w:val="auto"/>
                <w:highlight w:val="none"/>
              </w:rPr>
            </w:pPr>
            <w:r>
              <w:rPr>
                <w:rFonts w:hint="eastAsia"/>
                <w:color w:val="auto"/>
                <w:highlight w:val="none"/>
              </w:rPr>
              <w:t>供应商资格条件</w:t>
            </w:r>
          </w:p>
        </w:tc>
        <w:tc>
          <w:tcPr>
            <w:tcW w:w="6333" w:type="dxa"/>
            <w:noWrap/>
          </w:tcPr>
          <w:p w14:paraId="4D456D9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1、满足《中华人民共和国政府采购法》第二十二条规定；</w:t>
            </w:r>
          </w:p>
          <w:p w14:paraId="18A14C4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2、落实政府采购政策满足的资格要求：</w:t>
            </w:r>
          </w:p>
          <w:p w14:paraId="138125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促进中小型企业发展政策（监狱企业、残疾人福利性企业视同小微企业）、强制采购节</w:t>
            </w:r>
            <w:r>
              <w:rPr>
                <w:rFonts w:ascii="宋体" w:hAnsi="宋体" w:eastAsia="宋体" w:cs="宋体"/>
                <w:color w:val="auto"/>
                <w:spacing w:val="7"/>
                <w:sz w:val="21"/>
                <w:szCs w:val="21"/>
                <w:highlight w:val="none"/>
              </w:rPr>
              <w:t>能产品、优</w:t>
            </w:r>
            <w:r>
              <w:rPr>
                <w:rFonts w:ascii="宋体" w:hAnsi="宋体" w:eastAsia="宋体" w:cs="宋体"/>
                <w:color w:val="auto"/>
                <w:spacing w:val="8"/>
                <w:sz w:val="21"/>
                <w:szCs w:val="21"/>
                <w:highlight w:val="none"/>
              </w:rPr>
              <w:t>先采购节能环保产品等政府采购政策。</w:t>
            </w:r>
          </w:p>
          <w:p w14:paraId="7197E77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3、本项目的特定资格要求</w:t>
            </w:r>
          </w:p>
          <w:p w14:paraId="326200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3.1 信誉要求：根据《关于在政府采购活动中查询及使用信用记录有关问题的通知》（财库［2016］125号）的规定，对列入失信被执行人、重大税收违法失信主体、政府采购严重违法失信行为记录名单的供应商，拒绝参与本项目政府采购活动；采购人、采购代理机构将通过“信用中国 ”网站（</w:t>
            </w:r>
            <w:r>
              <w:rPr>
                <w:rFonts w:ascii="宋体" w:hAnsi="宋体" w:eastAsia="宋体" w:cs="宋体"/>
                <w:color w:val="auto"/>
                <w:spacing w:val="8"/>
                <w:sz w:val="21"/>
                <w:szCs w:val="21"/>
                <w:highlight w:val="none"/>
              </w:rPr>
              <w:fldChar w:fldCharType="begin"/>
            </w:r>
            <w:r>
              <w:rPr>
                <w:rFonts w:ascii="宋体" w:hAnsi="宋体" w:eastAsia="宋体" w:cs="宋体"/>
                <w:color w:val="auto"/>
                <w:spacing w:val="8"/>
                <w:sz w:val="21"/>
                <w:szCs w:val="21"/>
                <w:highlight w:val="none"/>
              </w:rPr>
              <w:instrText xml:space="preserve"> HYPERLINK "https://www.creditchina.gov.cn" </w:instrText>
            </w:r>
            <w:r>
              <w:rPr>
                <w:rFonts w:ascii="宋体" w:hAnsi="宋体" w:eastAsia="宋体" w:cs="宋体"/>
                <w:color w:val="auto"/>
                <w:spacing w:val="8"/>
                <w:sz w:val="21"/>
                <w:szCs w:val="21"/>
                <w:highlight w:val="none"/>
              </w:rPr>
              <w:fldChar w:fldCharType="separate"/>
            </w:r>
            <w:r>
              <w:rPr>
                <w:rFonts w:ascii="宋体" w:hAnsi="宋体" w:eastAsia="宋体" w:cs="宋体"/>
                <w:color w:val="auto"/>
                <w:spacing w:val="8"/>
                <w:sz w:val="21"/>
                <w:szCs w:val="21"/>
                <w:highlight w:val="none"/>
              </w:rPr>
              <w:t>www.creditchina.gov.cn</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）、中国政府采购网（</w:t>
            </w:r>
            <w:r>
              <w:rPr>
                <w:rFonts w:ascii="宋体" w:hAnsi="宋体" w:eastAsia="宋体" w:cs="宋体"/>
                <w:color w:val="auto"/>
                <w:spacing w:val="8"/>
                <w:sz w:val="21"/>
                <w:szCs w:val="21"/>
                <w:highlight w:val="none"/>
              </w:rPr>
              <w:fldChar w:fldCharType="begin"/>
            </w:r>
            <w:r>
              <w:rPr>
                <w:rFonts w:ascii="宋体" w:hAnsi="宋体" w:eastAsia="宋体" w:cs="宋体"/>
                <w:color w:val="auto"/>
                <w:spacing w:val="8"/>
                <w:sz w:val="21"/>
                <w:szCs w:val="21"/>
                <w:highlight w:val="none"/>
              </w:rPr>
              <w:instrText xml:space="preserve"> HYPERLINK "https://www.ccgp.gov.cn" </w:instrText>
            </w:r>
            <w:r>
              <w:rPr>
                <w:rFonts w:ascii="宋体" w:hAnsi="宋体" w:eastAsia="宋体" w:cs="宋体"/>
                <w:color w:val="auto"/>
                <w:spacing w:val="8"/>
                <w:sz w:val="21"/>
                <w:szCs w:val="21"/>
                <w:highlight w:val="none"/>
              </w:rPr>
              <w:fldChar w:fldCharType="separate"/>
            </w:r>
            <w:r>
              <w:rPr>
                <w:rFonts w:ascii="宋体" w:hAnsi="宋体" w:eastAsia="宋体" w:cs="宋体"/>
                <w:color w:val="auto"/>
                <w:spacing w:val="8"/>
                <w:sz w:val="21"/>
                <w:szCs w:val="21"/>
                <w:highlight w:val="none"/>
              </w:rPr>
              <w:t>www.ccgp.gov.cn</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）渠道查询供应商信用记录，被列入失信被执行人、重大税收违法失信主体、政府采购严重违法失信行为记录名单的单位将被拒绝参与本项目投标</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以开标当天采购人及采购代理机构现场查询为准</w:t>
            </w:r>
            <w:r>
              <w:rPr>
                <w:rFonts w:hint="eastAsia" w:ascii="宋体" w:hAnsi="宋体" w:eastAsia="宋体" w:cs="宋体"/>
                <w:color w:val="auto"/>
                <w:spacing w:val="8"/>
                <w:sz w:val="21"/>
                <w:szCs w:val="21"/>
                <w:highlight w:val="none"/>
                <w:lang w:eastAsia="zh-CN"/>
              </w:rPr>
              <w:t>）</w:t>
            </w:r>
            <w:r>
              <w:rPr>
                <w:rFonts w:ascii="宋体" w:hAnsi="宋体" w:eastAsia="宋体" w:cs="宋体"/>
                <w:color w:val="auto"/>
                <w:spacing w:val="8"/>
                <w:sz w:val="21"/>
                <w:szCs w:val="21"/>
                <w:highlight w:val="none"/>
              </w:rPr>
              <w:t>；信用信息查询记录和证据将同采购文件等资 料一同归档保存。</w:t>
            </w:r>
          </w:p>
          <w:p w14:paraId="1E3564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color w:val="auto"/>
                <w:highlight w:val="none"/>
              </w:rPr>
            </w:pPr>
            <w:r>
              <w:rPr>
                <w:rFonts w:hint="eastAsia" w:ascii="宋体" w:hAnsi="宋体" w:eastAsia="宋体" w:cs="宋体"/>
                <w:color w:val="auto"/>
                <w:spacing w:val="8"/>
                <w:sz w:val="21"/>
                <w:szCs w:val="21"/>
                <w:highlight w:val="none"/>
                <w:lang w:val="en-US" w:eastAsia="zh-CN"/>
              </w:rPr>
              <w:t>3.2</w:t>
            </w:r>
            <w:r>
              <w:rPr>
                <w:rFonts w:ascii="宋体" w:hAnsi="宋体" w:eastAsia="宋体" w:cs="宋体"/>
                <w:color w:val="auto"/>
                <w:spacing w:val="8"/>
                <w:sz w:val="21"/>
                <w:szCs w:val="21"/>
                <w:highlight w:val="none"/>
              </w:rPr>
              <w:t>单位负责人为同一人或者存在直接控股、管理关系的不同供应商，不得参加同一合同项下的政府采购活动。</w:t>
            </w:r>
          </w:p>
        </w:tc>
      </w:tr>
      <w:tr w14:paraId="04E9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132B7B5B">
            <w:pPr>
              <w:wordWrap/>
              <w:topLinePunct w:val="0"/>
              <w:spacing w:line="360" w:lineRule="auto"/>
              <w:rPr>
                <w:color w:val="auto"/>
                <w:highlight w:val="none"/>
              </w:rPr>
            </w:pPr>
            <w:r>
              <w:rPr>
                <w:rFonts w:hint="eastAsia"/>
                <w:color w:val="auto"/>
                <w:highlight w:val="none"/>
              </w:rPr>
              <w:t>1.4.2</w:t>
            </w:r>
          </w:p>
        </w:tc>
        <w:tc>
          <w:tcPr>
            <w:tcW w:w="2757" w:type="dxa"/>
            <w:noWrap/>
            <w:vAlign w:val="center"/>
          </w:tcPr>
          <w:p w14:paraId="20BA975F">
            <w:pPr>
              <w:wordWrap/>
              <w:topLinePunct w:val="0"/>
              <w:spacing w:line="360" w:lineRule="auto"/>
              <w:jc w:val="center"/>
              <w:rPr>
                <w:color w:val="auto"/>
                <w:highlight w:val="none"/>
              </w:rPr>
            </w:pPr>
            <w:r>
              <w:rPr>
                <w:rFonts w:hint="eastAsia"/>
                <w:color w:val="auto"/>
                <w:highlight w:val="none"/>
              </w:rPr>
              <w:t>是否接受联合体参加磋商</w:t>
            </w:r>
          </w:p>
        </w:tc>
        <w:tc>
          <w:tcPr>
            <w:tcW w:w="6333" w:type="dxa"/>
            <w:noWrap/>
          </w:tcPr>
          <w:p w14:paraId="4F2FA641">
            <w:pPr>
              <w:wordWrap/>
              <w:topLinePunct w:val="0"/>
              <w:spacing w:line="360" w:lineRule="auto"/>
              <w:rPr>
                <w:color w:val="auto"/>
                <w:highlight w:val="none"/>
              </w:rPr>
            </w:pPr>
            <w:r>
              <w:rPr>
                <w:rFonts w:hint="eastAsia"/>
                <w:color w:val="auto"/>
                <w:highlight w:val="none"/>
              </w:rPr>
              <w:t>不接受</w:t>
            </w:r>
          </w:p>
        </w:tc>
      </w:tr>
      <w:tr w14:paraId="0D70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ign w:val="center"/>
          </w:tcPr>
          <w:p w14:paraId="00931768">
            <w:pPr>
              <w:wordWrap/>
              <w:topLinePunct w:val="0"/>
              <w:spacing w:line="360" w:lineRule="auto"/>
              <w:rPr>
                <w:color w:val="auto"/>
                <w:highlight w:val="none"/>
              </w:rPr>
            </w:pPr>
            <w:r>
              <w:rPr>
                <w:rFonts w:hint="eastAsia"/>
                <w:color w:val="auto"/>
                <w:highlight w:val="none"/>
              </w:rPr>
              <w:t>1.9.1</w:t>
            </w:r>
          </w:p>
        </w:tc>
        <w:tc>
          <w:tcPr>
            <w:tcW w:w="2757" w:type="dxa"/>
            <w:noWrap/>
            <w:vAlign w:val="center"/>
          </w:tcPr>
          <w:p w14:paraId="18FCFD36">
            <w:pPr>
              <w:wordWrap/>
              <w:topLinePunct w:val="0"/>
              <w:spacing w:line="360" w:lineRule="auto"/>
              <w:jc w:val="center"/>
              <w:rPr>
                <w:color w:val="auto"/>
                <w:highlight w:val="none"/>
              </w:rPr>
            </w:pPr>
            <w:r>
              <w:rPr>
                <w:rFonts w:hint="eastAsia"/>
                <w:color w:val="auto"/>
                <w:highlight w:val="none"/>
              </w:rPr>
              <w:t>现场考察</w:t>
            </w:r>
          </w:p>
        </w:tc>
        <w:tc>
          <w:tcPr>
            <w:tcW w:w="6333" w:type="dxa"/>
            <w:noWrap/>
            <w:vAlign w:val="center"/>
          </w:tcPr>
          <w:p w14:paraId="66F4B05E">
            <w:pPr>
              <w:wordWrap/>
              <w:topLinePunct w:val="0"/>
              <w:spacing w:line="360" w:lineRule="auto"/>
              <w:rPr>
                <w:color w:val="auto"/>
                <w:highlight w:val="none"/>
              </w:rPr>
            </w:pPr>
            <w:r>
              <w:rPr>
                <w:rFonts w:hint="eastAsia"/>
                <w:color w:val="auto"/>
                <w:highlight w:val="none"/>
              </w:rPr>
              <w:t>不组织</w:t>
            </w:r>
          </w:p>
        </w:tc>
      </w:tr>
      <w:tr w14:paraId="37AD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ign w:val="center"/>
          </w:tcPr>
          <w:p w14:paraId="643A5692">
            <w:pPr>
              <w:wordWrap/>
              <w:topLinePunct w:val="0"/>
              <w:spacing w:line="360" w:lineRule="auto"/>
              <w:rPr>
                <w:color w:val="auto"/>
                <w:highlight w:val="none"/>
              </w:rPr>
            </w:pPr>
            <w:r>
              <w:rPr>
                <w:rFonts w:hint="eastAsia"/>
                <w:color w:val="auto"/>
                <w:highlight w:val="none"/>
              </w:rPr>
              <w:t>1.9.5</w:t>
            </w:r>
          </w:p>
        </w:tc>
        <w:tc>
          <w:tcPr>
            <w:tcW w:w="2757" w:type="dxa"/>
            <w:noWrap/>
            <w:vAlign w:val="center"/>
          </w:tcPr>
          <w:p w14:paraId="689B2737">
            <w:pPr>
              <w:wordWrap/>
              <w:topLinePunct w:val="0"/>
              <w:spacing w:line="360" w:lineRule="auto"/>
              <w:jc w:val="center"/>
              <w:rPr>
                <w:color w:val="auto"/>
                <w:highlight w:val="none"/>
              </w:rPr>
            </w:pPr>
            <w:r>
              <w:rPr>
                <w:rFonts w:hint="eastAsia"/>
                <w:color w:val="auto"/>
                <w:highlight w:val="none"/>
              </w:rPr>
              <w:t>答 疑 会</w:t>
            </w:r>
          </w:p>
        </w:tc>
        <w:tc>
          <w:tcPr>
            <w:tcW w:w="6333" w:type="dxa"/>
            <w:noWrap/>
            <w:vAlign w:val="center"/>
          </w:tcPr>
          <w:p w14:paraId="590FAA10">
            <w:pPr>
              <w:tabs>
                <w:tab w:val="left" w:pos="720"/>
                <w:tab w:val="left" w:pos="1904"/>
              </w:tabs>
              <w:wordWrap/>
              <w:topLinePunct w:val="0"/>
              <w:spacing w:line="400" w:lineRule="exact"/>
              <w:rPr>
                <w:color w:val="auto"/>
                <w:highlight w:val="none"/>
              </w:rPr>
            </w:pPr>
            <w:r>
              <w:rPr>
                <w:rFonts w:hint="eastAsia"/>
                <w:color w:val="auto"/>
                <w:highlight w:val="none"/>
              </w:rPr>
              <w:t>不召开</w:t>
            </w:r>
          </w:p>
        </w:tc>
      </w:tr>
      <w:tr w14:paraId="1F6F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noWrap/>
            <w:vAlign w:val="center"/>
          </w:tcPr>
          <w:p w14:paraId="5F56B3C6">
            <w:pPr>
              <w:wordWrap/>
              <w:topLinePunct w:val="0"/>
              <w:spacing w:line="360" w:lineRule="auto"/>
              <w:rPr>
                <w:color w:val="auto"/>
                <w:highlight w:val="none"/>
              </w:rPr>
            </w:pPr>
            <w:r>
              <w:rPr>
                <w:rFonts w:hint="eastAsia"/>
                <w:color w:val="auto"/>
                <w:highlight w:val="none"/>
              </w:rPr>
              <w:t>1.10</w:t>
            </w:r>
          </w:p>
        </w:tc>
        <w:tc>
          <w:tcPr>
            <w:tcW w:w="2757" w:type="dxa"/>
            <w:noWrap/>
            <w:vAlign w:val="center"/>
          </w:tcPr>
          <w:p w14:paraId="1354B345">
            <w:pPr>
              <w:wordWrap/>
              <w:topLinePunct w:val="0"/>
              <w:spacing w:line="360" w:lineRule="auto"/>
              <w:jc w:val="center"/>
              <w:rPr>
                <w:color w:val="auto"/>
                <w:highlight w:val="none"/>
              </w:rPr>
            </w:pPr>
            <w:r>
              <w:rPr>
                <w:rFonts w:hint="eastAsia"/>
                <w:color w:val="auto"/>
                <w:highlight w:val="none"/>
              </w:rPr>
              <w:t>分包</w:t>
            </w:r>
          </w:p>
        </w:tc>
        <w:tc>
          <w:tcPr>
            <w:tcW w:w="6333" w:type="dxa"/>
            <w:noWrap/>
            <w:vAlign w:val="center"/>
          </w:tcPr>
          <w:p w14:paraId="79096892">
            <w:pPr>
              <w:wordWrap/>
              <w:topLinePunct w:val="0"/>
              <w:spacing w:line="360" w:lineRule="auto"/>
              <w:rPr>
                <w:color w:val="auto"/>
                <w:highlight w:val="none"/>
              </w:rPr>
            </w:pPr>
            <w:r>
              <w:rPr>
                <w:rFonts w:hint="eastAsia"/>
                <w:color w:val="auto"/>
                <w:highlight w:val="none"/>
              </w:rPr>
              <w:t>不允许</w:t>
            </w:r>
          </w:p>
        </w:tc>
      </w:tr>
      <w:tr w14:paraId="115A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ign w:val="center"/>
          </w:tcPr>
          <w:p w14:paraId="19E5A8A9">
            <w:pPr>
              <w:wordWrap/>
              <w:topLinePunct w:val="0"/>
              <w:spacing w:line="360" w:lineRule="auto"/>
              <w:rPr>
                <w:color w:val="auto"/>
                <w:highlight w:val="none"/>
              </w:rPr>
            </w:pPr>
            <w:r>
              <w:rPr>
                <w:rFonts w:hint="eastAsia"/>
                <w:color w:val="auto"/>
                <w:highlight w:val="none"/>
              </w:rPr>
              <w:t>1.11.1</w:t>
            </w:r>
          </w:p>
        </w:tc>
        <w:tc>
          <w:tcPr>
            <w:tcW w:w="2757" w:type="dxa"/>
            <w:noWrap/>
            <w:vAlign w:val="center"/>
          </w:tcPr>
          <w:p w14:paraId="703D7737">
            <w:pPr>
              <w:wordWrap/>
              <w:topLinePunct w:val="0"/>
              <w:spacing w:line="360" w:lineRule="auto"/>
              <w:jc w:val="center"/>
              <w:rPr>
                <w:color w:val="auto"/>
                <w:highlight w:val="none"/>
              </w:rPr>
            </w:pPr>
            <w:r>
              <w:rPr>
                <w:rFonts w:hint="eastAsia"/>
                <w:color w:val="auto"/>
                <w:kern w:val="0"/>
                <w:highlight w:val="none"/>
              </w:rPr>
              <w:t>实质性偏差</w:t>
            </w:r>
          </w:p>
        </w:tc>
        <w:tc>
          <w:tcPr>
            <w:tcW w:w="6333" w:type="dxa"/>
            <w:noWrap/>
            <w:vAlign w:val="center"/>
          </w:tcPr>
          <w:p w14:paraId="753F3F20">
            <w:pPr>
              <w:wordWrap/>
              <w:topLinePunct w:val="0"/>
              <w:spacing w:line="360" w:lineRule="auto"/>
              <w:rPr>
                <w:color w:val="auto"/>
                <w:highlight w:val="none"/>
              </w:rPr>
            </w:pPr>
            <w:r>
              <w:rPr>
                <w:rFonts w:hint="eastAsia"/>
                <w:color w:val="auto"/>
                <w:highlight w:val="none"/>
              </w:rPr>
              <w:t>不允许</w:t>
            </w:r>
          </w:p>
        </w:tc>
      </w:tr>
      <w:tr w14:paraId="1A4E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ign w:val="center"/>
          </w:tcPr>
          <w:p w14:paraId="230F62E9">
            <w:pPr>
              <w:wordWrap/>
              <w:topLinePunct w:val="0"/>
              <w:spacing w:line="360" w:lineRule="auto"/>
              <w:rPr>
                <w:color w:val="auto"/>
                <w:highlight w:val="none"/>
              </w:rPr>
            </w:pPr>
            <w:r>
              <w:rPr>
                <w:rFonts w:hint="eastAsia"/>
                <w:color w:val="auto"/>
                <w:highlight w:val="none"/>
              </w:rPr>
              <w:t>1.12</w:t>
            </w:r>
          </w:p>
        </w:tc>
        <w:tc>
          <w:tcPr>
            <w:tcW w:w="2757" w:type="dxa"/>
            <w:noWrap/>
            <w:vAlign w:val="center"/>
          </w:tcPr>
          <w:p w14:paraId="496454AB">
            <w:pPr>
              <w:wordWrap/>
              <w:topLinePunct w:val="0"/>
              <w:spacing w:line="360" w:lineRule="auto"/>
              <w:jc w:val="center"/>
              <w:rPr>
                <w:color w:val="auto"/>
                <w:highlight w:val="none"/>
              </w:rPr>
            </w:pPr>
            <w:r>
              <w:rPr>
                <w:rFonts w:hint="eastAsia"/>
                <w:color w:val="auto"/>
                <w:highlight w:val="none"/>
              </w:rPr>
              <w:t>是否接受选择性报价方案</w:t>
            </w:r>
          </w:p>
        </w:tc>
        <w:tc>
          <w:tcPr>
            <w:tcW w:w="6333" w:type="dxa"/>
            <w:noWrap/>
            <w:vAlign w:val="center"/>
          </w:tcPr>
          <w:p w14:paraId="3553EDA6">
            <w:pPr>
              <w:wordWrap/>
              <w:topLinePunct w:val="0"/>
              <w:spacing w:line="360" w:lineRule="auto"/>
              <w:rPr>
                <w:color w:val="auto"/>
                <w:highlight w:val="none"/>
              </w:rPr>
            </w:pPr>
            <w:r>
              <w:rPr>
                <w:rFonts w:hint="eastAsia"/>
                <w:color w:val="auto"/>
                <w:highlight w:val="none"/>
              </w:rPr>
              <w:t>不接受：首次响应文件只允许一个报价方案</w:t>
            </w:r>
          </w:p>
        </w:tc>
      </w:tr>
      <w:tr w14:paraId="716C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ign w:val="center"/>
          </w:tcPr>
          <w:p w14:paraId="2DE7BED9">
            <w:pPr>
              <w:wordWrap/>
              <w:topLinePunct w:val="0"/>
              <w:spacing w:line="360" w:lineRule="auto"/>
              <w:rPr>
                <w:color w:val="auto"/>
                <w:highlight w:val="none"/>
              </w:rPr>
            </w:pPr>
            <w:r>
              <w:rPr>
                <w:rFonts w:hint="eastAsia"/>
                <w:color w:val="auto"/>
                <w:highlight w:val="none"/>
              </w:rPr>
              <w:t>2.1</w:t>
            </w:r>
          </w:p>
        </w:tc>
        <w:tc>
          <w:tcPr>
            <w:tcW w:w="2757" w:type="dxa"/>
            <w:noWrap/>
            <w:vAlign w:val="center"/>
          </w:tcPr>
          <w:p w14:paraId="34C4E360">
            <w:pPr>
              <w:wordWrap/>
              <w:topLinePunct w:val="0"/>
              <w:spacing w:line="360" w:lineRule="auto"/>
              <w:jc w:val="center"/>
              <w:rPr>
                <w:color w:val="auto"/>
                <w:highlight w:val="none"/>
              </w:rPr>
            </w:pPr>
            <w:r>
              <w:rPr>
                <w:rFonts w:hint="eastAsia"/>
                <w:color w:val="auto"/>
                <w:highlight w:val="none"/>
              </w:rPr>
              <w:t>构成竞争性磋商文件的其他材料</w:t>
            </w:r>
          </w:p>
        </w:tc>
        <w:tc>
          <w:tcPr>
            <w:tcW w:w="6333" w:type="dxa"/>
            <w:noWrap/>
            <w:vAlign w:val="center"/>
          </w:tcPr>
          <w:p w14:paraId="5D0BC2A3">
            <w:pPr>
              <w:wordWrap/>
              <w:topLinePunct w:val="0"/>
              <w:spacing w:line="360" w:lineRule="auto"/>
              <w:rPr>
                <w:color w:val="auto"/>
                <w:highlight w:val="none"/>
              </w:rPr>
            </w:pPr>
            <w:r>
              <w:rPr>
                <w:rFonts w:hint="eastAsia"/>
                <w:color w:val="auto"/>
                <w:highlight w:val="none"/>
              </w:rPr>
              <w:t>无</w:t>
            </w:r>
          </w:p>
        </w:tc>
      </w:tr>
      <w:tr w14:paraId="10BF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ign w:val="center"/>
          </w:tcPr>
          <w:p w14:paraId="607796B2">
            <w:pPr>
              <w:wordWrap/>
              <w:topLinePunct w:val="0"/>
              <w:spacing w:line="360" w:lineRule="auto"/>
              <w:rPr>
                <w:color w:val="auto"/>
                <w:highlight w:val="none"/>
              </w:rPr>
            </w:pPr>
            <w:r>
              <w:rPr>
                <w:rFonts w:hint="eastAsia"/>
                <w:color w:val="auto"/>
                <w:highlight w:val="none"/>
              </w:rPr>
              <w:t>2.2.1</w:t>
            </w:r>
          </w:p>
        </w:tc>
        <w:tc>
          <w:tcPr>
            <w:tcW w:w="2757" w:type="dxa"/>
            <w:vMerge w:val="restart"/>
            <w:noWrap/>
            <w:vAlign w:val="center"/>
          </w:tcPr>
          <w:p w14:paraId="7697D0D6">
            <w:pPr>
              <w:wordWrap/>
              <w:topLinePunct w:val="0"/>
              <w:spacing w:line="360" w:lineRule="auto"/>
              <w:jc w:val="center"/>
              <w:rPr>
                <w:color w:val="auto"/>
                <w:highlight w:val="none"/>
              </w:rPr>
            </w:pPr>
            <w:r>
              <w:rPr>
                <w:rFonts w:hint="eastAsia"/>
                <w:color w:val="auto"/>
                <w:highlight w:val="none"/>
              </w:rPr>
              <w:t>供应商要求澄清竞争性磋商文件</w:t>
            </w:r>
          </w:p>
        </w:tc>
        <w:tc>
          <w:tcPr>
            <w:tcW w:w="6333" w:type="dxa"/>
            <w:noWrap/>
            <w:vAlign w:val="center"/>
          </w:tcPr>
          <w:p w14:paraId="58526795">
            <w:pPr>
              <w:wordWrap/>
              <w:topLinePunct w:val="0"/>
              <w:spacing w:line="360" w:lineRule="auto"/>
              <w:rPr>
                <w:color w:val="auto"/>
                <w:highlight w:val="none"/>
              </w:rPr>
            </w:pPr>
            <w:r>
              <w:rPr>
                <w:rFonts w:hint="eastAsia"/>
                <w:color w:val="auto"/>
                <w:highlight w:val="none"/>
              </w:rPr>
              <w:t>时间：提交首次响应文件截止时间前</w:t>
            </w:r>
            <w:r>
              <w:rPr>
                <w:rFonts w:hint="eastAsia"/>
                <w:color w:val="auto"/>
                <w:highlight w:val="none"/>
                <w:u w:val="single"/>
              </w:rPr>
              <w:t xml:space="preserve"> 7 </w:t>
            </w:r>
            <w:r>
              <w:rPr>
                <w:rFonts w:hint="eastAsia"/>
                <w:color w:val="auto"/>
                <w:highlight w:val="none"/>
              </w:rPr>
              <w:t>日</w:t>
            </w:r>
          </w:p>
        </w:tc>
      </w:tr>
      <w:tr w14:paraId="7D13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ign w:val="center"/>
          </w:tcPr>
          <w:p w14:paraId="6D3A9781">
            <w:pPr>
              <w:wordWrap/>
              <w:topLinePunct w:val="0"/>
              <w:spacing w:line="360" w:lineRule="auto"/>
              <w:rPr>
                <w:color w:val="auto"/>
                <w:highlight w:val="none"/>
              </w:rPr>
            </w:pPr>
          </w:p>
        </w:tc>
        <w:tc>
          <w:tcPr>
            <w:tcW w:w="2757" w:type="dxa"/>
            <w:vMerge w:val="continue"/>
            <w:noWrap/>
            <w:vAlign w:val="center"/>
          </w:tcPr>
          <w:p w14:paraId="27A10CCB">
            <w:pPr>
              <w:wordWrap/>
              <w:topLinePunct w:val="0"/>
              <w:spacing w:line="360" w:lineRule="auto"/>
              <w:jc w:val="center"/>
              <w:rPr>
                <w:color w:val="auto"/>
                <w:highlight w:val="none"/>
              </w:rPr>
            </w:pPr>
          </w:p>
        </w:tc>
        <w:tc>
          <w:tcPr>
            <w:tcW w:w="6333" w:type="dxa"/>
            <w:noWrap/>
            <w:vAlign w:val="center"/>
          </w:tcPr>
          <w:p w14:paraId="2BC74AC3">
            <w:pPr>
              <w:wordWrap/>
              <w:topLinePunct w:val="0"/>
              <w:spacing w:line="360" w:lineRule="auto"/>
              <w:rPr>
                <w:color w:val="auto"/>
                <w:highlight w:val="none"/>
              </w:rPr>
            </w:pPr>
            <w:r>
              <w:rPr>
                <w:rFonts w:hint="eastAsia"/>
                <w:color w:val="auto"/>
                <w:highlight w:val="none"/>
              </w:rPr>
              <w:t>形式：在电子招标投标交易平台提出</w:t>
            </w:r>
          </w:p>
        </w:tc>
      </w:tr>
      <w:tr w14:paraId="64D9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ign w:val="center"/>
          </w:tcPr>
          <w:p w14:paraId="313929E3">
            <w:pPr>
              <w:wordWrap/>
              <w:topLinePunct w:val="0"/>
              <w:spacing w:line="360" w:lineRule="auto"/>
              <w:rPr>
                <w:color w:val="auto"/>
                <w:highlight w:val="none"/>
              </w:rPr>
            </w:pPr>
            <w:r>
              <w:rPr>
                <w:rFonts w:hint="eastAsia"/>
                <w:color w:val="auto"/>
                <w:highlight w:val="none"/>
              </w:rPr>
              <w:t>2.2.2</w:t>
            </w:r>
          </w:p>
        </w:tc>
        <w:tc>
          <w:tcPr>
            <w:tcW w:w="2757" w:type="dxa"/>
            <w:noWrap/>
            <w:vAlign w:val="center"/>
          </w:tcPr>
          <w:p w14:paraId="615C7A3F">
            <w:pPr>
              <w:wordWrap/>
              <w:topLinePunct w:val="0"/>
              <w:spacing w:line="360" w:lineRule="auto"/>
              <w:jc w:val="center"/>
              <w:rPr>
                <w:color w:val="auto"/>
                <w:highlight w:val="none"/>
              </w:rPr>
            </w:pPr>
            <w:r>
              <w:rPr>
                <w:rFonts w:hint="eastAsia"/>
                <w:color w:val="auto"/>
                <w:highlight w:val="none"/>
              </w:rPr>
              <w:t>竞争性磋商文件澄清发出的形式</w:t>
            </w:r>
          </w:p>
        </w:tc>
        <w:tc>
          <w:tcPr>
            <w:tcW w:w="6333" w:type="dxa"/>
            <w:noWrap/>
            <w:vAlign w:val="center"/>
          </w:tcPr>
          <w:p w14:paraId="3E21EB1D">
            <w:pPr>
              <w:wordWrap/>
              <w:topLinePunct w:val="0"/>
              <w:spacing w:line="360" w:lineRule="auto"/>
              <w:rPr>
                <w:color w:val="auto"/>
                <w:highlight w:val="none"/>
              </w:rPr>
            </w:pPr>
            <w:r>
              <w:rPr>
                <w:rFonts w:hint="eastAsia"/>
                <w:color w:val="auto"/>
                <w:highlight w:val="none"/>
              </w:rPr>
              <w:t>通过电子招标投标交易平台发布且同时在原公告媒体发布澄清公告</w:t>
            </w:r>
          </w:p>
        </w:tc>
      </w:tr>
      <w:tr w14:paraId="11B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ign w:val="center"/>
          </w:tcPr>
          <w:p w14:paraId="606F5368">
            <w:pPr>
              <w:wordWrap/>
              <w:topLinePunct w:val="0"/>
              <w:spacing w:line="360" w:lineRule="auto"/>
              <w:rPr>
                <w:color w:val="auto"/>
                <w:highlight w:val="none"/>
              </w:rPr>
            </w:pPr>
            <w:r>
              <w:rPr>
                <w:rFonts w:hint="eastAsia"/>
                <w:color w:val="auto"/>
                <w:highlight w:val="none"/>
              </w:rPr>
              <w:t>2.2.3</w:t>
            </w:r>
          </w:p>
        </w:tc>
        <w:tc>
          <w:tcPr>
            <w:tcW w:w="2757" w:type="dxa"/>
            <w:vMerge w:val="restart"/>
            <w:noWrap/>
            <w:vAlign w:val="center"/>
          </w:tcPr>
          <w:p w14:paraId="6CD11C6A">
            <w:pPr>
              <w:wordWrap/>
              <w:topLinePunct w:val="0"/>
              <w:spacing w:line="360" w:lineRule="auto"/>
              <w:jc w:val="center"/>
              <w:rPr>
                <w:color w:val="auto"/>
                <w:highlight w:val="none"/>
              </w:rPr>
            </w:pPr>
            <w:r>
              <w:rPr>
                <w:rFonts w:hint="eastAsia"/>
                <w:color w:val="auto"/>
                <w:highlight w:val="none"/>
              </w:rPr>
              <w:t>供应商确认收到竞争性磋商文件澄清</w:t>
            </w:r>
          </w:p>
        </w:tc>
        <w:tc>
          <w:tcPr>
            <w:tcW w:w="6333" w:type="dxa"/>
            <w:noWrap/>
            <w:vAlign w:val="center"/>
          </w:tcPr>
          <w:p w14:paraId="65E625FF">
            <w:pPr>
              <w:wordWrap/>
              <w:topLinePunct w:val="0"/>
              <w:spacing w:line="360" w:lineRule="auto"/>
              <w:rPr>
                <w:color w:val="auto"/>
                <w:highlight w:val="none"/>
              </w:rPr>
            </w:pPr>
            <w:r>
              <w:rPr>
                <w:rFonts w:hint="eastAsia"/>
                <w:color w:val="auto"/>
                <w:highlight w:val="none"/>
              </w:rPr>
              <w:t>时间：在收到相应澄清文件后 24 小时内</w:t>
            </w:r>
          </w:p>
        </w:tc>
      </w:tr>
      <w:tr w14:paraId="0BB2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ign w:val="center"/>
          </w:tcPr>
          <w:p w14:paraId="0D291759">
            <w:pPr>
              <w:wordWrap/>
              <w:topLinePunct w:val="0"/>
              <w:spacing w:line="360" w:lineRule="auto"/>
              <w:rPr>
                <w:color w:val="auto"/>
                <w:highlight w:val="none"/>
              </w:rPr>
            </w:pPr>
          </w:p>
        </w:tc>
        <w:tc>
          <w:tcPr>
            <w:tcW w:w="2757" w:type="dxa"/>
            <w:vMerge w:val="continue"/>
            <w:noWrap/>
            <w:vAlign w:val="center"/>
          </w:tcPr>
          <w:p w14:paraId="064F7AE7">
            <w:pPr>
              <w:wordWrap/>
              <w:topLinePunct w:val="0"/>
              <w:spacing w:line="360" w:lineRule="auto"/>
              <w:jc w:val="center"/>
              <w:rPr>
                <w:color w:val="auto"/>
                <w:highlight w:val="none"/>
              </w:rPr>
            </w:pPr>
          </w:p>
        </w:tc>
        <w:tc>
          <w:tcPr>
            <w:tcW w:w="6333" w:type="dxa"/>
            <w:noWrap/>
            <w:vAlign w:val="center"/>
          </w:tcPr>
          <w:p w14:paraId="48D443D1">
            <w:pPr>
              <w:wordWrap/>
              <w:topLinePunct w:val="0"/>
              <w:spacing w:line="360" w:lineRule="auto"/>
              <w:rPr>
                <w:color w:val="auto"/>
                <w:highlight w:val="none"/>
              </w:rPr>
            </w:pPr>
            <w:r>
              <w:rPr>
                <w:rFonts w:hint="eastAsia"/>
                <w:color w:val="auto"/>
                <w:highlight w:val="none"/>
              </w:rPr>
              <w:t>形式：</w:t>
            </w:r>
            <w:r>
              <w:rPr>
                <w:rFonts w:hint="eastAsia"/>
                <w:color w:val="auto"/>
                <w:kern w:val="0"/>
                <w:highlight w:val="none"/>
              </w:rPr>
              <w:t>在</w:t>
            </w:r>
            <w:r>
              <w:rPr>
                <w:rFonts w:hint="eastAsia"/>
                <w:color w:val="auto"/>
                <w:kern w:val="0"/>
                <w:highlight w:val="none"/>
                <w:lang w:eastAsia="zh-CN"/>
              </w:rPr>
              <w:t>河南省公共资源交易中心</w:t>
            </w:r>
            <w:r>
              <w:rPr>
                <w:rFonts w:hint="eastAsia"/>
                <w:color w:val="auto"/>
                <w:kern w:val="0"/>
                <w:highlight w:val="none"/>
              </w:rPr>
              <w:t>电子招标投标交易平台进行回复确认</w:t>
            </w:r>
          </w:p>
        </w:tc>
      </w:tr>
      <w:tr w14:paraId="3B4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ign w:val="center"/>
          </w:tcPr>
          <w:p w14:paraId="793B268E">
            <w:pPr>
              <w:wordWrap/>
              <w:topLinePunct w:val="0"/>
              <w:spacing w:line="360" w:lineRule="auto"/>
              <w:rPr>
                <w:color w:val="auto"/>
                <w:highlight w:val="none"/>
              </w:rPr>
            </w:pPr>
            <w:r>
              <w:rPr>
                <w:rFonts w:hint="eastAsia"/>
                <w:color w:val="auto"/>
                <w:highlight w:val="none"/>
              </w:rPr>
              <w:t>2.3.2</w:t>
            </w:r>
          </w:p>
        </w:tc>
        <w:tc>
          <w:tcPr>
            <w:tcW w:w="2757" w:type="dxa"/>
            <w:noWrap/>
            <w:vAlign w:val="center"/>
          </w:tcPr>
          <w:p w14:paraId="2824B196">
            <w:pPr>
              <w:wordWrap/>
              <w:topLinePunct w:val="0"/>
              <w:spacing w:line="360" w:lineRule="auto"/>
              <w:jc w:val="center"/>
              <w:rPr>
                <w:color w:val="auto"/>
                <w:highlight w:val="none"/>
              </w:rPr>
            </w:pPr>
            <w:r>
              <w:rPr>
                <w:rFonts w:hint="eastAsia"/>
                <w:color w:val="auto"/>
                <w:highlight w:val="none"/>
              </w:rPr>
              <w:t>竞争性磋商文件修改发出的形式</w:t>
            </w:r>
          </w:p>
        </w:tc>
        <w:tc>
          <w:tcPr>
            <w:tcW w:w="6333" w:type="dxa"/>
            <w:noWrap/>
            <w:vAlign w:val="center"/>
          </w:tcPr>
          <w:p w14:paraId="113104A2">
            <w:pPr>
              <w:wordWrap/>
              <w:topLinePunct w:val="0"/>
              <w:spacing w:line="360" w:lineRule="auto"/>
              <w:rPr>
                <w:color w:val="auto"/>
                <w:highlight w:val="none"/>
              </w:rPr>
            </w:pPr>
            <w:r>
              <w:rPr>
                <w:rFonts w:hint="eastAsia"/>
                <w:color w:val="auto"/>
                <w:highlight w:val="none"/>
              </w:rPr>
              <w:t>通过电子招标投标交易平台发布且同时在原公告媒体发布变更公告</w:t>
            </w:r>
          </w:p>
        </w:tc>
      </w:tr>
      <w:tr w14:paraId="183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ign w:val="center"/>
          </w:tcPr>
          <w:p w14:paraId="37C3D7E0">
            <w:pPr>
              <w:wordWrap/>
              <w:topLinePunct w:val="0"/>
              <w:spacing w:line="360" w:lineRule="auto"/>
              <w:rPr>
                <w:color w:val="auto"/>
                <w:highlight w:val="none"/>
              </w:rPr>
            </w:pPr>
            <w:r>
              <w:rPr>
                <w:rFonts w:hint="eastAsia"/>
                <w:color w:val="auto"/>
                <w:highlight w:val="none"/>
              </w:rPr>
              <w:t>2.3.3</w:t>
            </w:r>
          </w:p>
        </w:tc>
        <w:tc>
          <w:tcPr>
            <w:tcW w:w="2757" w:type="dxa"/>
            <w:vMerge w:val="restart"/>
            <w:noWrap/>
            <w:vAlign w:val="center"/>
          </w:tcPr>
          <w:p w14:paraId="69D99C26">
            <w:pPr>
              <w:wordWrap/>
              <w:topLinePunct w:val="0"/>
              <w:spacing w:line="360" w:lineRule="auto"/>
              <w:jc w:val="center"/>
              <w:rPr>
                <w:color w:val="auto"/>
                <w:highlight w:val="none"/>
              </w:rPr>
            </w:pPr>
            <w:r>
              <w:rPr>
                <w:rFonts w:hint="eastAsia"/>
                <w:color w:val="auto"/>
                <w:highlight w:val="none"/>
              </w:rPr>
              <w:t>供应商确认收到竞争性磋商文件修改</w:t>
            </w:r>
          </w:p>
        </w:tc>
        <w:tc>
          <w:tcPr>
            <w:tcW w:w="6333" w:type="dxa"/>
            <w:noWrap/>
            <w:vAlign w:val="center"/>
          </w:tcPr>
          <w:p w14:paraId="6DF34253">
            <w:pPr>
              <w:wordWrap/>
              <w:topLinePunct w:val="0"/>
              <w:spacing w:line="360" w:lineRule="auto"/>
              <w:rPr>
                <w:color w:val="auto"/>
                <w:highlight w:val="none"/>
              </w:rPr>
            </w:pPr>
            <w:r>
              <w:rPr>
                <w:rFonts w:hint="eastAsia"/>
                <w:color w:val="auto"/>
                <w:highlight w:val="none"/>
              </w:rPr>
              <w:t>时间：在收到相应修改文件后 24 小时内</w:t>
            </w:r>
          </w:p>
        </w:tc>
      </w:tr>
      <w:tr w14:paraId="3FA6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ign w:val="center"/>
          </w:tcPr>
          <w:p w14:paraId="712D6FA6">
            <w:pPr>
              <w:wordWrap/>
              <w:topLinePunct w:val="0"/>
              <w:spacing w:line="360" w:lineRule="auto"/>
              <w:rPr>
                <w:color w:val="auto"/>
                <w:highlight w:val="none"/>
              </w:rPr>
            </w:pPr>
          </w:p>
        </w:tc>
        <w:tc>
          <w:tcPr>
            <w:tcW w:w="2757" w:type="dxa"/>
            <w:vMerge w:val="continue"/>
            <w:noWrap/>
            <w:vAlign w:val="center"/>
          </w:tcPr>
          <w:p w14:paraId="00B68CD0">
            <w:pPr>
              <w:wordWrap/>
              <w:topLinePunct w:val="0"/>
              <w:spacing w:line="360" w:lineRule="auto"/>
              <w:jc w:val="center"/>
              <w:rPr>
                <w:color w:val="auto"/>
                <w:highlight w:val="none"/>
              </w:rPr>
            </w:pPr>
          </w:p>
        </w:tc>
        <w:tc>
          <w:tcPr>
            <w:tcW w:w="6333" w:type="dxa"/>
            <w:noWrap/>
            <w:vAlign w:val="center"/>
          </w:tcPr>
          <w:p w14:paraId="19B9C0C8">
            <w:pPr>
              <w:wordWrap/>
              <w:topLinePunct w:val="0"/>
              <w:spacing w:line="360" w:lineRule="auto"/>
              <w:rPr>
                <w:color w:val="auto"/>
                <w:highlight w:val="none"/>
              </w:rPr>
            </w:pPr>
            <w:r>
              <w:rPr>
                <w:rFonts w:hint="eastAsia"/>
                <w:color w:val="auto"/>
                <w:highlight w:val="none"/>
              </w:rPr>
              <w:t>形式：</w:t>
            </w:r>
            <w:r>
              <w:rPr>
                <w:rFonts w:hint="eastAsia"/>
                <w:color w:val="auto"/>
                <w:kern w:val="0"/>
                <w:highlight w:val="none"/>
              </w:rPr>
              <w:t>在</w:t>
            </w:r>
            <w:r>
              <w:rPr>
                <w:rFonts w:hint="eastAsia"/>
                <w:color w:val="auto"/>
                <w:kern w:val="0"/>
                <w:highlight w:val="none"/>
                <w:lang w:eastAsia="zh-CN"/>
              </w:rPr>
              <w:t>河南省公共资源交易中心</w:t>
            </w:r>
            <w:r>
              <w:rPr>
                <w:rFonts w:hint="eastAsia"/>
                <w:color w:val="auto"/>
                <w:kern w:val="0"/>
                <w:highlight w:val="none"/>
              </w:rPr>
              <w:t>电子招标投标交易平台进行回复确认</w:t>
            </w:r>
          </w:p>
        </w:tc>
      </w:tr>
      <w:tr w14:paraId="32AD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4" w:type="dxa"/>
            <w:noWrap/>
            <w:vAlign w:val="center"/>
          </w:tcPr>
          <w:p w14:paraId="37EECD0C">
            <w:pPr>
              <w:wordWrap/>
              <w:topLinePunct w:val="0"/>
              <w:spacing w:line="360" w:lineRule="auto"/>
              <w:rPr>
                <w:color w:val="auto"/>
                <w:highlight w:val="none"/>
              </w:rPr>
            </w:pPr>
            <w:r>
              <w:rPr>
                <w:rFonts w:hint="eastAsia"/>
                <w:color w:val="auto"/>
                <w:highlight w:val="none"/>
              </w:rPr>
              <w:t>3.2.2</w:t>
            </w:r>
          </w:p>
        </w:tc>
        <w:tc>
          <w:tcPr>
            <w:tcW w:w="2757" w:type="dxa"/>
            <w:noWrap/>
            <w:vAlign w:val="center"/>
          </w:tcPr>
          <w:p w14:paraId="5EE474CF">
            <w:pPr>
              <w:wordWrap/>
              <w:topLinePunct w:val="0"/>
              <w:spacing w:line="360" w:lineRule="auto"/>
              <w:jc w:val="center"/>
              <w:rPr>
                <w:color w:val="auto"/>
                <w:highlight w:val="none"/>
              </w:rPr>
            </w:pPr>
            <w:r>
              <w:rPr>
                <w:rFonts w:hint="eastAsia"/>
                <w:color w:val="auto"/>
                <w:highlight w:val="none"/>
              </w:rPr>
              <w:t>磋商控制价</w:t>
            </w:r>
          </w:p>
        </w:tc>
        <w:tc>
          <w:tcPr>
            <w:tcW w:w="6333" w:type="dxa"/>
            <w:noWrap/>
          </w:tcPr>
          <w:p w14:paraId="69275D64">
            <w:pPr>
              <w:wordWrap/>
              <w:topLinePunct w:val="0"/>
              <w:spacing w:line="360" w:lineRule="auto"/>
              <w:rPr>
                <w:b/>
                <w:color w:val="auto"/>
                <w:highlight w:val="none"/>
              </w:rPr>
            </w:pPr>
            <w:r>
              <w:rPr>
                <w:rFonts w:hint="eastAsia"/>
                <w:b/>
                <w:color w:val="auto"/>
                <w:highlight w:val="none"/>
                <w:lang w:eastAsia="zh-CN"/>
              </w:rPr>
              <w:t>35</w:t>
            </w:r>
            <w:r>
              <w:rPr>
                <w:rFonts w:hint="eastAsia"/>
                <w:b/>
                <w:color w:val="auto"/>
                <w:highlight w:val="none"/>
                <w:lang w:val="en-US" w:eastAsia="zh-CN"/>
              </w:rPr>
              <w:t>0</w:t>
            </w:r>
            <w:r>
              <w:rPr>
                <w:rFonts w:hint="eastAsia"/>
                <w:b/>
                <w:color w:val="auto"/>
                <w:highlight w:val="none"/>
                <w:lang w:eastAsia="zh-CN"/>
              </w:rPr>
              <w:t>0000.00</w:t>
            </w:r>
            <w:r>
              <w:rPr>
                <w:rFonts w:hint="eastAsia"/>
                <w:b/>
                <w:color w:val="auto"/>
                <w:highlight w:val="none"/>
                <w:lang w:val="en-US" w:eastAsia="zh-CN"/>
              </w:rPr>
              <w:t>元</w:t>
            </w:r>
            <w:r>
              <w:rPr>
                <w:rFonts w:hint="eastAsia"/>
                <w:b/>
                <w:color w:val="auto"/>
                <w:highlight w:val="none"/>
              </w:rPr>
              <w:t>；</w:t>
            </w:r>
          </w:p>
          <w:p w14:paraId="1C549C1D">
            <w:pPr>
              <w:wordWrap/>
              <w:topLinePunct w:val="0"/>
              <w:spacing w:line="360" w:lineRule="auto"/>
              <w:rPr>
                <w:color w:val="auto"/>
                <w:highlight w:val="none"/>
              </w:rPr>
            </w:pPr>
            <w:r>
              <w:rPr>
                <w:rFonts w:hint="eastAsia"/>
                <w:b/>
                <w:color w:val="auto"/>
                <w:highlight w:val="none"/>
              </w:rPr>
              <w:t>磋商报价超出磋商控制价的响应文件将不进入评审程序。</w:t>
            </w:r>
          </w:p>
        </w:tc>
      </w:tr>
      <w:tr w14:paraId="542D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4" w:type="dxa"/>
            <w:noWrap/>
            <w:vAlign w:val="center"/>
          </w:tcPr>
          <w:p w14:paraId="722EC9B0">
            <w:pPr>
              <w:wordWrap/>
              <w:topLinePunct w:val="0"/>
              <w:spacing w:line="360" w:lineRule="auto"/>
              <w:rPr>
                <w:color w:val="auto"/>
                <w:highlight w:val="none"/>
              </w:rPr>
            </w:pPr>
            <w:r>
              <w:rPr>
                <w:rFonts w:hint="eastAsia"/>
                <w:color w:val="auto"/>
                <w:highlight w:val="none"/>
              </w:rPr>
              <w:t>3.3.1</w:t>
            </w:r>
          </w:p>
        </w:tc>
        <w:tc>
          <w:tcPr>
            <w:tcW w:w="2757" w:type="dxa"/>
            <w:noWrap/>
            <w:vAlign w:val="center"/>
          </w:tcPr>
          <w:p w14:paraId="4380696B">
            <w:pPr>
              <w:wordWrap/>
              <w:topLinePunct w:val="0"/>
              <w:spacing w:line="360" w:lineRule="auto"/>
              <w:jc w:val="center"/>
              <w:rPr>
                <w:color w:val="auto"/>
                <w:highlight w:val="none"/>
              </w:rPr>
            </w:pPr>
            <w:r>
              <w:rPr>
                <w:rFonts w:hint="eastAsia"/>
                <w:color w:val="auto"/>
                <w:highlight w:val="none"/>
              </w:rPr>
              <w:t>磋商有效期</w:t>
            </w:r>
          </w:p>
        </w:tc>
        <w:tc>
          <w:tcPr>
            <w:tcW w:w="6333" w:type="dxa"/>
            <w:noWrap/>
          </w:tcPr>
          <w:p w14:paraId="0CA6CD62">
            <w:pPr>
              <w:wordWrap/>
              <w:topLinePunct w:val="0"/>
              <w:spacing w:line="360" w:lineRule="auto"/>
              <w:rPr>
                <w:color w:val="auto"/>
                <w:highlight w:val="none"/>
              </w:rPr>
            </w:pPr>
            <w:r>
              <w:rPr>
                <w:rFonts w:hint="eastAsia"/>
                <w:color w:val="auto"/>
                <w:highlight w:val="none"/>
              </w:rPr>
              <w:t>响应文件递交截止之日起</w:t>
            </w:r>
            <w:r>
              <w:rPr>
                <w:rFonts w:hint="eastAsia"/>
                <w:color w:val="auto"/>
                <w:highlight w:val="none"/>
                <w:u w:val="single"/>
              </w:rPr>
              <w:t xml:space="preserve">  60  </w:t>
            </w:r>
            <w:r>
              <w:rPr>
                <w:rFonts w:hint="eastAsia"/>
                <w:color w:val="auto"/>
                <w:highlight w:val="none"/>
              </w:rPr>
              <w:t>日历天</w:t>
            </w:r>
          </w:p>
        </w:tc>
      </w:tr>
      <w:tr w14:paraId="4D04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noWrap/>
            <w:vAlign w:val="center"/>
          </w:tcPr>
          <w:p w14:paraId="3D43EEA8">
            <w:pPr>
              <w:wordWrap/>
              <w:topLinePunct w:val="0"/>
              <w:spacing w:line="360" w:lineRule="auto"/>
              <w:rPr>
                <w:color w:val="auto"/>
                <w:highlight w:val="none"/>
              </w:rPr>
            </w:pPr>
            <w:r>
              <w:rPr>
                <w:rFonts w:hint="eastAsia"/>
                <w:color w:val="auto"/>
                <w:highlight w:val="none"/>
              </w:rPr>
              <w:t>3.4.1</w:t>
            </w:r>
          </w:p>
        </w:tc>
        <w:tc>
          <w:tcPr>
            <w:tcW w:w="2757" w:type="dxa"/>
            <w:noWrap/>
            <w:vAlign w:val="center"/>
          </w:tcPr>
          <w:p w14:paraId="2B016BB8">
            <w:pPr>
              <w:wordWrap/>
              <w:topLinePunct w:val="0"/>
              <w:spacing w:line="360" w:lineRule="auto"/>
              <w:jc w:val="center"/>
              <w:rPr>
                <w:color w:val="auto"/>
                <w:highlight w:val="none"/>
              </w:rPr>
            </w:pPr>
            <w:r>
              <w:rPr>
                <w:rFonts w:hint="eastAsia"/>
                <w:color w:val="auto"/>
                <w:highlight w:val="none"/>
              </w:rPr>
              <w:t>磋商保证金</w:t>
            </w:r>
          </w:p>
        </w:tc>
        <w:tc>
          <w:tcPr>
            <w:tcW w:w="6333" w:type="dxa"/>
            <w:noWrap/>
          </w:tcPr>
          <w:p w14:paraId="4DFE9F07">
            <w:pPr>
              <w:wordWrap/>
              <w:topLinePunct w:val="0"/>
              <w:spacing w:line="360" w:lineRule="auto"/>
              <w:rPr>
                <w:color w:val="auto"/>
                <w:highlight w:val="none"/>
              </w:rPr>
            </w:pPr>
            <w:r>
              <w:rPr>
                <w:rFonts w:hint="eastAsia"/>
                <w:color w:val="auto"/>
                <w:highlight w:val="none"/>
              </w:rPr>
              <w:t>不要求，根据豫财购[2019]4号文件的相关规定，本次磋商不收取磋商保证金，需提供响应承诺函。</w:t>
            </w:r>
          </w:p>
        </w:tc>
      </w:tr>
      <w:tr w14:paraId="2435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396879B0">
            <w:pPr>
              <w:wordWrap/>
              <w:topLinePunct w:val="0"/>
              <w:spacing w:line="360" w:lineRule="auto"/>
              <w:jc w:val="left"/>
              <w:rPr>
                <w:color w:val="auto"/>
                <w:highlight w:val="none"/>
              </w:rPr>
            </w:pPr>
            <w:r>
              <w:rPr>
                <w:color w:val="auto"/>
                <w:highlight w:val="none"/>
              </w:rPr>
              <w:t>4.1</w:t>
            </w:r>
          </w:p>
        </w:tc>
        <w:tc>
          <w:tcPr>
            <w:tcW w:w="2757" w:type="dxa"/>
            <w:noWrap/>
            <w:vAlign w:val="center"/>
          </w:tcPr>
          <w:p w14:paraId="5013FC52">
            <w:pPr>
              <w:wordWrap/>
              <w:topLinePunct w:val="0"/>
              <w:spacing w:line="360" w:lineRule="auto"/>
              <w:jc w:val="center"/>
              <w:rPr>
                <w:color w:val="auto"/>
                <w:highlight w:val="none"/>
              </w:rPr>
            </w:pPr>
            <w:r>
              <w:rPr>
                <w:rFonts w:hint="eastAsia"/>
                <w:color w:val="auto"/>
                <w:highlight w:val="none"/>
              </w:rPr>
              <w:t>响应文件加密要求</w:t>
            </w:r>
          </w:p>
        </w:tc>
        <w:tc>
          <w:tcPr>
            <w:tcW w:w="6333" w:type="dxa"/>
            <w:noWrap/>
            <w:vAlign w:val="center"/>
          </w:tcPr>
          <w:p w14:paraId="18E20C05">
            <w:pPr>
              <w:wordWrap/>
              <w:topLinePunct w:val="0"/>
              <w:spacing w:line="360" w:lineRule="auto"/>
              <w:jc w:val="left"/>
              <w:rPr>
                <w:color w:val="auto"/>
                <w:highlight w:val="none"/>
              </w:rPr>
            </w:pPr>
            <w:r>
              <w:rPr>
                <w:rFonts w:hint="eastAsia"/>
                <w:color w:val="auto"/>
                <w:highlight w:val="none"/>
              </w:rPr>
              <w:t xml:space="preserve">1、供应商须使用电子交易系统提供的投标文件制作工具进行电子投标文件的制作。 </w:t>
            </w:r>
          </w:p>
          <w:p w14:paraId="6C1B1C1E">
            <w:pPr>
              <w:wordWrap/>
              <w:topLinePunct w:val="0"/>
              <w:spacing w:line="360" w:lineRule="auto"/>
              <w:jc w:val="left"/>
              <w:rPr>
                <w:color w:val="auto"/>
                <w:highlight w:val="none"/>
              </w:rPr>
            </w:pPr>
            <w:r>
              <w:rPr>
                <w:rFonts w:hint="eastAsia"/>
                <w:color w:val="auto"/>
                <w:highlight w:val="none"/>
              </w:rPr>
              <w:t>2、供应商编辑电子投标文件时，须用法人代表 CA 密钥和企业CA 密钥进行签章制作；最后一步生成电子投标文件（.ZZTF 格式）时，只能用本单位的企业 CA 密钥。</w:t>
            </w:r>
          </w:p>
        </w:tc>
      </w:tr>
      <w:tr w14:paraId="5AB6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74" w:type="dxa"/>
            <w:noWrap/>
            <w:vAlign w:val="center"/>
          </w:tcPr>
          <w:p w14:paraId="6594DB47">
            <w:pPr>
              <w:wordWrap/>
              <w:topLinePunct w:val="0"/>
              <w:spacing w:line="360" w:lineRule="auto"/>
              <w:rPr>
                <w:color w:val="auto"/>
                <w:highlight w:val="none"/>
              </w:rPr>
            </w:pPr>
            <w:r>
              <w:rPr>
                <w:rFonts w:hint="eastAsia"/>
                <w:color w:val="auto"/>
                <w:highlight w:val="none"/>
              </w:rPr>
              <w:t>4.2.1</w:t>
            </w:r>
          </w:p>
        </w:tc>
        <w:tc>
          <w:tcPr>
            <w:tcW w:w="2757" w:type="dxa"/>
            <w:noWrap/>
            <w:vAlign w:val="center"/>
          </w:tcPr>
          <w:p w14:paraId="3256FDBF">
            <w:pPr>
              <w:wordWrap/>
              <w:topLinePunct w:val="0"/>
              <w:spacing w:line="360" w:lineRule="auto"/>
              <w:jc w:val="center"/>
              <w:rPr>
                <w:color w:val="auto"/>
                <w:highlight w:val="none"/>
                <w:u w:val="none"/>
              </w:rPr>
            </w:pPr>
            <w:r>
              <w:rPr>
                <w:rFonts w:hint="eastAsia"/>
                <w:color w:val="auto"/>
                <w:highlight w:val="none"/>
                <w:u w:val="none"/>
              </w:rPr>
              <w:t>提交首次响应文件截止时间</w:t>
            </w:r>
          </w:p>
        </w:tc>
        <w:tc>
          <w:tcPr>
            <w:tcW w:w="6333" w:type="dxa"/>
            <w:noWrap/>
          </w:tcPr>
          <w:p w14:paraId="1F64F93D">
            <w:pPr>
              <w:wordWrap/>
              <w:topLinePunct w:val="0"/>
              <w:spacing w:line="360" w:lineRule="auto"/>
              <w:rPr>
                <w:rFonts w:hint="eastAsia"/>
                <w:color w:val="auto"/>
                <w:highlight w:val="none"/>
                <w:u w:val="none"/>
              </w:rPr>
            </w:pPr>
            <w:r>
              <w:rPr>
                <w:rFonts w:hint="eastAsia"/>
                <w:color w:val="auto"/>
                <w:highlight w:val="none"/>
                <w:u w:val="none"/>
              </w:rPr>
              <w:t xml:space="preserve"> 202</w:t>
            </w:r>
            <w:r>
              <w:rPr>
                <w:rFonts w:hint="eastAsia"/>
                <w:color w:val="auto"/>
                <w:highlight w:val="none"/>
                <w:u w:val="none"/>
                <w:lang w:val="en-US" w:eastAsia="zh-CN"/>
              </w:rPr>
              <w:t>5</w:t>
            </w:r>
            <w:r>
              <w:rPr>
                <w:rFonts w:hint="eastAsia"/>
                <w:color w:val="auto"/>
                <w:highlight w:val="none"/>
                <w:u w:val="none"/>
              </w:rPr>
              <w:t xml:space="preserve">年 </w:t>
            </w:r>
            <w:r>
              <w:rPr>
                <w:rFonts w:hint="eastAsia"/>
                <w:color w:val="auto"/>
                <w:highlight w:val="none"/>
                <w:u w:val="none"/>
                <w:lang w:val="en-US" w:eastAsia="zh-CN"/>
              </w:rPr>
              <w:t xml:space="preserve">9 </w:t>
            </w:r>
            <w:r>
              <w:rPr>
                <w:rFonts w:hint="eastAsia"/>
                <w:color w:val="auto"/>
                <w:highlight w:val="none"/>
                <w:u w:val="none"/>
              </w:rPr>
              <w:t>月</w:t>
            </w:r>
            <w:r>
              <w:rPr>
                <w:rFonts w:hint="eastAsia"/>
                <w:color w:val="auto"/>
                <w:highlight w:val="none"/>
                <w:u w:val="none"/>
                <w:lang w:val="en-US" w:eastAsia="zh-CN"/>
              </w:rPr>
              <w:t>28</w:t>
            </w:r>
            <w:r>
              <w:rPr>
                <w:rFonts w:hint="eastAsia"/>
                <w:color w:val="auto"/>
                <w:highlight w:val="none"/>
                <w:u w:val="none"/>
              </w:rPr>
              <w:t xml:space="preserve">日 </w:t>
            </w:r>
            <w:r>
              <w:rPr>
                <w:rFonts w:hint="eastAsia"/>
                <w:color w:val="auto"/>
                <w:highlight w:val="none"/>
                <w:u w:val="none"/>
                <w:lang w:val="en-US" w:eastAsia="zh-CN"/>
              </w:rPr>
              <w:t>9</w:t>
            </w:r>
            <w:r>
              <w:rPr>
                <w:rFonts w:hint="eastAsia"/>
                <w:color w:val="auto"/>
                <w:highlight w:val="none"/>
                <w:u w:val="none"/>
              </w:rPr>
              <w:t xml:space="preserve"> 时 00 分（北京时间）</w:t>
            </w:r>
          </w:p>
        </w:tc>
      </w:tr>
      <w:tr w14:paraId="4C2A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noWrap/>
            <w:vAlign w:val="center"/>
          </w:tcPr>
          <w:p w14:paraId="22243CCA">
            <w:pPr>
              <w:wordWrap/>
              <w:topLinePunct w:val="0"/>
              <w:spacing w:line="360" w:lineRule="auto"/>
              <w:rPr>
                <w:color w:val="auto"/>
                <w:highlight w:val="none"/>
              </w:rPr>
            </w:pPr>
            <w:r>
              <w:rPr>
                <w:rFonts w:hint="eastAsia"/>
                <w:color w:val="auto"/>
                <w:highlight w:val="none"/>
              </w:rPr>
              <w:t>4.2.2</w:t>
            </w:r>
          </w:p>
        </w:tc>
        <w:tc>
          <w:tcPr>
            <w:tcW w:w="2757" w:type="dxa"/>
            <w:noWrap/>
            <w:vAlign w:val="center"/>
          </w:tcPr>
          <w:p w14:paraId="5357324F">
            <w:pPr>
              <w:wordWrap/>
              <w:topLinePunct w:val="0"/>
              <w:spacing w:line="360" w:lineRule="auto"/>
              <w:jc w:val="center"/>
              <w:rPr>
                <w:color w:val="auto"/>
                <w:highlight w:val="none"/>
              </w:rPr>
            </w:pPr>
            <w:r>
              <w:rPr>
                <w:rFonts w:hint="eastAsia"/>
                <w:color w:val="auto"/>
                <w:highlight w:val="none"/>
              </w:rPr>
              <w:t>远程解密地点</w:t>
            </w:r>
          </w:p>
        </w:tc>
        <w:tc>
          <w:tcPr>
            <w:tcW w:w="6333" w:type="dxa"/>
            <w:noWrap/>
            <w:vAlign w:val="center"/>
          </w:tcPr>
          <w:p w14:paraId="04AB5484">
            <w:pPr>
              <w:wordWrap/>
              <w:topLinePunct w:val="0"/>
              <w:spacing w:line="360" w:lineRule="auto"/>
              <w:rPr>
                <w:rFonts w:hint="eastAsia"/>
                <w:color w:val="auto"/>
                <w:highlight w:val="none"/>
                <w:u w:val="none"/>
              </w:rPr>
            </w:pPr>
            <w:r>
              <w:rPr>
                <w:rFonts w:hint="eastAsia"/>
                <w:color w:val="auto"/>
                <w:highlight w:val="none"/>
                <w:u w:val="none"/>
              </w:rPr>
              <w:t>河南省公共资源交易中心远程开标室(五)-5</w:t>
            </w:r>
          </w:p>
        </w:tc>
      </w:tr>
      <w:tr w14:paraId="769E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noWrap/>
            <w:vAlign w:val="center"/>
          </w:tcPr>
          <w:p w14:paraId="117914E1">
            <w:pPr>
              <w:wordWrap/>
              <w:topLinePunct w:val="0"/>
              <w:spacing w:line="360" w:lineRule="auto"/>
              <w:rPr>
                <w:color w:val="auto"/>
                <w:highlight w:val="none"/>
              </w:rPr>
            </w:pPr>
            <w:r>
              <w:rPr>
                <w:rFonts w:hint="eastAsia"/>
                <w:color w:val="auto"/>
                <w:highlight w:val="none"/>
              </w:rPr>
              <w:t>4.2.3</w:t>
            </w:r>
          </w:p>
        </w:tc>
        <w:tc>
          <w:tcPr>
            <w:tcW w:w="2757" w:type="dxa"/>
            <w:noWrap/>
            <w:vAlign w:val="center"/>
          </w:tcPr>
          <w:p w14:paraId="58655E7C">
            <w:pPr>
              <w:wordWrap/>
              <w:topLinePunct w:val="0"/>
              <w:spacing w:line="360" w:lineRule="auto"/>
              <w:jc w:val="center"/>
              <w:rPr>
                <w:color w:val="auto"/>
                <w:highlight w:val="none"/>
              </w:rPr>
            </w:pPr>
            <w:r>
              <w:rPr>
                <w:rFonts w:hint="eastAsia"/>
                <w:color w:val="auto"/>
                <w:highlight w:val="none"/>
              </w:rPr>
              <w:t>是否退还磋商响应文件</w:t>
            </w:r>
          </w:p>
        </w:tc>
        <w:tc>
          <w:tcPr>
            <w:tcW w:w="6333" w:type="dxa"/>
            <w:noWrap/>
            <w:vAlign w:val="center"/>
          </w:tcPr>
          <w:p w14:paraId="5B1C15B5">
            <w:pPr>
              <w:wordWrap/>
              <w:topLinePunct w:val="0"/>
              <w:spacing w:line="360" w:lineRule="auto"/>
              <w:rPr>
                <w:color w:val="auto"/>
                <w:highlight w:val="none"/>
              </w:rPr>
            </w:pPr>
            <w:r>
              <w:rPr>
                <w:rFonts w:hint="eastAsia"/>
                <w:color w:val="auto"/>
                <w:highlight w:val="none"/>
              </w:rPr>
              <w:t>否</w:t>
            </w:r>
          </w:p>
        </w:tc>
      </w:tr>
      <w:tr w14:paraId="257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1BD44DB0">
            <w:pPr>
              <w:wordWrap/>
              <w:topLinePunct w:val="0"/>
              <w:spacing w:line="360" w:lineRule="auto"/>
              <w:rPr>
                <w:color w:val="auto"/>
                <w:highlight w:val="none"/>
              </w:rPr>
            </w:pPr>
            <w:r>
              <w:rPr>
                <w:rFonts w:hint="eastAsia"/>
                <w:color w:val="auto"/>
                <w:highlight w:val="none"/>
              </w:rPr>
              <w:t>5.1</w:t>
            </w:r>
          </w:p>
        </w:tc>
        <w:tc>
          <w:tcPr>
            <w:tcW w:w="2757" w:type="dxa"/>
            <w:noWrap/>
            <w:vAlign w:val="center"/>
          </w:tcPr>
          <w:p w14:paraId="50759A2B">
            <w:pPr>
              <w:wordWrap/>
              <w:topLinePunct w:val="0"/>
              <w:spacing w:line="360" w:lineRule="auto"/>
              <w:jc w:val="center"/>
              <w:rPr>
                <w:color w:val="auto"/>
                <w:highlight w:val="none"/>
              </w:rPr>
            </w:pPr>
            <w:r>
              <w:rPr>
                <w:rFonts w:hint="eastAsia"/>
                <w:color w:val="auto"/>
                <w:highlight w:val="none"/>
              </w:rPr>
              <w:t>磋商时间和地点</w:t>
            </w:r>
          </w:p>
        </w:tc>
        <w:tc>
          <w:tcPr>
            <w:tcW w:w="6333" w:type="dxa"/>
            <w:noWrap/>
          </w:tcPr>
          <w:p w14:paraId="365AC5DA">
            <w:pPr>
              <w:wordWrap/>
              <w:topLinePunct w:val="0"/>
              <w:spacing w:line="360" w:lineRule="auto"/>
              <w:rPr>
                <w:color w:val="auto"/>
                <w:highlight w:val="none"/>
              </w:rPr>
            </w:pPr>
            <w:r>
              <w:rPr>
                <w:rFonts w:hint="eastAsia"/>
                <w:color w:val="auto"/>
                <w:highlight w:val="none"/>
              </w:rPr>
              <w:t>磋商时间：同提交首次响应文件截止时间</w:t>
            </w:r>
          </w:p>
          <w:p w14:paraId="49BE5476">
            <w:pPr>
              <w:wordWrap/>
              <w:topLinePunct w:val="0"/>
              <w:spacing w:line="360" w:lineRule="auto"/>
              <w:rPr>
                <w:color w:val="auto"/>
                <w:highlight w:val="none"/>
              </w:rPr>
            </w:pPr>
            <w:r>
              <w:rPr>
                <w:rFonts w:hint="eastAsia"/>
                <w:color w:val="auto"/>
                <w:highlight w:val="none"/>
              </w:rPr>
              <w:t>磋商地点：同解密地点</w:t>
            </w:r>
          </w:p>
        </w:tc>
      </w:tr>
      <w:tr w14:paraId="3D80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6DA87108">
            <w:pPr>
              <w:wordWrap/>
              <w:topLinePunct w:val="0"/>
              <w:spacing w:line="360" w:lineRule="auto"/>
              <w:rPr>
                <w:color w:val="auto"/>
                <w:highlight w:val="none"/>
              </w:rPr>
            </w:pPr>
            <w:r>
              <w:rPr>
                <w:rFonts w:hint="eastAsia"/>
                <w:color w:val="auto"/>
                <w:highlight w:val="none"/>
              </w:rPr>
              <w:t>5.3.1</w:t>
            </w:r>
          </w:p>
        </w:tc>
        <w:tc>
          <w:tcPr>
            <w:tcW w:w="2757" w:type="dxa"/>
            <w:noWrap/>
            <w:vAlign w:val="center"/>
          </w:tcPr>
          <w:p w14:paraId="6A5A8060">
            <w:pPr>
              <w:wordWrap/>
              <w:topLinePunct w:val="0"/>
              <w:spacing w:line="360" w:lineRule="auto"/>
              <w:jc w:val="center"/>
              <w:rPr>
                <w:color w:val="auto"/>
                <w:highlight w:val="none"/>
              </w:rPr>
            </w:pPr>
            <w:r>
              <w:rPr>
                <w:rFonts w:hint="eastAsia"/>
                <w:color w:val="auto"/>
                <w:highlight w:val="none"/>
              </w:rPr>
              <w:t>磋商小组的组建</w:t>
            </w:r>
          </w:p>
        </w:tc>
        <w:tc>
          <w:tcPr>
            <w:tcW w:w="6333" w:type="dxa"/>
            <w:noWrap/>
          </w:tcPr>
          <w:p w14:paraId="6A6EEA06">
            <w:pPr>
              <w:wordWrap/>
              <w:topLinePunct w:val="0"/>
              <w:spacing w:line="360" w:lineRule="auto"/>
              <w:rPr>
                <w:color w:val="auto"/>
                <w:highlight w:val="none"/>
              </w:rPr>
            </w:pPr>
            <w:r>
              <w:rPr>
                <w:rFonts w:hint="eastAsia"/>
                <w:color w:val="auto"/>
                <w:highlight w:val="none"/>
              </w:rPr>
              <w:t>磋商小组由采购人代表和评审专家组成，成员人数为3人。其中购人代表1人，评审专家为2人，评审专家从财政部门设立的政府采购评审专家库中，通过随机方式抽取</w:t>
            </w:r>
          </w:p>
        </w:tc>
      </w:tr>
      <w:tr w14:paraId="0971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40540E0D">
            <w:pPr>
              <w:wordWrap/>
              <w:topLinePunct w:val="0"/>
              <w:spacing w:line="360" w:lineRule="auto"/>
              <w:rPr>
                <w:color w:val="auto"/>
                <w:highlight w:val="none"/>
              </w:rPr>
            </w:pPr>
            <w:r>
              <w:rPr>
                <w:rFonts w:hint="eastAsia"/>
                <w:color w:val="auto"/>
                <w:highlight w:val="none"/>
              </w:rPr>
              <w:t>5.3.3</w:t>
            </w:r>
          </w:p>
        </w:tc>
        <w:tc>
          <w:tcPr>
            <w:tcW w:w="2757" w:type="dxa"/>
            <w:noWrap/>
            <w:vAlign w:val="center"/>
          </w:tcPr>
          <w:p w14:paraId="76469521">
            <w:pPr>
              <w:wordWrap/>
              <w:topLinePunct w:val="0"/>
              <w:spacing w:line="360" w:lineRule="auto"/>
              <w:jc w:val="center"/>
              <w:rPr>
                <w:color w:val="auto"/>
                <w:highlight w:val="none"/>
              </w:rPr>
            </w:pPr>
            <w:r>
              <w:rPr>
                <w:rFonts w:hint="eastAsia"/>
                <w:color w:val="auto"/>
                <w:highlight w:val="none"/>
              </w:rPr>
              <w:t>是否授权磋商小组确定成交人</w:t>
            </w:r>
          </w:p>
        </w:tc>
        <w:tc>
          <w:tcPr>
            <w:tcW w:w="6333" w:type="dxa"/>
            <w:noWrap/>
            <w:vAlign w:val="center"/>
          </w:tcPr>
          <w:p w14:paraId="499246A5">
            <w:pPr>
              <w:wordWrap/>
              <w:topLinePunct w:val="0"/>
              <w:spacing w:line="360" w:lineRule="auto"/>
              <w:rPr>
                <w:color w:val="auto"/>
                <w:highlight w:val="none"/>
              </w:rPr>
            </w:pPr>
            <w:r>
              <w:rPr>
                <w:rFonts w:hint="eastAsia"/>
                <w:color w:val="auto"/>
                <w:highlight w:val="none"/>
              </w:rPr>
              <w:t>否，推荐的成交候选人数：3名</w:t>
            </w:r>
          </w:p>
        </w:tc>
      </w:tr>
      <w:tr w14:paraId="179E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71FC7F5A">
            <w:pPr>
              <w:wordWrap/>
              <w:topLinePunct w:val="0"/>
              <w:spacing w:line="360" w:lineRule="auto"/>
              <w:rPr>
                <w:color w:val="auto"/>
                <w:highlight w:val="none"/>
              </w:rPr>
            </w:pPr>
            <w:r>
              <w:rPr>
                <w:rFonts w:hint="eastAsia"/>
                <w:color w:val="auto"/>
                <w:highlight w:val="none"/>
              </w:rPr>
              <w:t>5.9</w:t>
            </w:r>
          </w:p>
        </w:tc>
        <w:tc>
          <w:tcPr>
            <w:tcW w:w="2757" w:type="dxa"/>
            <w:noWrap/>
            <w:vAlign w:val="center"/>
          </w:tcPr>
          <w:p w14:paraId="223ED8BE">
            <w:pPr>
              <w:wordWrap/>
              <w:topLinePunct w:val="0"/>
              <w:spacing w:line="360" w:lineRule="auto"/>
              <w:jc w:val="center"/>
              <w:rPr>
                <w:color w:val="auto"/>
                <w:highlight w:val="none"/>
              </w:rPr>
            </w:pPr>
            <w:r>
              <w:rPr>
                <w:rFonts w:hint="eastAsia"/>
                <w:color w:val="auto"/>
                <w:highlight w:val="none"/>
              </w:rPr>
              <w:t>履约保证金</w:t>
            </w:r>
          </w:p>
        </w:tc>
        <w:tc>
          <w:tcPr>
            <w:tcW w:w="6333" w:type="dxa"/>
            <w:noWrap/>
            <w:vAlign w:val="center"/>
          </w:tcPr>
          <w:p w14:paraId="464C74BA">
            <w:pPr>
              <w:wordWrap/>
              <w:topLinePunct w:val="0"/>
              <w:spacing w:line="360" w:lineRule="auto"/>
              <w:rPr>
                <w:color w:val="auto"/>
                <w:highlight w:val="none"/>
              </w:rPr>
            </w:pPr>
            <w:r>
              <w:rPr>
                <w:rFonts w:hint="eastAsia"/>
                <w:color w:val="auto"/>
                <w:highlight w:val="none"/>
              </w:rPr>
              <w:t>本项目不需要</w:t>
            </w:r>
          </w:p>
        </w:tc>
      </w:tr>
      <w:tr w14:paraId="7217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ign w:val="center"/>
          </w:tcPr>
          <w:p w14:paraId="6961E9EA">
            <w:pPr>
              <w:wordWrap/>
              <w:topLinePunct w:val="0"/>
              <w:spacing w:line="360" w:lineRule="auto"/>
              <w:rPr>
                <w:color w:val="auto"/>
                <w:highlight w:val="none"/>
              </w:rPr>
            </w:pPr>
            <w:r>
              <w:rPr>
                <w:rFonts w:hint="eastAsia"/>
                <w:color w:val="auto"/>
                <w:highlight w:val="none"/>
              </w:rPr>
              <w:t>8.1</w:t>
            </w:r>
          </w:p>
        </w:tc>
        <w:tc>
          <w:tcPr>
            <w:tcW w:w="2757" w:type="dxa"/>
            <w:noWrap/>
            <w:vAlign w:val="center"/>
          </w:tcPr>
          <w:p w14:paraId="281829C9">
            <w:pPr>
              <w:wordWrap/>
              <w:topLinePunct w:val="0"/>
              <w:spacing w:line="360" w:lineRule="auto"/>
              <w:jc w:val="center"/>
              <w:rPr>
                <w:color w:val="auto"/>
                <w:highlight w:val="none"/>
              </w:rPr>
            </w:pPr>
            <w:r>
              <w:rPr>
                <w:rFonts w:hint="eastAsia"/>
                <w:color w:val="auto"/>
                <w:highlight w:val="none"/>
              </w:rPr>
              <w:t>政府采购政策</w:t>
            </w:r>
          </w:p>
        </w:tc>
        <w:tc>
          <w:tcPr>
            <w:tcW w:w="6333" w:type="dxa"/>
            <w:noWrap/>
            <w:vAlign w:val="center"/>
          </w:tcPr>
          <w:p w14:paraId="4CCF3FA3">
            <w:pPr>
              <w:pStyle w:val="18"/>
              <w:numPr>
                <w:ilvl w:val="0"/>
                <w:numId w:val="3"/>
              </w:numPr>
              <w:ind w:left="63" w:right="63"/>
              <w:jc w:val="left"/>
              <w:rPr>
                <w:color w:val="auto"/>
                <w:sz w:val="21"/>
                <w:szCs w:val="21"/>
                <w:highlight w:val="none"/>
              </w:rPr>
            </w:pPr>
            <w:r>
              <w:rPr>
                <w:rFonts w:hint="eastAsia"/>
                <w:color w:val="auto"/>
                <w:sz w:val="21"/>
                <w:szCs w:val="21"/>
                <w:highlight w:val="none"/>
              </w:rPr>
              <w:t>为贯彻落实财库[2022]19号《财政部关于印发（关于进一步加大政府采购支持中小企业力度的通知）》、财库[2020]46号《财政部、工信部关于印发&lt;政府采购促进中小企业发展管理办法&gt;的通知》、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为依据。</w:t>
            </w:r>
          </w:p>
          <w:p w14:paraId="3BF26ADF">
            <w:pPr>
              <w:wordWrap/>
              <w:topLinePunct w:val="0"/>
              <w:spacing w:line="400" w:lineRule="exact"/>
              <w:ind w:firstLine="420" w:firstLineChars="200"/>
              <w:rPr>
                <w:color w:val="auto"/>
                <w:highlight w:val="none"/>
              </w:rPr>
            </w:pPr>
            <w:r>
              <w:rPr>
                <w:rFonts w:hint="eastAsia"/>
                <w:color w:val="auto"/>
                <w:highlight w:val="none"/>
              </w:rPr>
              <w:t>关于投标报价评分中给予小微企业优惠的说明：供应商所投标的产品为小型和微型企业制造的，则给予该产品报价</w:t>
            </w:r>
            <w:r>
              <w:rPr>
                <w:rFonts w:hint="eastAsia"/>
                <w:color w:val="auto"/>
                <w:highlight w:val="none"/>
                <w:lang w:val="en-US" w:eastAsia="zh-CN"/>
              </w:rPr>
              <w:t>20%</w:t>
            </w:r>
            <w:r>
              <w:rPr>
                <w:color w:val="auto"/>
                <w:highlight w:val="none"/>
              </w:rPr>
              <w:t>的扣除，用扣除后的价格参与评审。参加竞争性磋商的小微企业，应当按照《政府采购促进中小企业发展管理办法》(财库〔2020〕46号)的规定。 供应商所投产品为大型和中型企业制造的不适用本款规定。</w:t>
            </w:r>
          </w:p>
          <w:p w14:paraId="0BEECA73">
            <w:pPr>
              <w:wordWrap/>
              <w:topLinePunct w:val="0"/>
              <w:spacing w:line="400" w:lineRule="exact"/>
              <w:ind w:firstLine="420" w:firstLineChars="200"/>
              <w:rPr>
                <w:color w:val="auto"/>
                <w:highlight w:val="none"/>
              </w:rPr>
            </w:pPr>
            <w:r>
              <w:rPr>
                <w:rFonts w:hint="eastAsia"/>
                <w:color w:val="auto"/>
                <w:highlight w:val="none"/>
              </w:rPr>
              <w:t>根据财政部司法部《关于政府采购支持监狱企业发展有关问题的通知》（财库〔</w:t>
            </w:r>
            <w:r>
              <w:rPr>
                <w:color w:val="auto"/>
                <w:highlight w:val="none"/>
              </w:rPr>
              <w:t>2014〕68号）和财政部民政部中国残疾人联合会《关于促进残疾人就业政府采购政策的通知》（财库〔2017〕141号）规定，本项目对监狱企业、残疾人福利性企业作为供应商所提供的本企业生产的产品的价格给予</w:t>
            </w:r>
            <w:r>
              <w:rPr>
                <w:rFonts w:hint="eastAsia"/>
                <w:color w:val="auto"/>
                <w:highlight w:val="none"/>
                <w:lang w:val="en-US" w:eastAsia="zh-CN"/>
              </w:rPr>
              <w:t>20%</w:t>
            </w:r>
            <w:r>
              <w:rPr>
                <w:color w:val="auto"/>
                <w:highlight w:val="none"/>
              </w:rPr>
              <w:t>的扣除。</w:t>
            </w:r>
          </w:p>
          <w:p w14:paraId="6C278450">
            <w:pPr>
              <w:wordWrap/>
              <w:topLinePunct w:val="0"/>
              <w:spacing w:line="400" w:lineRule="exact"/>
              <w:ind w:firstLine="420" w:firstLineChars="200"/>
              <w:rPr>
                <w:color w:val="auto"/>
                <w:highlight w:val="none"/>
              </w:rPr>
            </w:pPr>
            <w:r>
              <w:rPr>
                <w:rFonts w:hint="eastAsia"/>
                <w:color w:val="auto"/>
                <w:highlight w:val="none"/>
              </w:rPr>
              <w:t>同一供应商，小微企业、监狱、残疾人福利性企业同一产品价格扣除优惠只享受一次，不得重复享受。</w:t>
            </w:r>
          </w:p>
          <w:p w14:paraId="1CFC2E0A">
            <w:pPr>
              <w:pStyle w:val="18"/>
              <w:ind w:left="0" w:leftChars="0" w:right="63" w:firstLine="420" w:firstLineChars="200"/>
              <w:jc w:val="left"/>
              <w:rPr>
                <w:color w:val="auto"/>
                <w:sz w:val="21"/>
                <w:szCs w:val="21"/>
                <w:highlight w:val="none"/>
              </w:rPr>
            </w:pPr>
            <w:r>
              <w:rPr>
                <w:rFonts w:hint="eastAsia"/>
                <w:color w:val="auto"/>
                <w:sz w:val="21"/>
                <w:szCs w:val="21"/>
                <w:highlight w:val="none"/>
              </w:rPr>
              <w:t>供应商须提供中小企业声明函，否则不予认可（小型、微型企业提供中型企业制造的货物的，视同为中型企业）,小型或微型企业用评标报价参与评分。</w:t>
            </w:r>
          </w:p>
          <w:p w14:paraId="6844087B">
            <w:pPr>
              <w:pStyle w:val="18"/>
              <w:ind w:left="63" w:right="63"/>
              <w:jc w:val="left"/>
              <w:rPr>
                <w:color w:val="auto"/>
                <w:sz w:val="21"/>
                <w:szCs w:val="21"/>
                <w:highlight w:val="none"/>
              </w:rPr>
            </w:pPr>
            <w:r>
              <w:rPr>
                <w:rFonts w:hint="eastAsia"/>
                <w:color w:val="auto"/>
                <w:sz w:val="21"/>
                <w:szCs w:val="21"/>
                <w:highlight w:val="none"/>
              </w:rPr>
              <w:t>大中型企业评标报价=投标报价 </w:t>
            </w:r>
          </w:p>
          <w:p w14:paraId="267A016E">
            <w:pPr>
              <w:pStyle w:val="18"/>
              <w:ind w:left="63" w:right="63"/>
              <w:jc w:val="left"/>
              <w:rPr>
                <w:color w:val="auto"/>
                <w:sz w:val="21"/>
                <w:szCs w:val="21"/>
                <w:highlight w:val="none"/>
              </w:rPr>
            </w:pPr>
            <w:r>
              <w:rPr>
                <w:rFonts w:hint="eastAsia"/>
                <w:color w:val="auto"/>
                <w:sz w:val="21"/>
                <w:szCs w:val="21"/>
                <w:highlight w:val="none"/>
              </w:rPr>
              <w:t>小型或微型企业评标报价=投标报价*（1-</w:t>
            </w:r>
            <w:r>
              <w:rPr>
                <w:rFonts w:hint="eastAsia"/>
                <w:color w:val="auto"/>
                <w:sz w:val="21"/>
                <w:szCs w:val="21"/>
                <w:highlight w:val="none"/>
                <w:lang w:val="en-US" w:eastAsia="zh-CN"/>
              </w:rPr>
              <w:t>20%</w:t>
            </w:r>
            <w:r>
              <w:rPr>
                <w:rFonts w:hint="eastAsia"/>
                <w:color w:val="auto"/>
                <w:sz w:val="21"/>
                <w:szCs w:val="21"/>
                <w:highlight w:val="none"/>
              </w:rPr>
              <w:t>）</w:t>
            </w:r>
          </w:p>
          <w:p w14:paraId="34FC4E17">
            <w:pPr>
              <w:pStyle w:val="18"/>
              <w:ind w:left="63" w:right="63"/>
              <w:jc w:val="left"/>
              <w:rPr>
                <w:color w:val="auto"/>
                <w:sz w:val="21"/>
                <w:szCs w:val="21"/>
                <w:highlight w:val="none"/>
              </w:rPr>
            </w:pPr>
            <w:r>
              <w:rPr>
                <w:rFonts w:hint="eastAsia"/>
                <w:color w:val="auto"/>
                <w:sz w:val="21"/>
                <w:szCs w:val="21"/>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62543F61">
            <w:pPr>
              <w:pStyle w:val="18"/>
              <w:ind w:left="63" w:right="63"/>
              <w:jc w:val="left"/>
              <w:rPr>
                <w:color w:val="auto"/>
                <w:sz w:val="21"/>
                <w:szCs w:val="21"/>
                <w:highlight w:val="none"/>
              </w:rPr>
            </w:pPr>
            <w:r>
              <w:rPr>
                <w:rFonts w:hint="eastAsia"/>
                <w:color w:val="auto"/>
                <w:sz w:val="21"/>
                <w:szCs w:val="21"/>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67EC56BA">
            <w:pPr>
              <w:pStyle w:val="18"/>
              <w:ind w:left="63" w:right="63"/>
              <w:jc w:val="left"/>
              <w:rPr>
                <w:color w:val="auto"/>
                <w:sz w:val="21"/>
                <w:szCs w:val="21"/>
                <w:highlight w:val="none"/>
              </w:rPr>
            </w:pPr>
            <w:r>
              <w:rPr>
                <w:rFonts w:hint="eastAsia"/>
                <w:color w:val="auto"/>
                <w:sz w:val="21"/>
                <w:szCs w:val="21"/>
                <w:highlight w:val="none"/>
              </w:rPr>
              <w:t>D、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27DAC706">
            <w:pPr>
              <w:pStyle w:val="18"/>
              <w:ind w:left="63" w:right="63"/>
              <w:jc w:val="left"/>
              <w:rPr>
                <w:color w:val="auto"/>
                <w:sz w:val="21"/>
                <w:szCs w:val="21"/>
                <w:highlight w:val="none"/>
              </w:rPr>
            </w:pPr>
            <w:r>
              <w:rPr>
                <w:rFonts w:hint="eastAsia"/>
                <w:color w:val="auto"/>
                <w:sz w:val="21"/>
                <w:szCs w:val="21"/>
                <w:highlight w:val="none"/>
              </w:rPr>
              <w:t>E、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4E279B95">
            <w:pPr>
              <w:pStyle w:val="18"/>
              <w:ind w:left="63" w:right="63"/>
              <w:jc w:val="left"/>
              <w:rPr>
                <w:color w:val="auto"/>
                <w:sz w:val="21"/>
                <w:szCs w:val="21"/>
                <w:highlight w:val="none"/>
              </w:rPr>
            </w:pPr>
            <w:r>
              <w:rPr>
                <w:rFonts w:hint="eastAsia"/>
                <w:color w:val="auto"/>
                <w:sz w:val="21"/>
                <w:szCs w:val="21"/>
                <w:highlight w:val="none"/>
              </w:rPr>
              <w:t>F、根据政府采购政策，本项目如涉及到自主创新首购产品，应当采购由财政部会同科技部等部门制定的《政府采购自主创新产品目录》内的产品。</w:t>
            </w:r>
          </w:p>
          <w:p w14:paraId="71A84E20">
            <w:pPr>
              <w:pStyle w:val="18"/>
              <w:ind w:left="63" w:right="63"/>
              <w:jc w:val="left"/>
              <w:rPr>
                <w:color w:val="auto"/>
                <w:sz w:val="21"/>
                <w:szCs w:val="21"/>
                <w:highlight w:val="none"/>
              </w:rPr>
            </w:pPr>
            <w:r>
              <w:rPr>
                <w:rFonts w:hint="eastAsia"/>
                <w:color w:val="auto"/>
                <w:sz w:val="21"/>
                <w:szCs w:val="21"/>
                <w:highlight w:val="none"/>
              </w:rPr>
              <w:t>G、根据政府采购政策，本项目如涉及到无线局域网产品，应当优先采购《无线局域网认证产品政府采购清单》内的产品，如涉及到信息安全产品，应当采购经国家认证的信息安全产品。</w:t>
            </w:r>
          </w:p>
          <w:p w14:paraId="61D67FC3">
            <w:pPr>
              <w:pStyle w:val="18"/>
              <w:ind w:left="63" w:right="63"/>
              <w:jc w:val="left"/>
              <w:rPr>
                <w:color w:val="auto"/>
                <w:sz w:val="21"/>
                <w:szCs w:val="21"/>
                <w:highlight w:val="none"/>
              </w:rPr>
            </w:pPr>
            <w:r>
              <w:rPr>
                <w:rFonts w:hint="eastAsia"/>
                <w:color w:val="auto"/>
                <w:sz w:val="21"/>
                <w:szCs w:val="21"/>
                <w:highlight w:val="none"/>
              </w:rPr>
              <w:t>H、根据政府采购政策，本项目如涉及到计算机办公设备产品，供应商所投产品必须是预装正版操作系统软件的计算机产品。</w:t>
            </w:r>
          </w:p>
          <w:p w14:paraId="6FEE50B1">
            <w:pPr>
              <w:autoSpaceDE w:val="0"/>
              <w:autoSpaceDN w:val="0"/>
              <w:adjustRightInd w:val="0"/>
              <w:spacing w:line="360" w:lineRule="auto"/>
              <w:rPr>
                <w:color w:val="auto"/>
                <w:highlight w:val="none"/>
              </w:rPr>
            </w:pPr>
            <w:r>
              <w:rPr>
                <w:rFonts w:hint="eastAsia"/>
                <w:color w:val="auto"/>
                <w:highlight w:val="none"/>
              </w:rPr>
              <w:t>I</w:t>
            </w:r>
            <w:r>
              <w:rPr>
                <w:rFonts w:hint="eastAsia"/>
                <w:color w:val="auto"/>
                <w:sz w:val="21"/>
                <w:szCs w:val="21"/>
                <w:highlight w:val="none"/>
              </w:rPr>
              <w:t>、其它未尽事宜，按国家有关法律、法规执行。</w:t>
            </w:r>
          </w:p>
        </w:tc>
      </w:tr>
      <w:tr w14:paraId="0A04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74" w:type="dxa"/>
            <w:noWrap/>
            <w:vAlign w:val="center"/>
          </w:tcPr>
          <w:p w14:paraId="67569B1D">
            <w:pPr>
              <w:wordWrap/>
              <w:topLinePunct w:val="0"/>
              <w:spacing w:line="360" w:lineRule="auto"/>
              <w:rPr>
                <w:color w:val="auto"/>
                <w:highlight w:val="none"/>
              </w:rPr>
            </w:pPr>
            <w:r>
              <w:rPr>
                <w:rFonts w:hint="eastAsia"/>
                <w:color w:val="auto"/>
                <w:highlight w:val="none"/>
              </w:rPr>
              <w:t>10.1</w:t>
            </w:r>
          </w:p>
        </w:tc>
        <w:tc>
          <w:tcPr>
            <w:tcW w:w="2757" w:type="dxa"/>
            <w:noWrap/>
            <w:vAlign w:val="center"/>
          </w:tcPr>
          <w:p w14:paraId="1AF0A984">
            <w:pPr>
              <w:wordWrap/>
              <w:topLinePunct w:val="0"/>
              <w:spacing w:line="360" w:lineRule="auto"/>
              <w:jc w:val="center"/>
              <w:rPr>
                <w:color w:val="auto"/>
                <w:highlight w:val="none"/>
              </w:rPr>
            </w:pPr>
            <w:r>
              <w:rPr>
                <w:rFonts w:hint="eastAsia"/>
                <w:color w:val="auto"/>
                <w:highlight w:val="none"/>
              </w:rPr>
              <w:t>代理费用收取方式及标准</w:t>
            </w:r>
          </w:p>
        </w:tc>
        <w:tc>
          <w:tcPr>
            <w:tcW w:w="6333" w:type="dxa"/>
            <w:noWrap/>
            <w:vAlign w:val="center"/>
          </w:tcPr>
          <w:p w14:paraId="2D4C8DC4">
            <w:pPr>
              <w:numPr>
                <w:ilvl w:val="0"/>
                <w:numId w:val="0"/>
              </w:numPr>
              <w:wordWrap/>
              <w:topLinePunct w:val="0"/>
              <w:spacing w:line="360" w:lineRule="auto"/>
              <w:rPr>
                <w:color w:val="auto"/>
                <w:highlight w:val="none"/>
              </w:rPr>
            </w:pPr>
            <w:r>
              <w:rPr>
                <w:rFonts w:ascii="宋体" w:hAnsi="宋体" w:eastAsia="宋体" w:cs="宋体"/>
                <w:color w:val="auto"/>
                <w:spacing w:val="8"/>
                <w:sz w:val="21"/>
                <w:szCs w:val="21"/>
                <w:highlight w:val="none"/>
              </w:rPr>
              <w:t>采购代理服务费参照《河南省招标代理服务收费指导意见》（豫招协[2023]002号）文件计取，由成交供应商在领取成交通知书前向代理机构现金或转账支付。此费用由供应商综合考虑到报价中，不再单独列项。</w:t>
            </w:r>
          </w:p>
        </w:tc>
      </w:tr>
      <w:tr w14:paraId="2571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4" w:type="dxa"/>
            <w:noWrap/>
            <w:vAlign w:val="center"/>
          </w:tcPr>
          <w:p w14:paraId="0E68358F">
            <w:pPr>
              <w:wordWrap/>
              <w:topLinePunct w:val="0"/>
              <w:spacing w:line="360" w:lineRule="auto"/>
              <w:rPr>
                <w:color w:val="auto"/>
                <w:highlight w:val="none"/>
              </w:rPr>
            </w:pPr>
            <w:r>
              <w:rPr>
                <w:rFonts w:hint="eastAsia"/>
                <w:color w:val="auto"/>
                <w:highlight w:val="none"/>
              </w:rPr>
              <w:t>10.2</w:t>
            </w:r>
          </w:p>
        </w:tc>
        <w:tc>
          <w:tcPr>
            <w:tcW w:w="2757" w:type="dxa"/>
            <w:noWrap/>
            <w:vAlign w:val="center"/>
          </w:tcPr>
          <w:p w14:paraId="076F9831">
            <w:pPr>
              <w:wordWrap/>
              <w:topLinePunct w:val="0"/>
              <w:spacing w:line="360" w:lineRule="auto"/>
              <w:jc w:val="center"/>
              <w:rPr>
                <w:color w:val="auto"/>
                <w:highlight w:val="none"/>
              </w:rPr>
            </w:pPr>
            <w:r>
              <w:rPr>
                <w:rFonts w:hint="eastAsia"/>
                <w:color w:val="auto"/>
                <w:highlight w:val="none"/>
              </w:rPr>
              <w:t>采购程序</w:t>
            </w:r>
          </w:p>
        </w:tc>
        <w:tc>
          <w:tcPr>
            <w:tcW w:w="6333" w:type="dxa"/>
            <w:noWrap/>
            <w:vAlign w:val="center"/>
          </w:tcPr>
          <w:p w14:paraId="2D00E40B">
            <w:pPr>
              <w:wordWrap/>
              <w:topLinePunct w:val="0"/>
              <w:spacing w:line="360" w:lineRule="auto"/>
              <w:rPr>
                <w:color w:val="auto"/>
                <w:highlight w:val="none"/>
              </w:rPr>
            </w:pPr>
            <w:r>
              <w:rPr>
                <w:rFonts w:hint="eastAsia"/>
                <w:color w:val="auto"/>
                <w:highlight w:val="none"/>
              </w:rPr>
              <w:t>1.成立磋商小组</w:t>
            </w:r>
          </w:p>
          <w:p w14:paraId="3733206B">
            <w:pPr>
              <w:wordWrap/>
              <w:topLinePunct w:val="0"/>
              <w:spacing w:line="360" w:lineRule="auto"/>
              <w:rPr>
                <w:color w:val="auto"/>
                <w:highlight w:val="none"/>
              </w:rPr>
            </w:pPr>
            <w:r>
              <w:rPr>
                <w:rFonts w:hint="eastAsia"/>
                <w:color w:val="auto"/>
                <w:highlight w:val="none"/>
              </w:rPr>
              <w:t>2.制定或确认竞争性磋商文件</w:t>
            </w:r>
          </w:p>
          <w:p w14:paraId="2793A15B">
            <w:pPr>
              <w:wordWrap/>
              <w:topLinePunct w:val="0"/>
              <w:spacing w:line="360" w:lineRule="auto"/>
              <w:rPr>
                <w:color w:val="auto"/>
                <w:highlight w:val="none"/>
              </w:rPr>
            </w:pPr>
            <w:r>
              <w:rPr>
                <w:rFonts w:hint="eastAsia"/>
                <w:color w:val="auto"/>
                <w:highlight w:val="none"/>
              </w:rPr>
              <w:t>3.确定不少于3家的供应商参加磋商</w:t>
            </w:r>
          </w:p>
          <w:p w14:paraId="3FC2B86C">
            <w:pPr>
              <w:wordWrap/>
              <w:topLinePunct w:val="0"/>
              <w:spacing w:line="360" w:lineRule="auto"/>
              <w:rPr>
                <w:color w:val="auto"/>
                <w:highlight w:val="none"/>
              </w:rPr>
            </w:pPr>
            <w:r>
              <w:rPr>
                <w:rFonts w:hint="eastAsia"/>
                <w:color w:val="auto"/>
                <w:highlight w:val="none"/>
              </w:rPr>
              <w:t>4.磋商</w:t>
            </w:r>
          </w:p>
          <w:p w14:paraId="1CC7BE43">
            <w:pPr>
              <w:wordWrap/>
              <w:topLinePunct w:val="0"/>
              <w:spacing w:line="360" w:lineRule="auto"/>
              <w:rPr>
                <w:color w:val="auto"/>
                <w:highlight w:val="none"/>
              </w:rPr>
            </w:pPr>
            <w:r>
              <w:rPr>
                <w:rFonts w:hint="eastAsia"/>
                <w:color w:val="auto"/>
                <w:highlight w:val="none"/>
              </w:rPr>
              <w:t>5.确定供应商</w:t>
            </w:r>
          </w:p>
          <w:p w14:paraId="0E88A0DC">
            <w:pPr>
              <w:wordWrap/>
              <w:topLinePunct w:val="0"/>
              <w:spacing w:line="360" w:lineRule="auto"/>
              <w:rPr>
                <w:color w:val="auto"/>
                <w:highlight w:val="none"/>
              </w:rPr>
            </w:pPr>
            <w:r>
              <w:rPr>
                <w:rFonts w:hint="eastAsia"/>
                <w:color w:val="auto"/>
                <w:highlight w:val="none"/>
              </w:rPr>
              <w:t>6.在指定媒体公布结果</w:t>
            </w:r>
          </w:p>
        </w:tc>
      </w:tr>
      <w:tr w14:paraId="43DE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ign w:val="center"/>
          </w:tcPr>
          <w:p w14:paraId="4EC934EC">
            <w:pPr>
              <w:wordWrap/>
              <w:topLinePunct w:val="0"/>
              <w:spacing w:line="360" w:lineRule="auto"/>
              <w:rPr>
                <w:color w:val="auto"/>
                <w:highlight w:val="none"/>
              </w:rPr>
            </w:pPr>
            <w:r>
              <w:rPr>
                <w:rFonts w:hint="eastAsia"/>
                <w:color w:val="auto"/>
                <w:highlight w:val="none"/>
              </w:rPr>
              <w:t>10.3.1</w:t>
            </w:r>
          </w:p>
        </w:tc>
        <w:tc>
          <w:tcPr>
            <w:tcW w:w="2757" w:type="dxa"/>
            <w:noWrap/>
            <w:vAlign w:val="center"/>
          </w:tcPr>
          <w:p w14:paraId="06AA2C1B">
            <w:pPr>
              <w:wordWrap/>
              <w:topLinePunct w:val="0"/>
              <w:spacing w:line="360" w:lineRule="auto"/>
              <w:jc w:val="center"/>
              <w:rPr>
                <w:color w:val="auto"/>
                <w:highlight w:val="none"/>
              </w:rPr>
            </w:pPr>
            <w:r>
              <w:rPr>
                <w:rFonts w:hint="eastAsia"/>
                <w:color w:val="auto"/>
                <w:highlight w:val="none"/>
              </w:rPr>
              <w:t>需要补充的其他内容</w:t>
            </w:r>
          </w:p>
        </w:tc>
        <w:tc>
          <w:tcPr>
            <w:tcW w:w="6333" w:type="dxa"/>
            <w:noWrap/>
            <w:vAlign w:val="center"/>
          </w:tcPr>
          <w:p w14:paraId="54882D37">
            <w:pPr>
              <w:wordWrap/>
              <w:topLinePunct w:val="0"/>
              <w:spacing w:line="360" w:lineRule="auto"/>
              <w:rPr>
                <w:color w:val="auto"/>
                <w:highlight w:val="none"/>
              </w:rPr>
            </w:pPr>
            <w:r>
              <w:rPr>
                <w:rFonts w:hint="eastAsia"/>
                <w:color w:val="auto"/>
                <w:highlight w:val="none"/>
              </w:rPr>
              <w:t>成交人与采购人签订合同后，将合同副本原件报采购代理机构备案 。</w:t>
            </w:r>
          </w:p>
        </w:tc>
      </w:tr>
      <w:tr w14:paraId="5AC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ign w:val="center"/>
          </w:tcPr>
          <w:p w14:paraId="653A9007">
            <w:pPr>
              <w:wordWrap/>
              <w:topLinePunct w:val="0"/>
              <w:spacing w:line="360" w:lineRule="auto"/>
              <w:rPr>
                <w:color w:val="auto"/>
                <w:highlight w:val="none"/>
              </w:rPr>
            </w:pPr>
            <w:r>
              <w:rPr>
                <w:rFonts w:hint="eastAsia"/>
                <w:color w:val="auto"/>
                <w:highlight w:val="none"/>
              </w:rPr>
              <w:t>10.3.2</w:t>
            </w:r>
          </w:p>
        </w:tc>
        <w:tc>
          <w:tcPr>
            <w:tcW w:w="2757" w:type="dxa"/>
            <w:noWrap/>
            <w:vAlign w:val="center"/>
          </w:tcPr>
          <w:p w14:paraId="1D8B7105">
            <w:pPr>
              <w:wordWrap/>
              <w:topLinePunct w:val="0"/>
              <w:spacing w:line="400" w:lineRule="exact"/>
              <w:ind w:left="37" w:leftChars="18"/>
              <w:jc w:val="center"/>
              <w:rPr>
                <w:color w:val="auto"/>
                <w:highlight w:val="none"/>
              </w:rPr>
            </w:pPr>
            <w:r>
              <w:rPr>
                <w:rFonts w:hint="eastAsia"/>
                <w:color w:val="auto"/>
                <w:highlight w:val="none"/>
              </w:rPr>
              <w:t>知识产权</w:t>
            </w:r>
          </w:p>
        </w:tc>
        <w:tc>
          <w:tcPr>
            <w:tcW w:w="6333" w:type="dxa"/>
            <w:noWrap/>
            <w:vAlign w:val="center"/>
          </w:tcPr>
          <w:p w14:paraId="4A1AA795">
            <w:pPr>
              <w:wordWrap/>
              <w:topLinePunct w:val="0"/>
              <w:spacing w:line="400" w:lineRule="exact"/>
              <w:ind w:left="37" w:leftChars="18"/>
              <w:rPr>
                <w:color w:val="auto"/>
                <w:highlight w:val="none"/>
              </w:rPr>
            </w:pPr>
            <w:r>
              <w:rPr>
                <w:rFonts w:hint="eastAsia"/>
                <w:color w:val="auto"/>
                <w:highlight w:val="none"/>
              </w:rPr>
              <w:t>构成本磋商文件各个组成部分的文件，未经采购人书面同意，供应商不得擅自复印和用于非本采购项目所需的其他目的。采购人全部或者部分使用未成交响应文件中的技术成果或技术方案时，需征得其书面同意，并不得擅自复印或提供给第三人。</w:t>
            </w:r>
          </w:p>
        </w:tc>
      </w:tr>
      <w:tr w14:paraId="7DCD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ign w:val="center"/>
          </w:tcPr>
          <w:p w14:paraId="58F1F6CD">
            <w:pPr>
              <w:wordWrap/>
              <w:topLinePunct w:val="0"/>
              <w:spacing w:line="360" w:lineRule="auto"/>
              <w:rPr>
                <w:color w:val="auto"/>
                <w:highlight w:val="none"/>
              </w:rPr>
            </w:pPr>
            <w:r>
              <w:rPr>
                <w:rFonts w:hint="eastAsia"/>
                <w:color w:val="auto"/>
                <w:highlight w:val="none"/>
              </w:rPr>
              <w:t>10.3.3</w:t>
            </w:r>
          </w:p>
        </w:tc>
        <w:tc>
          <w:tcPr>
            <w:tcW w:w="2757" w:type="dxa"/>
            <w:noWrap/>
            <w:vAlign w:val="center"/>
          </w:tcPr>
          <w:p w14:paraId="7F66438D">
            <w:pPr>
              <w:wordWrap/>
              <w:topLinePunct w:val="0"/>
              <w:spacing w:line="400" w:lineRule="exact"/>
              <w:ind w:left="37" w:leftChars="18"/>
              <w:jc w:val="center"/>
              <w:rPr>
                <w:color w:val="auto"/>
                <w:highlight w:val="none"/>
              </w:rPr>
            </w:pPr>
            <w:r>
              <w:rPr>
                <w:rFonts w:hint="eastAsia"/>
                <w:color w:val="auto"/>
                <w:highlight w:val="none"/>
              </w:rPr>
              <w:t>解释权</w:t>
            </w:r>
          </w:p>
        </w:tc>
        <w:tc>
          <w:tcPr>
            <w:tcW w:w="6333" w:type="dxa"/>
            <w:noWrap/>
            <w:vAlign w:val="center"/>
          </w:tcPr>
          <w:p w14:paraId="24DA7400">
            <w:pPr>
              <w:wordWrap/>
              <w:topLinePunct w:val="0"/>
              <w:spacing w:line="400" w:lineRule="exact"/>
              <w:ind w:left="37" w:leftChars="18"/>
              <w:rPr>
                <w:color w:val="auto"/>
                <w:highlight w:val="none"/>
              </w:rPr>
            </w:pPr>
            <w:r>
              <w:rPr>
                <w:rFonts w:hint="eastAsia"/>
                <w:color w:val="auto"/>
                <w:highlight w:val="none"/>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或</w:t>
            </w:r>
            <w:r>
              <w:rPr>
                <w:rFonts w:hint="eastAsia"/>
                <w:color w:val="auto"/>
                <w:highlight w:val="none"/>
                <w:lang w:eastAsia="zh-CN"/>
              </w:rPr>
              <w:t>河南良智行工程管理咨询有限公司</w:t>
            </w:r>
            <w:r>
              <w:rPr>
                <w:rFonts w:hint="eastAsia"/>
                <w:color w:val="auto"/>
                <w:highlight w:val="none"/>
              </w:rPr>
              <w:t>负责解释。</w:t>
            </w:r>
          </w:p>
        </w:tc>
      </w:tr>
      <w:tr w14:paraId="43FB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1" w:hRule="atLeast"/>
          <w:jc w:val="center"/>
        </w:trPr>
        <w:tc>
          <w:tcPr>
            <w:tcW w:w="974" w:type="dxa"/>
            <w:noWrap/>
            <w:vAlign w:val="center"/>
          </w:tcPr>
          <w:p w14:paraId="2E98646E">
            <w:pPr>
              <w:wordWrap/>
              <w:topLinePunct w:val="0"/>
              <w:spacing w:line="360" w:lineRule="auto"/>
              <w:rPr>
                <w:color w:val="auto"/>
                <w:highlight w:val="none"/>
              </w:rPr>
            </w:pPr>
            <w:r>
              <w:rPr>
                <w:rFonts w:hint="eastAsia"/>
                <w:color w:val="auto"/>
                <w:highlight w:val="none"/>
              </w:rPr>
              <w:t>10.3.4</w:t>
            </w:r>
          </w:p>
        </w:tc>
        <w:tc>
          <w:tcPr>
            <w:tcW w:w="2757" w:type="dxa"/>
            <w:noWrap/>
            <w:vAlign w:val="center"/>
          </w:tcPr>
          <w:p w14:paraId="7274AD19">
            <w:pPr>
              <w:spacing w:line="400" w:lineRule="exact"/>
              <w:ind w:left="37" w:leftChars="18"/>
              <w:jc w:val="center"/>
              <w:rPr>
                <w:color w:val="auto"/>
                <w:highlight w:val="none"/>
              </w:rPr>
            </w:pPr>
            <w:r>
              <w:rPr>
                <w:rFonts w:hint="eastAsia"/>
                <w:color w:val="auto"/>
                <w:highlight w:val="none"/>
              </w:rPr>
              <w:t>电子招标投标须知</w:t>
            </w:r>
          </w:p>
        </w:tc>
        <w:tc>
          <w:tcPr>
            <w:tcW w:w="6333" w:type="dxa"/>
            <w:noWrap/>
            <w:vAlign w:val="center"/>
          </w:tcPr>
          <w:p w14:paraId="52ABF4A3">
            <w:pPr>
              <w:pStyle w:val="178"/>
              <w:keepNext w:val="0"/>
              <w:keepLines w:val="0"/>
              <w:pageBreakBefore w:val="0"/>
              <w:widowControl w:val="0"/>
              <w:kinsoku/>
              <w:wordWrap w:val="0"/>
              <w:overflowPunct/>
              <w:topLinePunct/>
              <w:autoSpaceDE/>
              <w:autoSpaceDN/>
              <w:bidi w:val="0"/>
              <w:adjustRightInd/>
              <w:snapToGrid/>
              <w:spacing w:line="360" w:lineRule="auto"/>
              <w:ind w:right="0"/>
              <w:textAlignment w:val="auto"/>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1. 本项目通过河南省公共资源交易中心系统实施电子招投标，供应商必须通过河南省公共资源 交易中心系统递交电子响应性文件，具体操作流程登陆河南省公共资源交易中心网站查看。</w:t>
            </w:r>
          </w:p>
          <w:p w14:paraId="55C4721E">
            <w:pPr>
              <w:pStyle w:val="178"/>
              <w:keepNext w:val="0"/>
              <w:keepLines w:val="0"/>
              <w:pageBreakBefore w:val="0"/>
              <w:widowControl w:val="0"/>
              <w:kinsoku/>
              <w:wordWrap w:val="0"/>
              <w:overflowPunct/>
              <w:topLinePunct/>
              <w:autoSpaceDE/>
              <w:autoSpaceDN/>
              <w:bidi w:val="0"/>
              <w:adjustRightInd/>
              <w:snapToGrid/>
              <w:spacing w:line="360" w:lineRule="auto"/>
              <w:ind w:right="0"/>
              <w:textAlignment w:val="auto"/>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2. 获取磋商文件后，供应商请到河南省公共资源交易中心网站—公共服务—下载专区栏目下载最新版本的电子响应性文件制作工具安装包，并使用安装后的最新版本响应性文件制作工具（磋商文件件如有澄清、修改等内容，需使用最新版磋商文件）制作电子响应性文件。</w:t>
            </w:r>
          </w:p>
          <w:p w14:paraId="0F2FADC0">
            <w:pPr>
              <w:pStyle w:val="178"/>
              <w:keepNext w:val="0"/>
              <w:keepLines w:val="0"/>
              <w:pageBreakBefore w:val="0"/>
              <w:widowControl w:val="0"/>
              <w:kinsoku/>
              <w:wordWrap w:val="0"/>
              <w:overflowPunct/>
              <w:topLinePunct/>
              <w:autoSpaceDE/>
              <w:autoSpaceDN/>
              <w:bidi w:val="0"/>
              <w:adjustRightInd/>
              <w:snapToGrid/>
              <w:spacing w:line="360" w:lineRule="auto"/>
              <w:ind w:right="0"/>
              <w:textAlignment w:val="auto"/>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3.加密的电子响应性文件为“河南省公共资源交易中心 ”网站提供的“响应性文件制作工具 ” 软件制作生成的加密版响应性文件。因河南省公共资源交易中心平台在开标前具有保密性，供应商在响应性文件递交截止时间前须自行查看项目进展、变更通知、澄清及回复，因供应商未及时查看而造成的后果自负。</w:t>
            </w:r>
          </w:p>
          <w:p w14:paraId="4DF53275">
            <w:pPr>
              <w:pStyle w:val="178"/>
              <w:keepNext w:val="0"/>
              <w:keepLines w:val="0"/>
              <w:pageBreakBefore w:val="0"/>
              <w:widowControl w:val="0"/>
              <w:kinsoku/>
              <w:wordWrap w:val="0"/>
              <w:overflowPunct/>
              <w:topLinePunct/>
              <w:autoSpaceDE/>
              <w:autoSpaceDN/>
              <w:bidi w:val="0"/>
              <w:adjustRightInd/>
              <w:snapToGrid/>
              <w:spacing w:line="360" w:lineRule="auto"/>
              <w:ind w:right="0"/>
              <w:textAlignment w:val="auto"/>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4.电子响应性文件制作的具体方法参考河南省公共资源交易平台办事指南-河南省公共资源交 易平台不见面服务系统使用指南中的（不见面服务操作手册--投标响应文件制作（供应商）.doc）。</w:t>
            </w:r>
          </w:p>
          <w:p w14:paraId="5E59DB8D">
            <w:pPr>
              <w:pStyle w:val="178"/>
              <w:keepNext w:val="0"/>
              <w:keepLines w:val="0"/>
              <w:pageBreakBefore w:val="0"/>
              <w:widowControl w:val="0"/>
              <w:kinsoku/>
              <w:wordWrap w:val="0"/>
              <w:overflowPunct/>
              <w:topLinePunct/>
              <w:autoSpaceDE/>
              <w:autoSpaceDN/>
              <w:bidi w:val="0"/>
              <w:adjustRightInd/>
              <w:snapToGrid/>
              <w:spacing w:line="360" w:lineRule="auto"/>
              <w:ind w:right="0"/>
              <w:textAlignment w:val="auto"/>
              <w:rPr>
                <w:color w:val="auto"/>
                <w:highlight w:val="none"/>
              </w:rPr>
            </w:pPr>
            <w:r>
              <w:rPr>
                <w:rFonts w:hint="eastAsia" w:ascii="宋体" w:hAnsi="宋体" w:eastAsia="宋体" w:cs="宋体"/>
                <w:color w:val="auto"/>
                <w:spacing w:val="8"/>
                <w:sz w:val="21"/>
                <w:szCs w:val="21"/>
                <w:highlight w:val="none"/>
                <w:lang w:val="en-US" w:eastAsia="zh-CN"/>
              </w:rPr>
              <w:t>5</w:t>
            </w:r>
            <w:r>
              <w:rPr>
                <w:rFonts w:ascii="宋体" w:hAnsi="宋体" w:eastAsia="宋体" w:cs="宋体"/>
                <w:color w:val="auto"/>
                <w:spacing w:val="8"/>
                <w:sz w:val="21"/>
                <w:szCs w:val="21"/>
                <w:highlight w:val="none"/>
              </w:rPr>
              <w:t>.供应商使用电子招投标系统时，如有相关技术问题请咨询</w:t>
            </w:r>
            <w:r>
              <w:rPr>
                <w:rFonts w:hint="eastAsia" w:ascii="宋体" w:hAnsi="宋体" w:eastAsia="宋体" w:cs="宋体"/>
                <w:color w:val="auto"/>
                <w:spacing w:val="8"/>
                <w:sz w:val="21"/>
                <w:szCs w:val="21"/>
                <w:highlight w:val="none"/>
                <w:lang w:eastAsia="zh-CN"/>
              </w:rPr>
              <w:t>。</w:t>
            </w:r>
          </w:p>
        </w:tc>
      </w:tr>
      <w:tr w14:paraId="3A70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ign w:val="center"/>
          </w:tcPr>
          <w:p w14:paraId="2D198B0C">
            <w:pPr>
              <w:wordWrap/>
              <w:topLinePunct w:val="0"/>
              <w:spacing w:line="360" w:lineRule="auto"/>
              <w:rPr>
                <w:color w:val="auto"/>
                <w:highlight w:val="none"/>
              </w:rPr>
            </w:pPr>
            <w:r>
              <w:rPr>
                <w:rFonts w:hint="eastAsia"/>
                <w:color w:val="auto"/>
                <w:highlight w:val="none"/>
              </w:rPr>
              <w:t>10.3.5</w:t>
            </w:r>
          </w:p>
        </w:tc>
        <w:tc>
          <w:tcPr>
            <w:tcW w:w="2757" w:type="dxa"/>
            <w:noWrap/>
            <w:vAlign w:val="center"/>
          </w:tcPr>
          <w:p w14:paraId="504D63C0">
            <w:pPr>
              <w:wordWrap/>
              <w:topLinePunct w:val="0"/>
              <w:spacing w:line="400" w:lineRule="exact"/>
              <w:ind w:left="37" w:leftChars="18"/>
              <w:jc w:val="center"/>
              <w:rPr>
                <w:color w:val="auto"/>
                <w:highlight w:val="none"/>
              </w:rPr>
            </w:pPr>
            <w:r>
              <w:rPr>
                <w:rFonts w:hint="eastAsia"/>
                <w:color w:val="auto"/>
                <w:highlight w:val="none"/>
              </w:rPr>
              <w:t>采购人声明</w:t>
            </w:r>
          </w:p>
        </w:tc>
        <w:tc>
          <w:tcPr>
            <w:tcW w:w="6333" w:type="dxa"/>
            <w:noWrap/>
            <w:vAlign w:val="center"/>
          </w:tcPr>
          <w:p w14:paraId="7D8B1AFE">
            <w:pPr>
              <w:numPr>
                <w:ilvl w:val="0"/>
                <w:numId w:val="4"/>
              </w:numPr>
              <w:wordWrap/>
              <w:topLinePunct w:val="0"/>
              <w:spacing w:line="400" w:lineRule="exact"/>
              <w:ind w:left="37" w:leftChars="18"/>
              <w:rPr>
                <w:color w:val="auto"/>
                <w:highlight w:val="none"/>
              </w:rPr>
            </w:pPr>
            <w:r>
              <w:rPr>
                <w:rFonts w:hint="eastAsia"/>
                <w:color w:val="auto"/>
                <w:highlight w:val="none"/>
              </w:rPr>
              <w:t>供应商因参与投标活动而涉及的人身伤害、财产损害、侵犯他人权益、仲裁或诉讼等，应当责任自负、费用自担，并应保证采购人和采购代理机构免于承担上述责任或者其他不良影响；</w:t>
            </w:r>
          </w:p>
          <w:p w14:paraId="493502AD">
            <w:pPr>
              <w:numPr>
                <w:ilvl w:val="0"/>
                <w:numId w:val="4"/>
              </w:numPr>
              <w:wordWrap/>
              <w:topLinePunct w:val="0"/>
              <w:spacing w:line="400" w:lineRule="exact"/>
              <w:ind w:left="37" w:leftChars="18"/>
              <w:rPr>
                <w:color w:val="auto"/>
                <w:highlight w:val="none"/>
              </w:rPr>
            </w:pPr>
            <w:r>
              <w:rPr>
                <w:rFonts w:hint="eastAsia"/>
                <w:color w:val="auto"/>
                <w:highlight w:val="none"/>
              </w:rPr>
              <w:t>采购人声明磋商文件中附带的参考资料是以诚信的态度提供的，是采购人现有的和客观的信息。采购人不对供应商由此做出的任何理解、推论、判断、结论和决策进行负责。</w:t>
            </w:r>
          </w:p>
        </w:tc>
      </w:tr>
      <w:tr w14:paraId="2345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ign w:val="center"/>
          </w:tcPr>
          <w:p w14:paraId="058549F1">
            <w:pPr>
              <w:wordWrap/>
              <w:topLinePunct w:val="0"/>
              <w:spacing w:line="360" w:lineRule="auto"/>
              <w:rPr>
                <w:color w:val="auto"/>
                <w:highlight w:val="none"/>
              </w:rPr>
            </w:pPr>
            <w:r>
              <w:rPr>
                <w:rFonts w:hint="eastAsia"/>
                <w:color w:val="auto"/>
                <w:highlight w:val="none"/>
              </w:rPr>
              <w:t>10.3.6</w:t>
            </w:r>
          </w:p>
        </w:tc>
        <w:tc>
          <w:tcPr>
            <w:tcW w:w="2757" w:type="dxa"/>
            <w:noWrap/>
            <w:vAlign w:val="center"/>
          </w:tcPr>
          <w:p w14:paraId="76835D39">
            <w:pPr>
              <w:wordWrap/>
              <w:topLinePunct w:val="0"/>
              <w:spacing w:line="400" w:lineRule="exact"/>
              <w:ind w:left="37" w:leftChars="18"/>
              <w:jc w:val="center"/>
              <w:rPr>
                <w:color w:val="auto"/>
                <w:highlight w:val="none"/>
              </w:rPr>
            </w:pPr>
            <w:r>
              <w:rPr>
                <w:rFonts w:hint="eastAsia"/>
                <w:color w:val="auto"/>
                <w:highlight w:val="none"/>
              </w:rPr>
              <w:t>付款方式</w:t>
            </w:r>
          </w:p>
        </w:tc>
        <w:tc>
          <w:tcPr>
            <w:tcW w:w="6333" w:type="dxa"/>
            <w:noWrap/>
            <w:vAlign w:val="center"/>
          </w:tcPr>
          <w:p w14:paraId="556C32EE">
            <w:pPr>
              <w:pStyle w:val="68"/>
              <w:rPr>
                <w:rFonts w:hint="default" w:eastAsia="宋体"/>
                <w:color w:val="auto"/>
                <w:highlight w:val="none"/>
                <w:lang w:val="en-US" w:eastAsia="zh-CN"/>
              </w:rPr>
            </w:pPr>
            <w:r>
              <w:rPr>
                <w:rFonts w:hint="eastAsia"/>
                <w:color w:val="auto"/>
                <w:highlight w:val="none"/>
                <w:lang w:val="en-US" w:eastAsia="zh-CN"/>
              </w:rPr>
              <w:t>以合同约定为准</w:t>
            </w:r>
          </w:p>
        </w:tc>
      </w:tr>
      <w:tr w14:paraId="6480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ign w:val="center"/>
          </w:tcPr>
          <w:p w14:paraId="4FA08C72">
            <w:pPr>
              <w:wordWrap/>
              <w:topLinePunct w:val="0"/>
              <w:spacing w:line="360" w:lineRule="auto"/>
              <w:rPr>
                <w:color w:val="auto"/>
                <w:highlight w:val="none"/>
              </w:rPr>
            </w:pPr>
            <w:bookmarkStart w:id="23" w:name="_Toc270604575"/>
            <w:bookmarkStart w:id="24" w:name="_Toc269470294"/>
            <w:bookmarkStart w:id="25" w:name="_Toc30034"/>
            <w:r>
              <w:rPr>
                <w:rFonts w:hint="eastAsia"/>
                <w:color w:val="auto"/>
                <w:highlight w:val="none"/>
              </w:rPr>
              <w:t>10.3.7</w:t>
            </w:r>
          </w:p>
        </w:tc>
        <w:tc>
          <w:tcPr>
            <w:tcW w:w="2757" w:type="dxa"/>
            <w:shd w:val="clear" w:color="auto" w:fill="auto"/>
            <w:noWrap/>
            <w:vAlign w:val="center"/>
          </w:tcPr>
          <w:p w14:paraId="702CB952">
            <w:pPr>
              <w:wordWrap/>
              <w:topLinePunct w:val="0"/>
              <w:spacing w:line="400" w:lineRule="exact"/>
              <w:ind w:left="37" w:leftChars="18"/>
              <w:jc w:val="center"/>
              <w:rPr>
                <w:rFonts w:ascii="宋体" w:hAnsi="宋体" w:eastAsia="宋体" w:cs="宋体"/>
                <w:color w:val="auto"/>
                <w:kern w:val="2"/>
                <w:sz w:val="21"/>
                <w:szCs w:val="21"/>
                <w:highlight w:val="none"/>
                <w:lang w:val="en-US" w:eastAsia="zh-CN" w:bidi="ar-SA"/>
              </w:rPr>
            </w:pPr>
            <w:r>
              <w:rPr>
                <w:color w:val="auto"/>
                <w:highlight w:val="none"/>
              </w:rPr>
              <w:t>采购标对应的企业划分标准所属行业</w:t>
            </w:r>
          </w:p>
        </w:tc>
        <w:tc>
          <w:tcPr>
            <w:tcW w:w="6333" w:type="dxa"/>
            <w:shd w:val="clear" w:color="auto" w:fill="auto"/>
            <w:noWrap/>
            <w:vAlign w:val="center"/>
          </w:tcPr>
          <w:p w14:paraId="4C8F44F1">
            <w:pPr>
              <w:pStyle w:val="18"/>
              <w:ind w:left="63" w:leftChars="30" w:right="63" w:rightChars="30"/>
              <w:jc w:val="left"/>
              <w:rPr>
                <w:rFonts w:ascii="宋体" w:hAnsi="宋体" w:eastAsia="宋体" w:cs="宋体"/>
                <w:color w:val="auto"/>
                <w:kern w:val="0"/>
                <w:sz w:val="21"/>
                <w:szCs w:val="21"/>
                <w:highlight w:val="none"/>
                <w:lang w:val="en-US" w:eastAsia="zh-CN" w:bidi="ar-SA"/>
              </w:rPr>
            </w:pPr>
            <w:r>
              <w:rPr>
                <w:rFonts w:hint="eastAsia"/>
                <w:b/>
                <w:bCs/>
                <w:color w:val="auto"/>
                <w:sz w:val="21"/>
                <w:szCs w:val="21"/>
                <w:highlight w:val="none"/>
              </w:rPr>
              <w:t>本次招标项目属于</w:t>
            </w:r>
            <w:r>
              <w:rPr>
                <w:b/>
                <w:bCs/>
                <w:color w:val="auto"/>
                <w:sz w:val="21"/>
                <w:szCs w:val="21"/>
                <w:highlight w:val="none"/>
              </w:rPr>
              <w:t xml:space="preserve"> 工业 行业的标准，</w:t>
            </w:r>
            <w:r>
              <w:rPr>
                <w:color w:val="auto"/>
                <w:sz w:val="21"/>
                <w:szCs w:val="21"/>
                <w:highlight w:val="none"/>
              </w:rPr>
              <w:t xml:space="preserve"> 供应商根据《政府采购促进中小企业发展管理办法》（财库﹝2020﹞46 号） 的规定执行， 符合《工业和信息化部、 国家统计局、 国家发展和改革委员会、 财政部关于印发中小企业划型标准规定的通知》 （工信部联企业[2011]300 号）规定的划分标准，按照竞争性磋商文件要求填写</w:t>
            </w:r>
            <w:r>
              <w:rPr>
                <w:rFonts w:hint="eastAsia"/>
                <w:color w:val="auto"/>
                <w:sz w:val="21"/>
                <w:szCs w:val="21"/>
                <w:highlight w:val="none"/>
              </w:rPr>
              <w:t>中</w:t>
            </w:r>
            <w:r>
              <w:rPr>
                <w:color w:val="auto"/>
                <w:sz w:val="21"/>
                <w:szCs w:val="21"/>
                <w:highlight w:val="none"/>
              </w:rPr>
              <w:t>小企业声明函。</w:t>
            </w:r>
          </w:p>
        </w:tc>
      </w:tr>
    </w:tbl>
    <w:p w14:paraId="31824DA8">
      <w:pPr>
        <w:pStyle w:val="147"/>
        <w:numPr>
          <w:ilvl w:val="0"/>
          <w:numId w:val="5"/>
        </w:numPr>
        <w:tabs>
          <w:tab w:val="left" w:pos="360"/>
        </w:tabs>
        <w:snapToGrid w:val="0"/>
        <w:spacing w:line="360" w:lineRule="auto"/>
        <w:contextualSpacing/>
        <w:jc w:val="both"/>
        <w:outlineLvl w:val="1"/>
        <w:rPr>
          <w:rFonts w:hAnsi="宋体" w:cs="Times New Roman"/>
          <w:b/>
          <w:color w:val="auto"/>
          <w:kern w:val="2"/>
          <w:highlight w:val="none"/>
        </w:rPr>
      </w:pPr>
      <w:r>
        <w:rPr>
          <w:rFonts w:hint="eastAsia" w:hAnsi="宋体" w:cs="Times New Roman"/>
          <w:b/>
          <w:color w:val="auto"/>
          <w:kern w:val="2"/>
          <w:highlight w:val="none"/>
        </w:rPr>
        <w:br w:type="page"/>
      </w:r>
      <w:bookmarkStart w:id="26" w:name="_Toc12193"/>
      <w:bookmarkStart w:id="27" w:name="_Toc29330"/>
      <w:bookmarkStart w:id="28" w:name="_Toc8177"/>
      <w:bookmarkStart w:id="29" w:name="_Toc65662009"/>
      <w:bookmarkStart w:id="30" w:name="_Toc30053"/>
      <w:bookmarkStart w:id="31" w:name="_Toc26966"/>
      <w:bookmarkStart w:id="32" w:name="_Toc76134449"/>
      <w:r>
        <w:rPr>
          <w:rStyle w:val="64"/>
          <w:rFonts w:hint="eastAsia"/>
          <w:color w:val="auto"/>
          <w:highlight w:val="none"/>
        </w:rPr>
        <w:t>总则</w:t>
      </w:r>
      <w:bookmarkEnd w:id="23"/>
      <w:bookmarkEnd w:id="24"/>
      <w:bookmarkEnd w:id="25"/>
      <w:bookmarkEnd w:id="26"/>
      <w:bookmarkEnd w:id="27"/>
      <w:bookmarkEnd w:id="28"/>
      <w:bookmarkEnd w:id="29"/>
      <w:bookmarkEnd w:id="30"/>
      <w:bookmarkEnd w:id="31"/>
      <w:bookmarkEnd w:id="32"/>
    </w:p>
    <w:p w14:paraId="7A340C3F">
      <w:pPr>
        <w:pStyle w:val="4"/>
        <w:numPr>
          <w:ilvl w:val="1"/>
          <w:numId w:val="6"/>
        </w:numPr>
        <w:jc w:val="left"/>
        <w:rPr>
          <w:rFonts w:ascii="Times New Roman" w:hAnsi="Times New Roman"/>
          <w:bCs w:val="0"/>
          <w:color w:val="auto"/>
          <w:szCs w:val="20"/>
          <w:highlight w:val="none"/>
        </w:rPr>
      </w:pPr>
      <w:bookmarkStart w:id="33" w:name="_Toc65662010"/>
      <w:bookmarkStart w:id="34" w:name="_Toc454788009"/>
      <w:bookmarkStart w:id="35" w:name="_Toc428351629"/>
      <w:bookmarkStart w:id="36" w:name="_Toc27089"/>
      <w:bookmarkStart w:id="37" w:name="_Toc25531"/>
      <w:bookmarkStart w:id="38" w:name="_Toc17814"/>
      <w:bookmarkStart w:id="39" w:name="_Toc277149365"/>
      <w:bookmarkStart w:id="40" w:name="_Toc76134450"/>
      <w:bookmarkStart w:id="41" w:name="_Toc463011253"/>
      <w:bookmarkStart w:id="42" w:name="_Toc22531"/>
      <w:bookmarkStart w:id="43" w:name="_Toc428276569"/>
      <w:bookmarkStart w:id="44" w:name="_Toc15692"/>
      <w:bookmarkStart w:id="45" w:name="_Toc462934274"/>
      <w:bookmarkStart w:id="46" w:name="_Toc22730"/>
      <w:bookmarkStart w:id="47" w:name="_Toc455678100"/>
      <w:bookmarkStart w:id="48" w:name="_Toc13394"/>
      <w:r>
        <w:rPr>
          <w:rFonts w:hint="eastAsia" w:ascii="Times New Roman" w:hAnsi="Times New Roman"/>
          <w:bCs w:val="0"/>
          <w:color w:val="auto"/>
          <w:szCs w:val="20"/>
          <w:highlight w:val="none"/>
        </w:rPr>
        <w:t>项目概况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CA82C72">
      <w:pPr>
        <w:numPr>
          <w:ilvl w:val="2"/>
          <w:numId w:val="6"/>
        </w:numPr>
        <w:wordWrap/>
        <w:topLinePunct w:val="0"/>
        <w:spacing w:line="360" w:lineRule="auto"/>
        <w:ind w:firstLine="420" w:firstLineChars="200"/>
        <w:rPr>
          <w:color w:val="auto"/>
          <w:highlight w:val="none"/>
        </w:rPr>
      </w:pPr>
      <w:r>
        <w:rPr>
          <w:rFonts w:hint="eastAsia"/>
          <w:color w:val="auto"/>
          <w:highlight w:val="none"/>
        </w:rPr>
        <w:t>根据《中华人民共和国政府采购法》《中华人民共和国政府采购法实施条例》等有关法律、法规和规章的规定，本采购项目已具备竞争性磋商条件，现对本项目进行竞争性磋商。</w:t>
      </w:r>
    </w:p>
    <w:p w14:paraId="7CCB4504">
      <w:pPr>
        <w:numPr>
          <w:ilvl w:val="2"/>
          <w:numId w:val="6"/>
        </w:numPr>
        <w:wordWrap/>
        <w:topLinePunct w:val="0"/>
        <w:spacing w:line="360" w:lineRule="auto"/>
        <w:ind w:firstLine="420" w:firstLineChars="200"/>
        <w:rPr>
          <w:color w:val="auto"/>
          <w:highlight w:val="none"/>
        </w:rPr>
      </w:pPr>
      <w:r>
        <w:rPr>
          <w:rFonts w:hint="eastAsia"/>
          <w:color w:val="auto"/>
          <w:highlight w:val="none"/>
        </w:rPr>
        <w:t>采购人：供应商须知前附表中所述的，依法进行政府采购的国家机关、事业单位、团体组织。</w:t>
      </w:r>
    </w:p>
    <w:p w14:paraId="09A466FC">
      <w:pPr>
        <w:numPr>
          <w:ilvl w:val="2"/>
          <w:numId w:val="6"/>
        </w:numPr>
        <w:wordWrap/>
        <w:topLinePunct w:val="0"/>
        <w:spacing w:line="360" w:lineRule="auto"/>
        <w:ind w:firstLine="420" w:firstLineChars="200"/>
        <w:rPr>
          <w:color w:val="auto"/>
          <w:highlight w:val="none"/>
        </w:rPr>
      </w:pPr>
      <w:r>
        <w:rPr>
          <w:rFonts w:hint="eastAsia"/>
          <w:color w:val="auto"/>
          <w:highlight w:val="none"/>
        </w:rPr>
        <w:t>采购代理机构：受采购人委托组织采购活动，在采购过程中负有相应责任的社会中介组织。</w:t>
      </w:r>
    </w:p>
    <w:p w14:paraId="144A6113">
      <w:pPr>
        <w:numPr>
          <w:ilvl w:val="2"/>
          <w:numId w:val="6"/>
        </w:numPr>
        <w:wordWrap/>
        <w:topLinePunct w:val="0"/>
        <w:spacing w:line="360" w:lineRule="auto"/>
        <w:ind w:firstLine="420" w:firstLineChars="200"/>
        <w:rPr>
          <w:color w:val="auto"/>
          <w:highlight w:val="none"/>
        </w:rPr>
      </w:pPr>
      <w:r>
        <w:rPr>
          <w:rFonts w:hint="eastAsia"/>
          <w:color w:val="auto"/>
          <w:highlight w:val="none"/>
        </w:rPr>
        <w:t>采购方式：见供应商须知前附表。</w:t>
      </w:r>
    </w:p>
    <w:p w14:paraId="32B2B8B4">
      <w:pPr>
        <w:numPr>
          <w:ilvl w:val="2"/>
          <w:numId w:val="6"/>
        </w:numPr>
        <w:wordWrap/>
        <w:topLinePunct w:val="0"/>
        <w:spacing w:line="360" w:lineRule="auto"/>
        <w:ind w:firstLine="420" w:firstLineChars="200"/>
        <w:rPr>
          <w:color w:val="auto"/>
          <w:highlight w:val="none"/>
        </w:rPr>
      </w:pPr>
      <w:r>
        <w:rPr>
          <w:rFonts w:hint="eastAsia"/>
          <w:color w:val="auto"/>
          <w:highlight w:val="none"/>
        </w:rPr>
        <w:t>项目名称及采购编号：见供应商须知前附表。</w:t>
      </w:r>
    </w:p>
    <w:p w14:paraId="57FAAA14">
      <w:pPr>
        <w:numPr>
          <w:ilvl w:val="2"/>
          <w:numId w:val="6"/>
        </w:numPr>
        <w:wordWrap/>
        <w:topLinePunct w:val="0"/>
        <w:spacing w:line="360" w:lineRule="auto"/>
        <w:ind w:firstLine="420" w:firstLineChars="200"/>
        <w:rPr>
          <w:color w:val="auto"/>
          <w:highlight w:val="none"/>
        </w:rPr>
      </w:pPr>
      <w:r>
        <w:rPr>
          <w:rFonts w:hint="eastAsia"/>
          <w:color w:val="auto"/>
          <w:highlight w:val="none"/>
        </w:rPr>
        <w:t>项目地点：见供应商须知前附表。</w:t>
      </w:r>
    </w:p>
    <w:p w14:paraId="0A98E187">
      <w:pPr>
        <w:pStyle w:val="4"/>
        <w:numPr>
          <w:ilvl w:val="1"/>
          <w:numId w:val="6"/>
        </w:numPr>
        <w:jc w:val="left"/>
        <w:rPr>
          <w:rFonts w:ascii="Times New Roman" w:hAnsi="Times New Roman"/>
          <w:bCs w:val="0"/>
          <w:color w:val="auto"/>
          <w:szCs w:val="20"/>
          <w:highlight w:val="none"/>
        </w:rPr>
      </w:pPr>
      <w:bookmarkStart w:id="49" w:name="_Toc27577"/>
      <w:bookmarkStart w:id="50" w:name="_Toc270604804"/>
      <w:bookmarkStart w:id="51" w:name="_Toc269470296"/>
      <w:bookmarkStart w:id="52" w:name="_Toc19738"/>
      <w:bookmarkStart w:id="53" w:name="_Toc76134451"/>
      <w:bookmarkStart w:id="54" w:name="_Toc26643"/>
      <w:bookmarkStart w:id="55" w:name="_Toc4861"/>
      <w:bookmarkStart w:id="56" w:name="_Toc463011254"/>
      <w:bookmarkStart w:id="57" w:name="_Toc270604577"/>
      <w:bookmarkStart w:id="58" w:name="_Toc428351630"/>
      <w:bookmarkStart w:id="59" w:name="_Toc277149366"/>
      <w:bookmarkStart w:id="60" w:name="_Toc13259"/>
      <w:bookmarkStart w:id="61" w:name="_Toc65662011"/>
      <w:bookmarkStart w:id="62" w:name="_Toc454788010"/>
      <w:bookmarkStart w:id="63" w:name="_Toc29176"/>
      <w:bookmarkStart w:id="64" w:name="_Toc455678101"/>
      <w:bookmarkStart w:id="65" w:name="_Toc428276570"/>
      <w:bookmarkStart w:id="66" w:name="_Toc462934275"/>
      <w:bookmarkStart w:id="67" w:name="_Toc20162"/>
      <w:r>
        <w:rPr>
          <w:rFonts w:hint="eastAsia" w:ascii="Times New Roman" w:hAnsi="Times New Roman"/>
          <w:bCs w:val="0"/>
          <w:color w:val="auto"/>
          <w:szCs w:val="20"/>
          <w:highlight w:val="none"/>
        </w:rPr>
        <w:t>资金来源和落实情况</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4E3B7C6">
      <w:pPr>
        <w:numPr>
          <w:ilvl w:val="2"/>
          <w:numId w:val="6"/>
        </w:numPr>
        <w:wordWrap/>
        <w:topLinePunct w:val="0"/>
        <w:spacing w:line="360" w:lineRule="auto"/>
        <w:ind w:firstLine="420" w:firstLineChars="200"/>
        <w:rPr>
          <w:color w:val="auto"/>
          <w:highlight w:val="none"/>
        </w:rPr>
      </w:pPr>
      <w:r>
        <w:rPr>
          <w:rFonts w:hint="eastAsia"/>
          <w:color w:val="auto"/>
          <w:highlight w:val="none"/>
        </w:rPr>
        <w:t>资金来源：见供应商须知前附表。</w:t>
      </w:r>
    </w:p>
    <w:p w14:paraId="5DB7AA43">
      <w:pPr>
        <w:numPr>
          <w:ilvl w:val="2"/>
          <w:numId w:val="6"/>
        </w:numPr>
        <w:wordWrap/>
        <w:topLinePunct w:val="0"/>
        <w:spacing w:line="360" w:lineRule="auto"/>
        <w:ind w:firstLine="420" w:firstLineChars="200"/>
        <w:rPr>
          <w:color w:val="auto"/>
          <w:highlight w:val="none"/>
        </w:rPr>
      </w:pPr>
      <w:r>
        <w:rPr>
          <w:rFonts w:hint="eastAsia"/>
          <w:color w:val="auto"/>
          <w:highlight w:val="none"/>
        </w:rPr>
        <w:t>采购预算金额：见供应商须知前附表。</w:t>
      </w:r>
    </w:p>
    <w:p w14:paraId="7C6DFB10">
      <w:pPr>
        <w:numPr>
          <w:ilvl w:val="2"/>
          <w:numId w:val="6"/>
        </w:numPr>
        <w:wordWrap/>
        <w:topLinePunct w:val="0"/>
        <w:spacing w:line="360" w:lineRule="auto"/>
        <w:ind w:firstLine="420" w:firstLineChars="200"/>
        <w:rPr>
          <w:color w:val="auto"/>
          <w:highlight w:val="none"/>
        </w:rPr>
      </w:pPr>
      <w:r>
        <w:rPr>
          <w:rFonts w:hint="eastAsia"/>
          <w:color w:val="auto"/>
          <w:highlight w:val="none"/>
        </w:rPr>
        <w:t>采购项目性质：见供应商须知前附表。</w:t>
      </w:r>
    </w:p>
    <w:p w14:paraId="7AE0236F">
      <w:pPr>
        <w:numPr>
          <w:ilvl w:val="2"/>
          <w:numId w:val="6"/>
        </w:numPr>
        <w:wordWrap/>
        <w:topLinePunct w:val="0"/>
        <w:spacing w:line="360" w:lineRule="auto"/>
        <w:ind w:firstLine="420" w:firstLineChars="200"/>
        <w:rPr>
          <w:color w:val="auto"/>
          <w:highlight w:val="none"/>
        </w:rPr>
      </w:pPr>
      <w:r>
        <w:rPr>
          <w:rFonts w:hint="eastAsia"/>
          <w:color w:val="auto"/>
          <w:highlight w:val="none"/>
        </w:rPr>
        <w:t>资金落实情况：见供应商须知前附表。</w:t>
      </w:r>
    </w:p>
    <w:p w14:paraId="2FA53BAA">
      <w:pPr>
        <w:pStyle w:val="4"/>
        <w:numPr>
          <w:ilvl w:val="1"/>
          <w:numId w:val="6"/>
        </w:numPr>
        <w:jc w:val="left"/>
        <w:rPr>
          <w:rFonts w:ascii="Times New Roman" w:hAnsi="Times New Roman"/>
          <w:bCs w:val="0"/>
          <w:color w:val="auto"/>
          <w:szCs w:val="20"/>
          <w:highlight w:val="none"/>
        </w:rPr>
      </w:pPr>
      <w:bookmarkStart w:id="68" w:name="_Toc76134452"/>
      <w:bookmarkStart w:id="69" w:name="_Toc20155"/>
      <w:bookmarkStart w:id="70" w:name="_Toc428351631"/>
      <w:bookmarkStart w:id="71" w:name="_Toc25629"/>
      <w:bookmarkStart w:id="72" w:name="_Toc463011255"/>
      <w:bookmarkStart w:id="73" w:name="_Toc269470297"/>
      <w:bookmarkStart w:id="74" w:name="_Toc74"/>
      <w:bookmarkStart w:id="75" w:name="_Toc18184"/>
      <w:bookmarkStart w:id="76" w:name="_Toc277149367"/>
      <w:bookmarkStart w:id="77" w:name="_Toc25468"/>
      <w:bookmarkStart w:id="78" w:name="_Toc462934276"/>
      <w:bookmarkStart w:id="79" w:name="_Toc454788011"/>
      <w:bookmarkStart w:id="80" w:name="_Toc428276571"/>
      <w:bookmarkStart w:id="81" w:name="_Toc270604578"/>
      <w:bookmarkStart w:id="82" w:name="_Toc455678102"/>
      <w:bookmarkStart w:id="83" w:name="_Toc65662012"/>
      <w:bookmarkStart w:id="84" w:name="_Toc9637"/>
      <w:bookmarkStart w:id="85" w:name="_Toc270604805"/>
      <w:bookmarkStart w:id="86" w:name="_Toc12026"/>
      <w:r>
        <w:rPr>
          <w:rFonts w:hint="eastAsia" w:ascii="Times New Roman" w:hAnsi="Times New Roman"/>
          <w:bCs w:val="0"/>
          <w:color w:val="auto"/>
          <w:szCs w:val="20"/>
          <w:highlight w:val="none"/>
        </w:rPr>
        <w:t>采购范围、交货及安装期和质量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Times New Roman" w:hAnsi="Times New Roman"/>
          <w:bCs w:val="0"/>
          <w:color w:val="auto"/>
          <w:szCs w:val="20"/>
          <w:highlight w:val="none"/>
        </w:rPr>
        <w:t>要求</w:t>
      </w:r>
      <w:bookmarkEnd w:id="86"/>
    </w:p>
    <w:p w14:paraId="294BD543">
      <w:pPr>
        <w:numPr>
          <w:ilvl w:val="2"/>
          <w:numId w:val="6"/>
        </w:numPr>
        <w:wordWrap/>
        <w:topLinePunct w:val="0"/>
        <w:spacing w:line="360" w:lineRule="auto"/>
        <w:ind w:firstLine="420" w:firstLineChars="200"/>
        <w:rPr>
          <w:color w:val="auto"/>
          <w:highlight w:val="none"/>
        </w:rPr>
      </w:pPr>
      <w:r>
        <w:rPr>
          <w:rFonts w:hint="eastAsia"/>
          <w:color w:val="auto"/>
          <w:highlight w:val="none"/>
        </w:rPr>
        <w:t>交货及安装期：见供应商须知前附表。</w:t>
      </w:r>
    </w:p>
    <w:p w14:paraId="6ADCB192">
      <w:pPr>
        <w:numPr>
          <w:ilvl w:val="2"/>
          <w:numId w:val="6"/>
        </w:numPr>
        <w:wordWrap/>
        <w:topLinePunct w:val="0"/>
        <w:spacing w:line="360" w:lineRule="auto"/>
        <w:ind w:firstLine="420" w:firstLineChars="200"/>
        <w:rPr>
          <w:color w:val="auto"/>
          <w:highlight w:val="none"/>
        </w:rPr>
      </w:pPr>
      <w:r>
        <w:rPr>
          <w:rFonts w:hint="eastAsia"/>
          <w:color w:val="auto"/>
          <w:highlight w:val="none"/>
        </w:rPr>
        <w:t>服务地点：见供应商须知前附表。</w:t>
      </w:r>
    </w:p>
    <w:p w14:paraId="75AAC158">
      <w:pPr>
        <w:numPr>
          <w:ilvl w:val="2"/>
          <w:numId w:val="6"/>
        </w:numPr>
        <w:wordWrap/>
        <w:topLinePunct w:val="0"/>
        <w:spacing w:line="360" w:lineRule="auto"/>
        <w:ind w:firstLine="420" w:firstLineChars="200"/>
        <w:rPr>
          <w:color w:val="auto"/>
          <w:highlight w:val="none"/>
        </w:rPr>
      </w:pPr>
      <w:r>
        <w:rPr>
          <w:rFonts w:hint="eastAsia"/>
          <w:color w:val="auto"/>
          <w:highlight w:val="none"/>
        </w:rPr>
        <w:t>质量要求：见供应商须知前附表。</w:t>
      </w:r>
    </w:p>
    <w:p w14:paraId="46D3DB64">
      <w:pPr>
        <w:pStyle w:val="4"/>
        <w:numPr>
          <w:ilvl w:val="1"/>
          <w:numId w:val="6"/>
        </w:numPr>
        <w:jc w:val="left"/>
        <w:rPr>
          <w:rFonts w:ascii="Times New Roman" w:hAnsi="Times New Roman"/>
          <w:bCs w:val="0"/>
          <w:color w:val="auto"/>
          <w:szCs w:val="20"/>
          <w:highlight w:val="none"/>
        </w:rPr>
      </w:pPr>
      <w:bookmarkStart w:id="87" w:name="_Toc1987"/>
      <w:bookmarkStart w:id="88" w:name="_Toc463011256"/>
      <w:bookmarkStart w:id="89" w:name="_Toc454788012"/>
      <w:bookmarkStart w:id="90" w:name="_Toc455678103"/>
      <w:bookmarkStart w:id="91" w:name="_Toc462934277"/>
      <w:bookmarkStart w:id="92" w:name="_Toc11567"/>
      <w:bookmarkStart w:id="93" w:name="_Toc428351632"/>
      <w:bookmarkStart w:id="94" w:name="_Toc11519"/>
      <w:bookmarkStart w:id="95" w:name="_Toc65662013"/>
      <w:bookmarkStart w:id="96" w:name="_Toc6648"/>
      <w:bookmarkStart w:id="97" w:name="_Toc7938"/>
      <w:bookmarkStart w:id="98" w:name="_Toc428276572"/>
      <w:bookmarkStart w:id="99" w:name="_Toc277149368"/>
      <w:bookmarkStart w:id="100" w:name="_Toc16958"/>
      <w:bookmarkStart w:id="101" w:name="_Toc76134453"/>
      <w:bookmarkStart w:id="102" w:name="_Toc270604579"/>
      <w:bookmarkStart w:id="103" w:name="_Toc270604806"/>
      <w:bookmarkStart w:id="104" w:name="_Toc269470298"/>
      <w:bookmarkStart w:id="105" w:name="_Toc452"/>
      <w:r>
        <w:rPr>
          <w:rFonts w:hint="eastAsia" w:ascii="Times New Roman" w:hAnsi="Times New Roman"/>
          <w:bCs w:val="0"/>
          <w:color w:val="auto"/>
          <w:szCs w:val="20"/>
          <w:highlight w:val="none"/>
        </w:rPr>
        <w:t>供应商资格要求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130AF2C">
      <w:pPr>
        <w:numPr>
          <w:ilvl w:val="2"/>
          <w:numId w:val="6"/>
        </w:numPr>
        <w:wordWrap/>
        <w:topLinePunct w:val="0"/>
        <w:spacing w:line="360" w:lineRule="auto"/>
        <w:ind w:firstLine="420" w:firstLineChars="200"/>
        <w:rPr>
          <w:color w:val="auto"/>
          <w:highlight w:val="none"/>
        </w:rPr>
      </w:pPr>
      <w:r>
        <w:rPr>
          <w:rFonts w:hint="eastAsia"/>
          <w:color w:val="auto"/>
          <w:highlight w:val="none"/>
        </w:rPr>
        <w:t>供应商应具备的资格条件：见供应商须知前附表。</w:t>
      </w:r>
    </w:p>
    <w:p w14:paraId="62BFA3E7">
      <w:pPr>
        <w:numPr>
          <w:ilvl w:val="2"/>
          <w:numId w:val="6"/>
        </w:numPr>
        <w:wordWrap/>
        <w:topLinePunct w:val="0"/>
        <w:spacing w:line="360" w:lineRule="auto"/>
        <w:ind w:firstLine="420" w:firstLineChars="200"/>
        <w:rPr>
          <w:color w:val="auto"/>
          <w:highlight w:val="none"/>
        </w:rPr>
      </w:pPr>
      <w:r>
        <w:rPr>
          <w:rFonts w:hint="eastAsia"/>
          <w:color w:val="auto"/>
          <w:highlight w:val="none"/>
        </w:rPr>
        <w:t>供应商须知前附表规定接受联合体参与竞争性磋商的，联合体除应符合本章第1.4.1项和供应商须知前附表的要求外，还应遵守以下规定：</w:t>
      </w:r>
    </w:p>
    <w:p w14:paraId="03D901ED">
      <w:pPr>
        <w:numPr>
          <w:ilvl w:val="0"/>
          <w:numId w:val="7"/>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联合体各方均应符合《中华人民共和国政府采购法》第二十二条规定的条件。</w:t>
      </w:r>
    </w:p>
    <w:p w14:paraId="0C1F741B">
      <w:pPr>
        <w:numPr>
          <w:ilvl w:val="0"/>
          <w:numId w:val="7"/>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采购人根据采购项目对供应商的特殊要求，联合体中至少应当有一方符合相关规定。</w:t>
      </w:r>
    </w:p>
    <w:p w14:paraId="44DFD356">
      <w:pPr>
        <w:numPr>
          <w:ilvl w:val="0"/>
          <w:numId w:val="7"/>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联合体各方应签订联合体协议书，明确约定联合体各方承担的工作和相应的责任，并将联合体协议书作为响应文件的一部分内容提交。</w:t>
      </w:r>
    </w:p>
    <w:p w14:paraId="6F7CF3CF">
      <w:pPr>
        <w:numPr>
          <w:ilvl w:val="0"/>
          <w:numId w:val="7"/>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大中型企业、其他自然人、法人或者非法人组织与小型、微型企业组成联合体共同参加竞争性磋商的，联合体协议书中应明确小型、微型企业在联合体磋商中所占合同总金额的比例。</w:t>
      </w:r>
    </w:p>
    <w:p w14:paraId="400E791E">
      <w:pPr>
        <w:numPr>
          <w:ilvl w:val="0"/>
          <w:numId w:val="7"/>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联合体中有同类资质的供应商按照联合体分工承担相同工作的，按照较低的资质等级确定联合体的资质等级。</w:t>
      </w:r>
    </w:p>
    <w:p w14:paraId="50413FF4">
      <w:pPr>
        <w:numPr>
          <w:ilvl w:val="0"/>
          <w:numId w:val="7"/>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 xml:space="preserve"> 以联合体形式参加政府采购活动的，联合体各方不得再单独参加或者与其他供应商另外组成联合体参加本项目磋商，否则相关投标将被认定为无效。</w:t>
      </w:r>
    </w:p>
    <w:p w14:paraId="42DE41D6">
      <w:pPr>
        <w:numPr>
          <w:ilvl w:val="2"/>
          <w:numId w:val="6"/>
        </w:numPr>
        <w:wordWrap/>
        <w:topLinePunct w:val="0"/>
        <w:spacing w:line="360" w:lineRule="auto"/>
        <w:ind w:firstLine="420" w:firstLineChars="200"/>
        <w:rPr>
          <w:color w:val="auto"/>
          <w:highlight w:val="none"/>
        </w:rPr>
      </w:pPr>
      <w:r>
        <w:rPr>
          <w:rFonts w:hint="eastAsia"/>
          <w:color w:val="auto"/>
          <w:highlight w:val="none"/>
        </w:rPr>
        <w:t>供应商不得存在下列情形之一：</w:t>
      </w:r>
    </w:p>
    <w:p w14:paraId="51C81632">
      <w:pPr>
        <w:pStyle w:val="68"/>
        <w:spacing w:line="360" w:lineRule="auto"/>
        <w:ind w:firstLine="420" w:firstLineChars="200"/>
        <w:rPr>
          <w:color w:val="auto"/>
          <w:highlight w:val="none"/>
        </w:rPr>
      </w:pPr>
      <w:r>
        <w:rPr>
          <w:rFonts w:hint="eastAsia"/>
          <w:color w:val="auto"/>
          <w:highlight w:val="none"/>
        </w:rPr>
        <w:t>（1）与采购人存在利害关系且可能影响磋商公正性；</w:t>
      </w:r>
    </w:p>
    <w:p w14:paraId="0A0C75AD">
      <w:pPr>
        <w:pStyle w:val="68"/>
        <w:spacing w:line="360" w:lineRule="auto"/>
        <w:ind w:firstLine="420" w:firstLineChars="200"/>
        <w:rPr>
          <w:color w:val="auto"/>
          <w:highlight w:val="none"/>
        </w:rPr>
      </w:pPr>
      <w:r>
        <w:rPr>
          <w:rFonts w:hint="eastAsia"/>
          <w:color w:val="auto"/>
          <w:highlight w:val="none"/>
        </w:rPr>
        <w:t>（2）与本磋商项目的其他供应商为同一个单位负责人；</w:t>
      </w:r>
    </w:p>
    <w:p w14:paraId="7DBFAEE6">
      <w:pPr>
        <w:pStyle w:val="68"/>
        <w:spacing w:line="360" w:lineRule="auto"/>
        <w:ind w:firstLine="420" w:firstLineChars="200"/>
        <w:rPr>
          <w:color w:val="auto"/>
          <w:highlight w:val="none"/>
        </w:rPr>
      </w:pPr>
      <w:r>
        <w:rPr>
          <w:rFonts w:hint="eastAsia"/>
          <w:color w:val="auto"/>
          <w:highlight w:val="none"/>
        </w:rPr>
        <w:t>（3）与本磋商项目的其他供应商存在控股、管理关系；</w:t>
      </w:r>
    </w:p>
    <w:p w14:paraId="5190DDBC">
      <w:pPr>
        <w:pStyle w:val="68"/>
        <w:spacing w:line="360" w:lineRule="auto"/>
        <w:ind w:firstLine="420" w:firstLineChars="200"/>
        <w:rPr>
          <w:color w:val="auto"/>
          <w:highlight w:val="none"/>
        </w:rPr>
      </w:pPr>
      <w:r>
        <w:rPr>
          <w:rFonts w:hint="eastAsia"/>
          <w:color w:val="auto"/>
          <w:highlight w:val="none"/>
        </w:rPr>
        <w:t>（4）为本磋商项目提供过整体设计、规范编制或者项目管理、监理、检测等服务；</w:t>
      </w:r>
    </w:p>
    <w:p w14:paraId="1D445216">
      <w:pPr>
        <w:pStyle w:val="68"/>
        <w:spacing w:line="360" w:lineRule="auto"/>
        <w:ind w:firstLine="420" w:firstLineChars="200"/>
        <w:rPr>
          <w:color w:val="auto"/>
          <w:highlight w:val="none"/>
        </w:rPr>
      </w:pPr>
      <w:r>
        <w:rPr>
          <w:rFonts w:hint="eastAsia"/>
          <w:color w:val="auto"/>
          <w:highlight w:val="none"/>
        </w:rPr>
        <w:t>（5）为本磋商项目的采购代理机构；</w:t>
      </w:r>
    </w:p>
    <w:p w14:paraId="6BBD54FC">
      <w:pPr>
        <w:pStyle w:val="68"/>
        <w:spacing w:line="360" w:lineRule="auto"/>
        <w:ind w:firstLine="420" w:firstLineChars="200"/>
        <w:rPr>
          <w:color w:val="auto"/>
          <w:highlight w:val="none"/>
        </w:rPr>
      </w:pPr>
      <w:r>
        <w:rPr>
          <w:rFonts w:hint="eastAsia"/>
          <w:color w:val="auto"/>
          <w:highlight w:val="none"/>
        </w:rPr>
        <w:t>（6）供应商以他人名义投标、串通投标、以行贿手段牟取中标，或在投标中弄虚作假的；</w:t>
      </w:r>
    </w:p>
    <w:p w14:paraId="18630CF4">
      <w:pPr>
        <w:pStyle w:val="68"/>
        <w:spacing w:line="360" w:lineRule="auto"/>
        <w:ind w:firstLine="420" w:firstLineChars="200"/>
        <w:rPr>
          <w:color w:val="auto"/>
          <w:highlight w:val="none"/>
        </w:rPr>
      </w:pPr>
      <w:r>
        <w:rPr>
          <w:rFonts w:hint="eastAsia"/>
          <w:color w:val="auto"/>
          <w:highlight w:val="none"/>
        </w:rPr>
        <w:t>（7）不同供应商的电子投标（响应）文件上传计算机的网卡MAC地址、CPU序列号和硬盘序列号等硬件信息相同的；</w:t>
      </w:r>
    </w:p>
    <w:p w14:paraId="162A6B3E">
      <w:pPr>
        <w:pStyle w:val="68"/>
        <w:spacing w:line="360" w:lineRule="auto"/>
        <w:ind w:firstLine="420" w:firstLineChars="200"/>
        <w:rPr>
          <w:color w:val="auto"/>
          <w:highlight w:val="none"/>
        </w:rPr>
      </w:pPr>
      <w:r>
        <w:rPr>
          <w:rFonts w:hint="eastAsia"/>
          <w:color w:val="auto"/>
          <w:highlight w:val="none"/>
        </w:rPr>
        <w:t>（8）不同供应商的投标（响应）文件由同一电子设备編制、打印加密或者上传；</w:t>
      </w:r>
    </w:p>
    <w:p w14:paraId="3FE0CE6E">
      <w:pPr>
        <w:pStyle w:val="68"/>
        <w:spacing w:line="360" w:lineRule="auto"/>
        <w:ind w:firstLine="420" w:firstLineChars="200"/>
        <w:rPr>
          <w:color w:val="auto"/>
          <w:highlight w:val="none"/>
        </w:rPr>
      </w:pPr>
      <w:r>
        <w:rPr>
          <w:rFonts w:hint="eastAsia"/>
          <w:color w:val="auto"/>
          <w:highlight w:val="none"/>
        </w:rPr>
        <w:t>（9）不同供应商的投标（响应）文件由同一人送达或者分发，或者不同供应商联系人为同一人或不同联系人的联系电话一致的；</w:t>
      </w:r>
    </w:p>
    <w:p w14:paraId="57C70245">
      <w:pPr>
        <w:pStyle w:val="68"/>
        <w:spacing w:line="360" w:lineRule="auto"/>
        <w:ind w:firstLine="420" w:firstLineChars="200"/>
        <w:rPr>
          <w:color w:val="auto"/>
          <w:highlight w:val="none"/>
        </w:rPr>
      </w:pPr>
      <w:r>
        <w:rPr>
          <w:rFonts w:hint="eastAsia"/>
          <w:color w:val="auto"/>
          <w:highlight w:val="none"/>
        </w:rPr>
        <w:t>（10）不同供应商的投标（响应）文件的内容存在两处以上细节错误一致；</w:t>
      </w:r>
    </w:p>
    <w:p w14:paraId="38FCA9B6">
      <w:pPr>
        <w:pStyle w:val="68"/>
        <w:spacing w:line="360" w:lineRule="auto"/>
        <w:ind w:firstLine="420" w:firstLineChars="200"/>
        <w:rPr>
          <w:color w:val="auto"/>
          <w:highlight w:val="none"/>
        </w:rPr>
      </w:pPr>
      <w:r>
        <w:rPr>
          <w:rFonts w:hint="eastAsia"/>
          <w:color w:val="auto"/>
          <w:highlight w:val="none"/>
        </w:rPr>
        <w:t>（11）不同供应商的法定代表人、委托代理人、项目经理、项目负责人等由同一个单位缴纳社会保险或者领取报酬的；</w:t>
      </w:r>
    </w:p>
    <w:p w14:paraId="6D8BCFCE">
      <w:pPr>
        <w:pStyle w:val="68"/>
        <w:spacing w:line="360" w:lineRule="auto"/>
        <w:ind w:firstLine="420" w:firstLineChars="200"/>
        <w:rPr>
          <w:color w:val="auto"/>
          <w:highlight w:val="none"/>
        </w:rPr>
      </w:pPr>
      <w:r>
        <w:rPr>
          <w:rFonts w:hint="eastAsia"/>
          <w:color w:val="auto"/>
          <w:highlight w:val="none"/>
        </w:rPr>
        <w:t>（12）不同供应商投标（响应）文件中法定代表人或者负责人签字出自同一人之手；</w:t>
      </w:r>
    </w:p>
    <w:p w14:paraId="3F5F69A2">
      <w:pPr>
        <w:pStyle w:val="68"/>
        <w:spacing w:line="360" w:lineRule="auto"/>
        <w:ind w:firstLine="420" w:firstLineChars="200"/>
        <w:rPr>
          <w:color w:val="auto"/>
          <w:highlight w:val="none"/>
        </w:rPr>
      </w:pPr>
      <w:r>
        <w:rPr>
          <w:rFonts w:hint="eastAsia"/>
          <w:color w:val="auto"/>
          <w:highlight w:val="none"/>
        </w:rPr>
        <w:t>（13）其它涉嫌串通的情形；</w:t>
      </w:r>
    </w:p>
    <w:p w14:paraId="0D7699D9">
      <w:pPr>
        <w:pStyle w:val="68"/>
        <w:spacing w:line="360" w:lineRule="auto"/>
        <w:ind w:firstLine="420" w:firstLineChars="200"/>
        <w:rPr>
          <w:color w:val="auto"/>
          <w:highlight w:val="none"/>
        </w:rPr>
      </w:pPr>
      <w:r>
        <w:rPr>
          <w:rFonts w:hint="eastAsia"/>
          <w:color w:val="auto"/>
          <w:highlight w:val="none"/>
        </w:rPr>
        <w:t>（14）法律法规规定的其他情形。</w:t>
      </w:r>
    </w:p>
    <w:p w14:paraId="00D6357F">
      <w:pPr>
        <w:pStyle w:val="4"/>
        <w:numPr>
          <w:ilvl w:val="1"/>
          <w:numId w:val="6"/>
        </w:numPr>
        <w:jc w:val="left"/>
        <w:rPr>
          <w:rFonts w:ascii="Times New Roman" w:hAnsi="Times New Roman"/>
          <w:bCs w:val="0"/>
          <w:color w:val="auto"/>
          <w:szCs w:val="20"/>
          <w:highlight w:val="none"/>
        </w:rPr>
      </w:pPr>
      <w:bookmarkStart w:id="106" w:name="_Toc269470299"/>
      <w:bookmarkStart w:id="107" w:name="_Toc277149369"/>
      <w:bookmarkStart w:id="108" w:name="_Toc11098"/>
      <w:bookmarkStart w:id="109" w:name="_Toc13582"/>
      <w:bookmarkStart w:id="110" w:name="_Toc2581"/>
      <w:bookmarkStart w:id="111" w:name="_Toc270604580"/>
      <w:bookmarkStart w:id="112" w:name="_Toc428276573"/>
      <w:bookmarkStart w:id="113" w:name="_Toc14128"/>
      <w:bookmarkStart w:id="114" w:name="_Toc463011257"/>
      <w:bookmarkStart w:id="115" w:name="_Toc454788013"/>
      <w:bookmarkStart w:id="116" w:name="_Toc28593"/>
      <w:bookmarkStart w:id="117" w:name="_Toc19948"/>
      <w:bookmarkStart w:id="118" w:name="_Toc462934278"/>
      <w:bookmarkStart w:id="119" w:name="_Toc76134454"/>
      <w:bookmarkStart w:id="120" w:name="_Toc270604807"/>
      <w:bookmarkStart w:id="121" w:name="_Toc455678104"/>
      <w:bookmarkStart w:id="122" w:name="_Toc65662014"/>
      <w:bookmarkStart w:id="123" w:name="_Toc1590"/>
      <w:bookmarkStart w:id="124" w:name="_Toc428351633"/>
      <w:r>
        <w:rPr>
          <w:rFonts w:hint="eastAsia" w:ascii="Times New Roman" w:hAnsi="Times New Roman"/>
          <w:bCs w:val="0"/>
          <w:color w:val="auto"/>
          <w:szCs w:val="20"/>
          <w:highlight w:val="none"/>
        </w:rPr>
        <w:t>费用承担</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491FA96">
      <w:pPr>
        <w:wordWrap/>
        <w:topLinePunct w:val="0"/>
        <w:spacing w:line="360" w:lineRule="auto"/>
        <w:ind w:left="420" w:leftChars="200"/>
        <w:rPr>
          <w:color w:val="auto"/>
          <w:highlight w:val="none"/>
        </w:rPr>
      </w:pPr>
      <w:bookmarkStart w:id="125" w:name="_Toc462934279"/>
      <w:bookmarkStart w:id="126" w:name="_Toc269470300"/>
      <w:bookmarkStart w:id="127" w:name="_Toc277149370"/>
      <w:bookmarkStart w:id="128" w:name="_Toc463011258"/>
      <w:bookmarkStart w:id="129" w:name="_Toc428276574"/>
      <w:bookmarkStart w:id="130" w:name="_Toc454788014"/>
      <w:bookmarkStart w:id="131" w:name="_Toc270604581"/>
      <w:bookmarkStart w:id="132" w:name="_Toc428351634"/>
      <w:bookmarkStart w:id="133" w:name="_Toc270604808"/>
      <w:bookmarkStart w:id="134" w:name="_Toc7854"/>
      <w:bookmarkStart w:id="135" w:name="_Toc29742"/>
      <w:bookmarkStart w:id="136" w:name="_Toc455678105"/>
      <w:r>
        <w:rPr>
          <w:rFonts w:hint="eastAsia"/>
          <w:color w:val="auto"/>
          <w:highlight w:val="none"/>
        </w:rPr>
        <w:t>供应商准备和参加竞争性磋商活动发生的费用自理。</w:t>
      </w:r>
    </w:p>
    <w:p w14:paraId="7FF51F85">
      <w:pPr>
        <w:pStyle w:val="4"/>
        <w:numPr>
          <w:ilvl w:val="1"/>
          <w:numId w:val="6"/>
        </w:numPr>
        <w:jc w:val="left"/>
        <w:rPr>
          <w:rFonts w:ascii="Times New Roman" w:hAnsi="Times New Roman"/>
          <w:bCs w:val="0"/>
          <w:color w:val="auto"/>
          <w:szCs w:val="20"/>
          <w:highlight w:val="none"/>
        </w:rPr>
      </w:pPr>
      <w:bookmarkStart w:id="137" w:name="_Toc23073"/>
      <w:bookmarkStart w:id="138" w:name="_Toc23088"/>
      <w:bookmarkStart w:id="139" w:name="_Toc32336"/>
      <w:bookmarkStart w:id="140" w:name="_Toc7688"/>
      <w:bookmarkStart w:id="141" w:name="_Toc18106"/>
      <w:bookmarkStart w:id="142" w:name="_Toc76134455"/>
      <w:bookmarkStart w:id="143" w:name="_Toc65662015"/>
      <w:r>
        <w:rPr>
          <w:rFonts w:hint="eastAsia" w:ascii="Times New Roman" w:hAnsi="Times New Roman"/>
          <w:bCs w:val="0"/>
          <w:color w:val="auto"/>
          <w:szCs w:val="20"/>
          <w:highlight w:val="none"/>
        </w:rPr>
        <w:t>保密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AF75E4D">
      <w:pPr>
        <w:wordWrap/>
        <w:topLinePunct w:val="0"/>
        <w:spacing w:line="360" w:lineRule="auto"/>
        <w:ind w:firstLine="420" w:firstLineChars="200"/>
        <w:rPr>
          <w:color w:val="auto"/>
          <w:highlight w:val="none"/>
        </w:rPr>
      </w:pPr>
      <w:bookmarkStart w:id="144" w:name="_Toc462934280"/>
      <w:bookmarkStart w:id="145" w:name="_Toc270604809"/>
      <w:bookmarkStart w:id="146" w:name="_Toc7606"/>
      <w:bookmarkStart w:id="147" w:name="_Toc19438"/>
      <w:bookmarkStart w:id="148" w:name="_Toc428351635"/>
      <w:bookmarkStart w:id="149" w:name="_Toc269470301"/>
      <w:bookmarkStart w:id="150" w:name="_Toc428276575"/>
      <w:bookmarkStart w:id="151" w:name="_Toc455678106"/>
      <w:bookmarkStart w:id="152" w:name="_Toc454788015"/>
      <w:bookmarkStart w:id="153" w:name="_Toc270604582"/>
      <w:bookmarkStart w:id="154" w:name="_Toc463011259"/>
      <w:bookmarkStart w:id="155" w:name="_Toc277149371"/>
      <w:r>
        <w:rPr>
          <w:rFonts w:hint="eastAsia"/>
          <w:color w:val="auto"/>
          <w:highlight w:val="none"/>
        </w:rPr>
        <w:t>参与竞争性磋商活动的各方应对竞争性磋商文件和响应文件中的商业和技术等秘密保密，否则应承担相应的法律责任。</w:t>
      </w:r>
    </w:p>
    <w:p w14:paraId="4D4253F3">
      <w:pPr>
        <w:pStyle w:val="4"/>
        <w:numPr>
          <w:ilvl w:val="1"/>
          <w:numId w:val="6"/>
        </w:numPr>
        <w:jc w:val="left"/>
        <w:rPr>
          <w:rFonts w:ascii="Times New Roman" w:hAnsi="Times New Roman"/>
          <w:bCs w:val="0"/>
          <w:color w:val="auto"/>
          <w:szCs w:val="20"/>
          <w:highlight w:val="none"/>
        </w:rPr>
      </w:pPr>
      <w:bookmarkStart w:id="156" w:name="_Toc3641"/>
      <w:bookmarkStart w:id="157" w:name="_Toc19790"/>
      <w:bookmarkStart w:id="158" w:name="_Toc65662016"/>
      <w:bookmarkStart w:id="159" w:name="_Toc76134456"/>
      <w:bookmarkStart w:id="160" w:name="_Toc6184"/>
      <w:bookmarkStart w:id="161" w:name="_Toc25734"/>
      <w:bookmarkStart w:id="162" w:name="_Toc22160"/>
      <w:r>
        <w:rPr>
          <w:rFonts w:hint="eastAsia" w:ascii="Times New Roman" w:hAnsi="Times New Roman"/>
          <w:bCs w:val="0"/>
          <w:color w:val="auto"/>
          <w:szCs w:val="20"/>
          <w:highlight w:val="none"/>
        </w:rPr>
        <w:t>语言文字</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70262C2">
      <w:pPr>
        <w:wordWrap/>
        <w:topLinePunct w:val="0"/>
        <w:spacing w:line="360" w:lineRule="auto"/>
        <w:ind w:firstLine="420" w:firstLineChars="200"/>
        <w:rPr>
          <w:color w:val="auto"/>
          <w:highlight w:val="none"/>
        </w:rPr>
      </w:pPr>
      <w:bookmarkStart w:id="163" w:name="_Toc428276576"/>
      <w:bookmarkStart w:id="164" w:name="_Toc428351636"/>
      <w:bookmarkStart w:id="165" w:name="_Toc29299"/>
      <w:bookmarkStart w:id="166" w:name="_Toc277149372"/>
      <w:bookmarkStart w:id="167" w:name="_Toc9894"/>
      <w:bookmarkStart w:id="168" w:name="_Toc455678107"/>
      <w:bookmarkStart w:id="169" w:name="_Toc269470302"/>
      <w:bookmarkStart w:id="170" w:name="_Toc270604583"/>
      <w:bookmarkStart w:id="171" w:name="_Toc463011260"/>
      <w:bookmarkStart w:id="172" w:name="_Toc270604810"/>
      <w:bookmarkStart w:id="173" w:name="_Toc462934281"/>
      <w:bookmarkStart w:id="174" w:name="_Toc454788016"/>
      <w:r>
        <w:rPr>
          <w:rFonts w:hint="eastAsia"/>
          <w:color w:val="auto"/>
          <w:kern w:val="0"/>
          <w:highlight w:val="none"/>
        </w:rPr>
        <w:t>竞争性磋商文件及响应文件</w:t>
      </w:r>
      <w:r>
        <w:rPr>
          <w:rFonts w:hint="eastAsia"/>
          <w:color w:val="auto"/>
          <w:spacing w:val="-2"/>
          <w:kern w:val="0"/>
          <w:highlight w:val="none"/>
        </w:rPr>
        <w:t>使</w:t>
      </w:r>
      <w:r>
        <w:rPr>
          <w:rFonts w:hint="eastAsia"/>
          <w:color w:val="auto"/>
          <w:kern w:val="0"/>
          <w:highlight w:val="none"/>
        </w:rPr>
        <w:t>用语</w:t>
      </w:r>
      <w:r>
        <w:rPr>
          <w:rFonts w:hint="eastAsia"/>
          <w:color w:val="auto"/>
          <w:spacing w:val="-2"/>
          <w:kern w:val="0"/>
          <w:highlight w:val="none"/>
        </w:rPr>
        <w:t>言</w:t>
      </w:r>
      <w:r>
        <w:rPr>
          <w:rFonts w:hint="eastAsia"/>
          <w:color w:val="auto"/>
          <w:kern w:val="0"/>
          <w:highlight w:val="none"/>
        </w:rPr>
        <w:t>文字应</w:t>
      </w:r>
      <w:r>
        <w:rPr>
          <w:rFonts w:hint="eastAsia"/>
          <w:color w:val="auto"/>
          <w:spacing w:val="-2"/>
          <w:kern w:val="0"/>
          <w:highlight w:val="none"/>
        </w:rPr>
        <w:t>为</w:t>
      </w:r>
      <w:r>
        <w:rPr>
          <w:rFonts w:hint="eastAsia"/>
          <w:color w:val="auto"/>
          <w:kern w:val="0"/>
          <w:highlight w:val="none"/>
        </w:rPr>
        <w:t>中</w:t>
      </w:r>
      <w:r>
        <w:rPr>
          <w:rFonts w:hint="eastAsia"/>
          <w:color w:val="auto"/>
          <w:spacing w:val="-2"/>
          <w:kern w:val="0"/>
          <w:highlight w:val="none"/>
        </w:rPr>
        <w:t>文</w:t>
      </w:r>
      <w:r>
        <w:rPr>
          <w:rFonts w:hint="eastAsia"/>
          <w:color w:val="auto"/>
          <w:kern w:val="0"/>
          <w:highlight w:val="none"/>
        </w:rPr>
        <w:t>。</w:t>
      </w:r>
      <w:r>
        <w:rPr>
          <w:rFonts w:hint="eastAsia"/>
          <w:color w:val="auto"/>
          <w:spacing w:val="-2"/>
          <w:kern w:val="0"/>
          <w:highlight w:val="none"/>
        </w:rPr>
        <w:t>专</w:t>
      </w:r>
      <w:r>
        <w:rPr>
          <w:rFonts w:hint="eastAsia"/>
          <w:color w:val="auto"/>
          <w:kern w:val="0"/>
          <w:highlight w:val="none"/>
        </w:rPr>
        <w:t>用</w:t>
      </w:r>
      <w:r>
        <w:rPr>
          <w:rFonts w:hint="eastAsia"/>
          <w:color w:val="auto"/>
          <w:spacing w:val="-2"/>
          <w:kern w:val="0"/>
          <w:highlight w:val="none"/>
        </w:rPr>
        <w:t>术</w:t>
      </w:r>
      <w:r>
        <w:rPr>
          <w:rFonts w:hint="eastAsia"/>
          <w:color w:val="auto"/>
          <w:kern w:val="0"/>
          <w:highlight w:val="none"/>
        </w:rPr>
        <w:t>语</w:t>
      </w:r>
      <w:r>
        <w:rPr>
          <w:rFonts w:hint="eastAsia"/>
          <w:color w:val="auto"/>
          <w:spacing w:val="-2"/>
          <w:kern w:val="0"/>
          <w:highlight w:val="none"/>
        </w:rPr>
        <w:t>使</w:t>
      </w:r>
      <w:r>
        <w:rPr>
          <w:rFonts w:hint="eastAsia"/>
          <w:color w:val="auto"/>
          <w:kern w:val="0"/>
          <w:highlight w:val="none"/>
        </w:rPr>
        <w:t>用外</w:t>
      </w:r>
      <w:r>
        <w:rPr>
          <w:rFonts w:hint="eastAsia"/>
          <w:color w:val="auto"/>
          <w:spacing w:val="-2"/>
          <w:kern w:val="0"/>
          <w:highlight w:val="none"/>
        </w:rPr>
        <w:t>文</w:t>
      </w:r>
      <w:r>
        <w:rPr>
          <w:rFonts w:hint="eastAsia"/>
          <w:color w:val="auto"/>
          <w:kern w:val="0"/>
          <w:highlight w:val="none"/>
        </w:rPr>
        <w:t>的</w:t>
      </w:r>
      <w:r>
        <w:rPr>
          <w:rFonts w:hint="eastAsia"/>
          <w:color w:val="auto"/>
          <w:spacing w:val="-2"/>
          <w:kern w:val="0"/>
          <w:highlight w:val="none"/>
        </w:rPr>
        <w:t>，</w:t>
      </w:r>
      <w:r>
        <w:rPr>
          <w:rFonts w:hint="eastAsia"/>
          <w:color w:val="auto"/>
          <w:kern w:val="0"/>
          <w:highlight w:val="none"/>
        </w:rPr>
        <w:t>应</w:t>
      </w:r>
      <w:r>
        <w:rPr>
          <w:rFonts w:hint="eastAsia"/>
          <w:color w:val="auto"/>
          <w:spacing w:val="-2"/>
          <w:kern w:val="0"/>
          <w:highlight w:val="none"/>
        </w:rPr>
        <w:t>附</w:t>
      </w:r>
      <w:r>
        <w:rPr>
          <w:rFonts w:hint="eastAsia"/>
          <w:color w:val="auto"/>
          <w:kern w:val="0"/>
          <w:highlight w:val="none"/>
        </w:rPr>
        <w:t>有</w:t>
      </w:r>
      <w:r>
        <w:rPr>
          <w:rFonts w:hint="eastAsia"/>
          <w:color w:val="auto"/>
          <w:spacing w:val="-2"/>
          <w:kern w:val="0"/>
          <w:highlight w:val="none"/>
        </w:rPr>
        <w:t>中</w:t>
      </w:r>
      <w:r>
        <w:rPr>
          <w:rFonts w:hint="eastAsia"/>
          <w:color w:val="auto"/>
          <w:kern w:val="0"/>
          <w:highlight w:val="none"/>
        </w:rPr>
        <w:t>文</w:t>
      </w:r>
      <w:r>
        <w:rPr>
          <w:rFonts w:hint="eastAsia"/>
          <w:color w:val="auto"/>
          <w:spacing w:val="-2"/>
          <w:kern w:val="0"/>
          <w:highlight w:val="none"/>
        </w:rPr>
        <w:t>注</w:t>
      </w:r>
      <w:r>
        <w:rPr>
          <w:rFonts w:hint="eastAsia"/>
          <w:color w:val="auto"/>
          <w:kern w:val="0"/>
          <w:highlight w:val="none"/>
        </w:rPr>
        <w:t>释</w:t>
      </w:r>
      <w:r>
        <w:rPr>
          <w:rFonts w:hint="eastAsia"/>
          <w:color w:val="auto"/>
          <w:highlight w:val="none"/>
        </w:rPr>
        <w:t>。</w:t>
      </w:r>
    </w:p>
    <w:p w14:paraId="6D997AFD">
      <w:pPr>
        <w:pStyle w:val="4"/>
        <w:numPr>
          <w:ilvl w:val="1"/>
          <w:numId w:val="6"/>
        </w:numPr>
        <w:jc w:val="left"/>
        <w:rPr>
          <w:rFonts w:ascii="Times New Roman" w:hAnsi="Times New Roman"/>
          <w:bCs w:val="0"/>
          <w:color w:val="auto"/>
          <w:szCs w:val="20"/>
          <w:highlight w:val="none"/>
        </w:rPr>
      </w:pPr>
      <w:bookmarkStart w:id="175" w:name="_Toc30996"/>
      <w:bookmarkStart w:id="176" w:name="_Toc65662017"/>
      <w:bookmarkStart w:id="177" w:name="_Toc15644"/>
      <w:bookmarkStart w:id="178" w:name="_Toc1464"/>
      <w:bookmarkStart w:id="179" w:name="_Toc8307"/>
      <w:bookmarkStart w:id="180" w:name="_Toc4556"/>
      <w:bookmarkStart w:id="181" w:name="_Toc76134457"/>
      <w:r>
        <w:rPr>
          <w:rFonts w:hint="eastAsia" w:ascii="Times New Roman" w:hAnsi="Times New Roman"/>
          <w:bCs w:val="0"/>
          <w:color w:val="auto"/>
          <w:szCs w:val="20"/>
          <w:highlight w:val="none"/>
        </w:rPr>
        <w:t>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63E2374">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所有计量均采用中华人民共和国法定计量标准单位。</w:t>
      </w:r>
    </w:p>
    <w:p w14:paraId="390219E3">
      <w:pPr>
        <w:pStyle w:val="4"/>
        <w:numPr>
          <w:ilvl w:val="1"/>
          <w:numId w:val="6"/>
        </w:numPr>
        <w:jc w:val="left"/>
        <w:rPr>
          <w:rFonts w:ascii="Times New Roman" w:hAnsi="Times New Roman"/>
          <w:bCs w:val="0"/>
          <w:color w:val="auto"/>
          <w:szCs w:val="20"/>
          <w:highlight w:val="none"/>
        </w:rPr>
      </w:pPr>
      <w:bookmarkStart w:id="182" w:name="_Toc11248"/>
      <w:bookmarkStart w:id="183" w:name="_Toc428351637"/>
      <w:bookmarkStart w:id="184" w:name="_Toc277149373"/>
      <w:bookmarkStart w:id="185" w:name="_Toc463011261"/>
      <w:bookmarkStart w:id="186" w:name="_Toc455678108"/>
      <w:bookmarkStart w:id="187" w:name="_Toc454788017"/>
      <w:bookmarkStart w:id="188" w:name="_Toc428276577"/>
      <w:bookmarkStart w:id="189" w:name="_Toc7491"/>
      <w:bookmarkStart w:id="190" w:name="_Toc270604811"/>
      <w:bookmarkStart w:id="191" w:name="_Toc270604584"/>
      <w:bookmarkStart w:id="192" w:name="_Toc269470303"/>
      <w:bookmarkStart w:id="193" w:name="_Toc462934282"/>
      <w:bookmarkStart w:id="194" w:name="_Toc14349"/>
      <w:bookmarkStart w:id="195" w:name="_Toc25942"/>
      <w:bookmarkStart w:id="196" w:name="_Toc3848"/>
      <w:bookmarkStart w:id="197" w:name="_Toc65662018"/>
      <w:bookmarkStart w:id="198" w:name="_Toc32480"/>
      <w:bookmarkStart w:id="199" w:name="_Toc3737"/>
      <w:bookmarkStart w:id="200" w:name="_Toc76134458"/>
      <w:r>
        <w:rPr>
          <w:rFonts w:hint="eastAsia" w:ascii="Times New Roman" w:hAnsi="Times New Roman"/>
          <w:bCs w:val="0"/>
          <w:color w:val="auto"/>
          <w:szCs w:val="20"/>
          <w:highlight w:val="none"/>
        </w:rPr>
        <w:t>现场</w:t>
      </w:r>
      <w:bookmarkEnd w:id="182"/>
      <w:bookmarkEnd w:id="183"/>
      <w:bookmarkEnd w:id="184"/>
      <w:bookmarkEnd w:id="185"/>
      <w:bookmarkEnd w:id="186"/>
      <w:bookmarkEnd w:id="187"/>
      <w:bookmarkEnd w:id="188"/>
      <w:bookmarkEnd w:id="189"/>
      <w:bookmarkEnd w:id="190"/>
      <w:bookmarkEnd w:id="191"/>
      <w:bookmarkEnd w:id="192"/>
      <w:bookmarkEnd w:id="193"/>
      <w:r>
        <w:rPr>
          <w:rFonts w:hint="eastAsia" w:ascii="Times New Roman" w:hAnsi="Times New Roman"/>
          <w:bCs w:val="0"/>
          <w:color w:val="auto"/>
          <w:szCs w:val="20"/>
          <w:highlight w:val="none"/>
        </w:rPr>
        <w:t>考察</w:t>
      </w:r>
      <w:bookmarkEnd w:id="194"/>
      <w:r>
        <w:rPr>
          <w:rFonts w:hint="eastAsia" w:ascii="Times New Roman" w:hAnsi="Times New Roman"/>
          <w:bCs w:val="0"/>
          <w:color w:val="auto"/>
          <w:szCs w:val="20"/>
          <w:highlight w:val="none"/>
        </w:rPr>
        <w:t>或答疑会</w:t>
      </w:r>
      <w:bookmarkEnd w:id="195"/>
      <w:bookmarkEnd w:id="196"/>
      <w:bookmarkEnd w:id="197"/>
      <w:bookmarkEnd w:id="198"/>
      <w:bookmarkEnd w:id="199"/>
      <w:bookmarkEnd w:id="200"/>
    </w:p>
    <w:p w14:paraId="15636308">
      <w:pPr>
        <w:numPr>
          <w:ilvl w:val="2"/>
          <w:numId w:val="6"/>
        </w:numPr>
        <w:wordWrap/>
        <w:topLinePunct w:val="0"/>
        <w:spacing w:line="360" w:lineRule="auto"/>
        <w:ind w:firstLine="420" w:firstLineChars="200"/>
        <w:rPr>
          <w:color w:val="auto"/>
          <w:highlight w:val="none"/>
        </w:rPr>
      </w:pPr>
      <w:r>
        <w:rPr>
          <w:rFonts w:hint="eastAsia"/>
          <w:color w:val="auto"/>
          <w:highlight w:val="none"/>
        </w:rPr>
        <w:t>现场考察：供应商须知前附表规定组织现场考察的，采购人按供应商须知前附表规定的时间、地点组织供应商考察项目现场。部分供应商未按时参加现场考察的，不影响现场考察的正常进行。</w:t>
      </w:r>
    </w:p>
    <w:p w14:paraId="21433269">
      <w:pPr>
        <w:numPr>
          <w:ilvl w:val="2"/>
          <w:numId w:val="6"/>
        </w:numPr>
        <w:wordWrap/>
        <w:topLinePunct w:val="0"/>
        <w:spacing w:line="360" w:lineRule="auto"/>
        <w:ind w:firstLine="420" w:firstLineChars="200"/>
        <w:rPr>
          <w:color w:val="auto"/>
          <w:highlight w:val="none"/>
        </w:rPr>
      </w:pPr>
      <w:r>
        <w:rPr>
          <w:rFonts w:hint="eastAsia"/>
          <w:color w:val="auto"/>
          <w:highlight w:val="none"/>
        </w:rPr>
        <w:t>供应商现场考察发生的费用自理。</w:t>
      </w:r>
    </w:p>
    <w:p w14:paraId="0E9F4C46">
      <w:pPr>
        <w:numPr>
          <w:ilvl w:val="2"/>
          <w:numId w:val="6"/>
        </w:numPr>
        <w:wordWrap/>
        <w:topLinePunct w:val="0"/>
        <w:spacing w:line="360" w:lineRule="auto"/>
        <w:ind w:firstLine="420" w:firstLineChars="200"/>
        <w:rPr>
          <w:color w:val="auto"/>
          <w:highlight w:val="none"/>
        </w:rPr>
      </w:pPr>
      <w:r>
        <w:rPr>
          <w:rFonts w:hint="eastAsia"/>
          <w:color w:val="auto"/>
          <w:highlight w:val="none"/>
        </w:rPr>
        <w:t>除采购人的原因外，供应商自行负责在现场考察中所发生的人员伤亡和财产损失。</w:t>
      </w:r>
    </w:p>
    <w:p w14:paraId="7A308328">
      <w:pPr>
        <w:numPr>
          <w:ilvl w:val="2"/>
          <w:numId w:val="6"/>
        </w:numPr>
        <w:wordWrap/>
        <w:topLinePunct w:val="0"/>
        <w:spacing w:line="360" w:lineRule="auto"/>
        <w:ind w:firstLine="420" w:firstLineChars="200"/>
        <w:rPr>
          <w:color w:val="auto"/>
          <w:highlight w:val="none"/>
        </w:rPr>
      </w:pPr>
      <w:r>
        <w:rPr>
          <w:rFonts w:hint="eastAsia"/>
          <w:color w:val="auto"/>
          <w:highlight w:val="none"/>
        </w:rPr>
        <w:t>采购人在现场考察中介绍的项目场地和相关的周边环境情况，供供应商在编制响应文件时参考，采购人不对供应商据此作出的判断和决策负责。</w:t>
      </w:r>
    </w:p>
    <w:p w14:paraId="49D562A8">
      <w:pPr>
        <w:numPr>
          <w:ilvl w:val="2"/>
          <w:numId w:val="6"/>
        </w:numPr>
        <w:wordWrap/>
        <w:topLinePunct w:val="0"/>
        <w:spacing w:line="360" w:lineRule="auto"/>
        <w:ind w:firstLine="420" w:firstLineChars="200"/>
        <w:rPr>
          <w:color w:val="auto"/>
          <w:highlight w:val="none"/>
        </w:rPr>
      </w:pPr>
      <w:r>
        <w:rPr>
          <w:rFonts w:hint="eastAsia"/>
          <w:color w:val="auto"/>
          <w:highlight w:val="none"/>
        </w:rPr>
        <w:t>答疑会：见供应商须知前附表。</w:t>
      </w:r>
    </w:p>
    <w:p w14:paraId="3DBAE988">
      <w:pPr>
        <w:pStyle w:val="4"/>
        <w:numPr>
          <w:ilvl w:val="1"/>
          <w:numId w:val="6"/>
        </w:numPr>
        <w:jc w:val="left"/>
        <w:rPr>
          <w:rFonts w:ascii="Times New Roman" w:hAnsi="Times New Roman"/>
          <w:bCs w:val="0"/>
          <w:color w:val="auto"/>
          <w:szCs w:val="20"/>
          <w:highlight w:val="none"/>
        </w:rPr>
      </w:pPr>
      <w:bookmarkStart w:id="201" w:name="_Toc17133"/>
      <w:bookmarkStart w:id="202" w:name="_Toc20135"/>
      <w:bookmarkStart w:id="203" w:name="_Toc462934284"/>
      <w:bookmarkStart w:id="204" w:name="_Toc76134459"/>
      <w:bookmarkStart w:id="205" w:name="_Toc8111"/>
      <w:bookmarkStart w:id="206" w:name="_Toc428276579"/>
      <w:bookmarkStart w:id="207" w:name="_Toc12877"/>
      <w:bookmarkStart w:id="208" w:name="_Toc270604586"/>
      <w:bookmarkStart w:id="209" w:name="_Toc277149375"/>
      <w:bookmarkStart w:id="210" w:name="_Toc454788019"/>
      <w:bookmarkStart w:id="211" w:name="_Toc455678110"/>
      <w:bookmarkStart w:id="212" w:name="_Toc463011263"/>
      <w:bookmarkStart w:id="213" w:name="_Toc428351639"/>
      <w:bookmarkStart w:id="214" w:name="_Toc24091"/>
      <w:bookmarkStart w:id="215" w:name="_Toc269470305"/>
      <w:bookmarkStart w:id="216" w:name="_Toc8646"/>
      <w:bookmarkStart w:id="217" w:name="_Toc270604813"/>
      <w:bookmarkStart w:id="218" w:name="_Toc32376"/>
      <w:bookmarkStart w:id="219" w:name="_Toc65662019"/>
      <w:r>
        <w:rPr>
          <w:rFonts w:hint="eastAsia" w:ascii="Times New Roman" w:hAnsi="Times New Roman"/>
          <w:bCs w:val="0"/>
          <w:color w:val="auto"/>
          <w:szCs w:val="20"/>
          <w:highlight w:val="none"/>
        </w:rPr>
        <w:t>分包</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FE6973">
      <w:pPr>
        <w:numPr>
          <w:ilvl w:val="2"/>
          <w:numId w:val="6"/>
        </w:numPr>
        <w:wordWrap/>
        <w:topLinePunct w:val="0"/>
        <w:spacing w:line="360" w:lineRule="auto"/>
        <w:ind w:firstLine="420" w:firstLineChars="200"/>
        <w:rPr>
          <w:color w:val="auto"/>
          <w:highlight w:val="none"/>
        </w:rPr>
      </w:pPr>
      <w:bookmarkStart w:id="220" w:name="_Toc10220"/>
      <w:bookmarkStart w:id="221" w:name="_Toc463011264"/>
      <w:bookmarkStart w:id="222" w:name="_Toc455678111"/>
      <w:bookmarkStart w:id="223" w:name="_Toc454788020"/>
      <w:bookmarkStart w:id="224" w:name="_Toc277149376"/>
      <w:bookmarkStart w:id="225" w:name="_Toc462934285"/>
      <w:bookmarkStart w:id="226" w:name="_Toc428351640"/>
      <w:bookmarkStart w:id="227" w:name="_Toc269470306"/>
      <w:bookmarkStart w:id="228" w:name="_Toc270604587"/>
      <w:bookmarkStart w:id="229" w:name="_Toc29688"/>
      <w:bookmarkStart w:id="230" w:name="_Toc428276580"/>
      <w:bookmarkStart w:id="231" w:name="_Toc8513"/>
      <w:bookmarkStart w:id="232" w:name="_Toc270604814"/>
      <w:r>
        <w:rPr>
          <w:rFonts w:hint="eastAsia"/>
          <w:color w:val="auto"/>
          <w:highlight w:val="none"/>
        </w:rPr>
        <w:t>供应商拟在成交后将成交项目的非主体、非关键性工作进行分包的，应符合供应商须知前附表规定的分包内容、分包金额和资质要求等限制性条件，除供应商须知前附表规定的非主体、非关键性工作外，其他工作不得分包。</w:t>
      </w:r>
    </w:p>
    <w:p w14:paraId="0C24A72C">
      <w:pPr>
        <w:numPr>
          <w:ilvl w:val="2"/>
          <w:numId w:val="6"/>
        </w:numPr>
        <w:wordWrap/>
        <w:topLinePunct w:val="0"/>
        <w:spacing w:line="360" w:lineRule="auto"/>
        <w:ind w:firstLine="420" w:firstLineChars="200"/>
        <w:rPr>
          <w:color w:val="auto"/>
          <w:highlight w:val="none"/>
        </w:rPr>
      </w:pPr>
      <w:r>
        <w:rPr>
          <w:rFonts w:hint="eastAsia"/>
          <w:color w:val="auto"/>
          <w:highlight w:val="none"/>
        </w:rPr>
        <w:t xml:space="preserve">成交人不得向他人转让成交项目，接受分包的人不得再次分包。成交人应当就分包项目向采购人负责，接受分包的人就分包项目承担连带责任。 </w:t>
      </w:r>
    </w:p>
    <w:bookmarkEnd w:id="220"/>
    <w:bookmarkEnd w:id="221"/>
    <w:bookmarkEnd w:id="222"/>
    <w:bookmarkEnd w:id="223"/>
    <w:bookmarkEnd w:id="224"/>
    <w:bookmarkEnd w:id="225"/>
    <w:bookmarkEnd w:id="226"/>
    <w:bookmarkEnd w:id="227"/>
    <w:bookmarkEnd w:id="228"/>
    <w:bookmarkEnd w:id="229"/>
    <w:bookmarkEnd w:id="230"/>
    <w:bookmarkEnd w:id="231"/>
    <w:bookmarkEnd w:id="232"/>
    <w:p w14:paraId="12B8A369">
      <w:pPr>
        <w:pStyle w:val="4"/>
        <w:numPr>
          <w:ilvl w:val="1"/>
          <w:numId w:val="6"/>
        </w:numPr>
        <w:jc w:val="left"/>
        <w:rPr>
          <w:rFonts w:ascii="Times New Roman" w:hAnsi="Times New Roman"/>
          <w:bCs w:val="0"/>
          <w:color w:val="auto"/>
          <w:szCs w:val="20"/>
          <w:highlight w:val="none"/>
        </w:rPr>
      </w:pPr>
      <w:bookmarkStart w:id="233" w:name="_Toc65662020"/>
      <w:bookmarkStart w:id="234" w:name="_Toc76134460"/>
      <w:bookmarkStart w:id="235" w:name="_Toc12248"/>
      <w:bookmarkStart w:id="236" w:name="_Toc6368"/>
      <w:bookmarkStart w:id="237" w:name="_Toc11075"/>
      <w:bookmarkStart w:id="238" w:name="_Toc24689"/>
      <w:r>
        <w:rPr>
          <w:rFonts w:hint="eastAsia" w:ascii="Times New Roman" w:hAnsi="Times New Roman"/>
          <w:bCs w:val="0"/>
          <w:color w:val="auto"/>
          <w:szCs w:val="20"/>
          <w:highlight w:val="none"/>
        </w:rPr>
        <w:t>响应和偏差</w:t>
      </w:r>
      <w:bookmarkEnd w:id="233"/>
      <w:bookmarkEnd w:id="234"/>
      <w:bookmarkEnd w:id="235"/>
      <w:bookmarkEnd w:id="236"/>
      <w:bookmarkEnd w:id="237"/>
      <w:bookmarkEnd w:id="238"/>
    </w:p>
    <w:p w14:paraId="302B9D9D">
      <w:pPr>
        <w:numPr>
          <w:ilvl w:val="2"/>
          <w:numId w:val="6"/>
        </w:numPr>
        <w:wordWrap/>
        <w:topLinePunct w:val="0"/>
        <w:spacing w:line="360" w:lineRule="auto"/>
        <w:ind w:firstLine="420" w:firstLineChars="200"/>
        <w:rPr>
          <w:color w:val="auto"/>
          <w:highlight w:val="none"/>
        </w:rPr>
      </w:pPr>
      <w:r>
        <w:rPr>
          <w:rFonts w:hint="eastAsia"/>
          <w:color w:val="auto"/>
          <w:highlight w:val="none"/>
        </w:rPr>
        <w:t>响应文件应当对竞争性磋商文件的实质性要求和条件作出满足性或更有利于采购人的响应，否则，供应商的响应文件将被否决。实质性要求和条件见供应商须知前附表。</w:t>
      </w:r>
    </w:p>
    <w:p w14:paraId="35876562">
      <w:pPr>
        <w:numPr>
          <w:ilvl w:val="2"/>
          <w:numId w:val="6"/>
        </w:numPr>
        <w:wordWrap/>
        <w:topLinePunct w:val="0"/>
        <w:spacing w:line="360" w:lineRule="auto"/>
        <w:ind w:firstLine="420" w:firstLineChars="200"/>
        <w:rPr>
          <w:color w:val="auto"/>
          <w:highlight w:val="none"/>
        </w:rPr>
      </w:pPr>
      <w:r>
        <w:rPr>
          <w:rFonts w:hint="eastAsia"/>
          <w:color w:val="auto"/>
          <w:highlight w:val="none"/>
        </w:rPr>
        <w:t>供应商应根据竞争性磋商文件的要求提供投标技术部分的方案等内容以对竞争性磋商文件作出响应。</w:t>
      </w:r>
    </w:p>
    <w:p w14:paraId="35AE301D">
      <w:pPr>
        <w:numPr>
          <w:ilvl w:val="2"/>
          <w:numId w:val="6"/>
        </w:numPr>
        <w:wordWrap/>
        <w:topLinePunct w:val="0"/>
        <w:spacing w:line="360" w:lineRule="auto"/>
        <w:ind w:firstLine="420" w:firstLineChars="200"/>
        <w:rPr>
          <w:color w:val="auto"/>
          <w:highlight w:val="none"/>
        </w:rPr>
      </w:pPr>
      <w:r>
        <w:rPr>
          <w:rFonts w:hint="eastAsia"/>
          <w:color w:val="auto"/>
          <w:highlight w:val="none"/>
        </w:rPr>
        <w:t>允许响应文件偏离竞争性磋商文件某些要求的，偏差应当符合竞争性磋商文件规定的偏差范围和幅度。</w:t>
      </w:r>
    </w:p>
    <w:p w14:paraId="3C4E75DE">
      <w:pPr>
        <w:pStyle w:val="4"/>
        <w:numPr>
          <w:ilvl w:val="1"/>
          <w:numId w:val="6"/>
        </w:numPr>
        <w:jc w:val="left"/>
        <w:rPr>
          <w:rFonts w:ascii="Times New Roman" w:hAnsi="Times New Roman"/>
          <w:bCs w:val="0"/>
          <w:color w:val="auto"/>
          <w:szCs w:val="20"/>
          <w:highlight w:val="none"/>
        </w:rPr>
      </w:pPr>
      <w:bookmarkStart w:id="239" w:name="_Toc15618"/>
      <w:bookmarkStart w:id="240" w:name="_Toc463011265"/>
      <w:bookmarkStart w:id="241" w:name="_Toc65662021"/>
      <w:bookmarkStart w:id="242" w:name="_Toc18638"/>
      <w:bookmarkStart w:id="243" w:name="_Toc76134461"/>
      <w:bookmarkStart w:id="244" w:name="_Toc23956"/>
      <w:bookmarkStart w:id="245" w:name="_Toc18933"/>
      <w:bookmarkStart w:id="246" w:name="_Toc17145"/>
      <w:bookmarkStart w:id="247" w:name="_Toc455678112"/>
      <w:bookmarkStart w:id="248" w:name="_Toc11809"/>
      <w:bookmarkStart w:id="249" w:name="_Toc30900"/>
      <w:bookmarkStart w:id="250" w:name="_Toc462934286"/>
      <w:r>
        <w:rPr>
          <w:rFonts w:hint="eastAsia" w:ascii="Times New Roman" w:hAnsi="Times New Roman"/>
          <w:bCs w:val="0"/>
          <w:color w:val="auto"/>
          <w:szCs w:val="20"/>
          <w:highlight w:val="none"/>
        </w:rPr>
        <w:t>选择性报价方案</w:t>
      </w:r>
      <w:bookmarkEnd w:id="239"/>
      <w:bookmarkEnd w:id="240"/>
      <w:bookmarkEnd w:id="241"/>
      <w:bookmarkEnd w:id="242"/>
      <w:bookmarkEnd w:id="243"/>
      <w:bookmarkEnd w:id="244"/>
      <w:bookmarkEnd w:id="245"/>
      <w:bookmarkEnd w:id="246"/>
      <w:bookmarkEnd w:id="247"/>
      <w:bookmarkEnd w:id="248"/>
      <w:bookmarkEnd w:id="249"/>
      <w:bookmarkEnd w:id="250"/>
    </w:p>
    <w:p w14:paraId="4E864C00">
      <w:pPr>
        <w:tabs>
          <w:tab w:val="left" w:pos="720"/>
          <w:tab w:val="left" w:pos="1320"/>
        </w:tabs>
        <w:snapToGrid w:val="0"/>
        <w:spacing w:line="360" w:lineRule="auto"/>
        <w:ind w:firstLine="420" w:firstLineChars="200"/>
        <w:contextualSpacing/>
        <w:rPr>
          <w:color w:val="auto"/>
          <w:highlight w:val="none"/>
        </w:rPr>
      </w:pPr>
      <w:r>
        <w:rPr>
          <w:rFonts w:hint="eastAsia" w:cs="黑体"/>
          <w:color w:val="auto"/>
          <w:highlight w:val="none"/>
        </w:rPr>
        <w:t>选择性报价方案：见供应商须知前附表。</w:t>
      </w:r>
    </w:p>
    <w:p w14:paraId="7A21F586">
      <w:pPr>
        <w:pStyle w:val="147"/>
        <w:numPr>
          <w:ilvl w:val="0"/>
          <w:numId w:val="5"/>
        </w:numPr>
        <w:tabs>
          <w:tab w:val="left" w:pos="360"/>
        </w:tabs>
        <w:snapToGrid w:val="0"/>
        <w:spacing w:line="360" w:lineRule="auto"/>
        <w:contextualSpacing/>
        <w:jc w:val="both"/>
        <w:outlineLvl w:val="1"/>
        <w:rPr>
          <w:rStyle w:val="64"/>
          <w:color w:val="auto"/>
          <w:highlight w:val="none"/>
        </w:rPr>
      </w:pPr>
      <w:bookmarkStart w:id="251" w:name="_Toc76134462"/>
      <w:bookmarkStart w:id="252" w:name="_Toc19764"/>
      <w:bookmarkStart w:id="253" w:name="_Toc14606"/>
      <w:bookmarkStart w:id="254" w:name="_Toc65662022"/>
      <w:bookmarkStart w:id="255" w:name="_Toc25360"/>
      <w:bookmarkStart w:id="256" w:name="_Toc6260"/>
      <w:bookmarkStart w:id="257" w:name="_Toc270604588"/>
      <w:bookmarkStart w:id="258" w:name="_Toc5446"/>
      <w:bookmarkStart w:id="259" w:name="_Toc8179"/>
      <w:r>
        <w:rPr>
          <w:rStyle w:val="64"/>
          <w:rFonts w:hint="eastAsia"/>
          <w:color w:val="auto"/>
          <w:highlight w:val="none"/>
        </w:rPr>
        <w:t>竞争性磋商文件</w:t>
      </w:r>
      <w:bookmarkEnd w:id="251"/>
      <w:bookmarkEnd w:id="252"/>
      <w:bookmarkEnd w:id="253"/>
      <w:bookmarkEnd w:id="254"/>
      <w:bookmarkEnd w:id="255"/>
      <w:bookmarkEnd w:id="256"/>
      <w:bookmarkEnd w:id="257"/>
      <w:bookmarkEnd w:id="258"/>
      <w:bookmarkEnd w:id="259"/>
    </w:p>
    <w:p w14:paraId="2A11CAFA">
      <w:pPr>
        <w:pStyle w:val="4"/>
        <w:numPr>
          <w:ilvl w:val="1"/>
          <w:numId w:val="5"/>
        </w:numPr>
        <w:jc w:val="left"/>
        <w:rPr>
          <w:color w:val="auto"/>
          <w:highlight w:val="none"/>
        </w:rPr>
      </w:pPr>
      <w:bookmarkStart w:id="260" w:name="_Toc455678114"/>
      <w:bookmarkStart w:id="261" w:name="_Toc269470308"/>
      <w:bookmarkStart w:id="262" w:name="_Toc27664"/>
      <w:bookmarkStart w:id="263" w:name="_Toc10962"/>
      <w:bookmarkStart w:id="264" w:name="_Toc26795"/>
      <w:bookmarkStart w:id="265" w:name="_Toc76134463"/>
      <w:bookmarkStart w:id="266" w:name="_Toc428276582"/>
      <w:bookmarkStart w:id="267" w:name="_Toc454788022"/>
      <w:bookmarkStart w:id="268" w:name="_Toc31074"/>
      <w:bookmarkStart w:id="269" w:name="_Toc19729"/>
      <w:bookmarkStart w:id="270" w:name="_Toc11132"/>
      <w:bookmarkStart w:id="271" w:name="_Toc65662023"/>
      <w:bookmarkStart w:id="272" w:name="_Toc270604589"/>
      <w:bookmarkStart w:id="273" w:name="_Toc463011267"/>
      <w:bookmarkStart w:id="274" w:name="_Toc462934288"/>
      <w:bookmarkStart w:id="275" w:name="_Toc4863"/>
      <w:bookmarkStart w:id="276" w:name="_Toc270604816"/>
      <w:bookmarkStart w:id="277" w:name="_Toc277149378"/>
      <w:bookmarkStart w:id="278" w:name="_Toc428351642"/>
      <w:r>
        <w:rPr>
          <w:rFonts w:hint="eastAsia" w:ascii="Times New Roman" w:hAnsi="Times New Roman"/>
          <w:bCs w:val="0"/>
          <w:color w:val="auto"/>
          <w:szCs w:val="20"/>
          <w:highlight w:val="none"/>
        </w:rPr>
        <w:t>竞争性磋商文件的组成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FBCF40E">
      <w:pPr>
        <w:tabs>
          <w:tab w:val="left" w:pos="1260"/>
        </w:tabs>
        <w:autoSpaceDE w:val="0"/>
        <w:autoSpaceDN w:val="0"/>
        <w:adjustRightInd w:val="0"/>
        <w:snapToGrid w:val="0"/>
        <w:spacing w:line="360" w:lineRule="auto"/>
        <w:ind w:firstLine="472" w:firstLineChars="225"/>
        <w:contextualSpacing/>
        <w:jc w:val="left"/>
        <w:rPr>
          <w:rFonts w:cs="仿宋_GB2312"/>
          <w:color w:val="auto"/>
          <w:kern w:val="0"/>
          <w:highlight w:val="none"/>
        </w:rPr>
      </w:pPr>
      <w:r>
        <w:rPr>
          <w:rFonts w:hint="eastAsia" w:cs="仿宋_GB2312"/>
          <w:color w:val="auto"/>
          <w:kern w:val="0"/>
          <w:highlight w:val="none"/>
        </w:rPr>
        <w:t>本竞争性磋商文件包括：</w:t>
      </w:r>
    </w:p>
    <w:p w14:paraId="1414A4AE">
      <w:pPr>
        <w:numPr>
          <w:ilvl w:val="0"/>
          <w:numId w:val="8"/>
        </w:numPr>
        <w:wordWrap/>
        <w:topLinePunct w:val="0"/>
        <w:autoSpaceDE w:val="0"/>
        <w:autoSpaceDN w:val="0"/>
        <w:adjustRightInd w:val="0"/>
        <w:spacing w:line="360" w:lineRule="auto"/>
        <w:ind w:left="987" w:leftChars="200" w:right="40" w:hanging="567"/>
        <w:jc w:val="left"/>
        <w:rPr>
          <w:rFonts w:cs="微软雅黑"/>
          <w:color w:val="auto"/>
          <w:kern w:val="0"/>
          <w:highlight w:val="none"/>
        </w:rPr>
      </w:pPr>
      <w:r>
        <w:rPr>
          <w:rFonts w:hint="eastAsia" w:cs="微软雅黑"/>
          <w:color w:val="auto"/>
          <w:kern w:val="0"/>
          <w:highlight w:val="none"/>
        </w:rPr>
        <w:t>竞争性磋商公告</w:t>
      </w:r>
    </w:p>
    <w:p w14:paraId="337232C3">
      <w:pPr>
        <w:numPr>
          <w:ilvl w:val="0"/>
          <w:numId w:val="8"/>
        </w:numPr>
        <w:wordWrap/>
        <w:topLinePunct w:val="0"/>
        <w:autoSpaceDE w:val="0"/>
        <w:autoSpaceDN w:val="0"/>
        <w:adjustRightInd w:val="0"/>
        <w:spacing w:line="360" w:lineRule="auto"/>
        <w:ind w:left="987" w:leftChars="200" w:right="40" w:hanging="567"/>
        <w:jc w:val="left"/>
        <w:rPr>
          <w:rFonts w:cs="微软雅黑"/>
          <w:color w:val="auto"/>
          <w:kern w:val="0"/>
          <w:highlight w:val="none"/>
        </w:rPr>
      </w:pPr>
      <w:r>
        <w:rPr>
          <w:rFonts w:hint="eastAsia" w:cs="微软雅黑"/>
          <w:color w:val="auto"/>
          <w:kern w:val="0"/>
          <w:highlight w:val="none"/>
        </w:rPr>
        <w:t>供应商须知</w:t>
      </w:r>
    </w:p>
    <w:p w14:paraId="41D558D1">
      <w:pPr>
        <w:numPr>
          <w:ilvl w:val="0"/>
          <w:numId w:val="8"/>
        </w:numPr>
        <w:wordWrap/>
        <w:topLinePunct w:val="0"/>
        <w:autoSpaceDE w:val="0"/>
        <w:autoSpaceDN w:val="0"/>
        <w:adjustRightInd w:val="0"/>
        <w:spacing w:line="360" w:lineRule="auto"/>
        <w:ind w:left="987" w:leftChars="200" w:right="40" w:hanging="567"/>
        <w:jc w:val="left"/>
        <w:rPr>
          <w:rFonts w:cs="微软雅黑"/>
          <w:color w:val="auto"/>
          <w:kern w:val="0"/>
          <w:highlight w:val="none"/>
        </w:rPr>
      </w:pPr>
      <w:r>
        <w:rPr>
          <w:rFonts w:hint="eastAsia" w:cs="微软雅黑"/>
          <w:color w:val="auto"/>
          <w:kern w:val="0"/>
          <w:highlight w:val="none"/>
        </w:rPr>
        <w:t>评审办法</w:t>
      </w:r>
    </w:p>
    <w:p w14:paraId="7A28FC32">
      <w:pPr>
        <w:numPr>
          <w:ilvl w:val="0"/>
          <w:numId w:val="8"/>
        </w:numPr>
        <w:wordWrap/>
        <w:topLinePunct w:val="0"/>
        <w:autoSpaceDE w:val="0"/>
        <w:autoSpaceDN w:val="0"/>
        <w:adjustRightInd w:val="0"/>
        <w:spacing w:line="360" w:lineRule="auto"/>
        <w:ind w:left="987" w:leftChars="200" w:right="40" w:hanging="567"/>
        <w:jc w:val="left"/>
        <w:rPr>
          <w:rFonts w:cs="微软雅黑"/>
          <w:color w:val="auto"/>
          <w:kern w:val="0"/>
          <w:highlight w:val="none"/>
        </w:rPr>
      </w:pPr>
      <w:r>
        <w:rPr>
          <w:rFonts w:hint="eastAsia" w:cs="微软雅黑"/>
          <w:color w:val="auto"/>
          <w:kern w:val="0"/>
          <w:highlight w:val="none"/>
        </w:rPr>
        <w:t>合同</w:t>
      </w:r>
    </w:p>
    <w:p w14:paraId="03DB9779">
      <w:pPr>
        <w:numPr>
          <w:ilvl w:val="0"/>
          <w:numId w:val="8"/>
        </w:numPr>
        <w:wordWrap/>
        <w:topLinePunct w:val="0"/>
        <w:autoSpaceDE w:val="0"/>
        <w:autoSpaceDN w:val="0"/>
        <w:adjustRightInd w:val="0"/>
        <w:spacing w:line="360" w:lineRule="auto"/>
        <w:ind w:left="987" w:leftChars="200" w:right="40" w:hanging="567"/>
        <w:jc w:val="left"/>
        <w:rPr>
          <w:rFonts w:cs="微软雅黑"/>
          <w:color w:val="auto"/>
          <w:kern w:val="0"/>
          <w:highlight w:val="none"/>
        </w:rPr>
      </w:pPr>
      <w:r>
        <w:rPr>
          <w:rFonts w:hint="eastAsia" w:cs="微软雅黑"/>
          <w:color w:val="auto"/>
          <w:kern w:val="0"/>
          <w:highlight w:val="none"/>
        </w:rPr>
        <w:t>采购需求</w:t>
      </w:r>
    </w:p>
    <w:p w14:paraId="18B38A52">
      <w:pPr>
        <w:numPr>
          <w:ilvl w:val="0"/>
          <w:numId w:val="8"/>
        </w:numPr>
        <w:wordWrap/>
        <w:topLinePunct w:val="0"/>
        <w:autoSpaceDE w:val="0"/>
        <w:autoSpaceDN w:val="0"/>
        <w:adjustRightInd w:val="0"/>
        <w:spacing w:line="360" w:lineRule="auto"/>
        <w:ind w:left="987" w:leftChars="200" w:right="40" w:hanging="567"/>
        <w:jc w:val="left"/>
        <w:rPr>
          <w:rFonts w:cs="微软雅黑"/>
          <w:color w:val="auto"/>
          <w:kern w:val="0"/>
          <w:highlight w:val="none"/>
        </w:rPr>
      </w:pPr>
      <w:r>
        <w:rPr>
          <w:rFonts w:hint="eastAsia" w:cs="微软雅黑"/>
          <w:color w:val="auto"/>
          <w:kern w:val="0"/>
          <w:highlight w:val="none"/>
        </w:rPr>
        <w:t>磋商响应文件格式</w:t>
      </w:r>
    </w:p>
    <w:p w14:paraId="2D1EC8F6">
      <w:pPr>
        <w:tabs>
          <w:tab w:val="left" w:pos="1260"/>
        </w:tabs>
        <w:autoSpaceDE w:val="0"/>
        <w:autoSpaceDN w:val="0"/>
        <w:adjustRightInd w:val="0"/>
        <w:snapToGrid w:val="0"/>
        <w:spacing w:line="360" w:lineRule="auto"/>
        <w:ind w:firstLine="472" w:firstLineChars="225"/>
        <w:contextualSpacing/>
        <w:jc w:val="left"/>
        <w:rPr>
          <w:rFonts w:cs="仿宋_GB2312"/>
          <w:color w:val="auto"/>
          <w:kern w:val="0"/>
          <w:highlight w:val="none"/>
        </w:rPr>
      </w:pPr>
      <w:r>
        <w:rPr>
          <w:rFonts w:hint="eastAsia" w:cs="仿宋_GB2312"/>
          <w:color w:val="auto"/>
          <w:kern w:val="0"/>
          <w:highlight w:val="none"/>
        </w:rPr>
        <w:t>根据本章第</w:t>
      </w:r>
      <w:r>
        <w:rPr>
          <w:rFonts w:cs="TimesNewRomanPSMT"/>
          <w:color w:val="auto"/>
          <w:kern w:val="0"/>
          <w:highlight w:val="none"/>
        </w:rPr>
        <w:t>1.</w:t>
      </w:r>
      <w:r>
        <w:rPr>
          <w:rFonts w:hint="eastAsia" w:cs="TimesNewRomanPSMT"/>
          <w:color w:val="auto"/>
          <w:kern w:val="0"/>
          <w:highlight w:val="none"/>
        </w:rPr>
        <w:t>9</w:t>
      </w:r>
      <w:r>
        <w:rPr>
          <w:rFonts w:hint="eastAsia" w:cs="仿宋_GB2312"/>
          <w:color w:val="auto"/>
          <w:kern w:val="0"/>
          <w:highlight w:val="none"/>
        </w:rPr>
        <w:t>款、第</w:t>
      </w:r>
      <w:r>
        <w:rPr>
          <w:rFonts w:cs="TimesNewRomanPSMT"/>
          <w:color w:val="auto"/>
          <w:kern w:val="0"/>
          <w:highlight w:val="none"/>
        </w:rPr>
        <w:t xml:space="preserve">2.2 </w:t>
      </w:r>
      <w:r>
        <w:rPr>
          <w:rFonts w:hint="eastAsia" w:cs="仿宋_GB2312"/>
          <w:color w:val="auto"/>
          <w:kern w:val="0"/>
          <w:highlight w:val="none"/>
        </w:rPr>
        <w:t>款和第</w:t>
      </w:r>
      <w:r>
        <w:rPr>
          <w:rFonts w:cs="TimesNewRomanPSMT"/>
          <w:color w:val="auto"/>
          <w:kern w:val="0"/>
          <w:highlight w:val="none"/>
        </w:rPr>
        <w:t xml:space="preserve">2.3 </w:t>
      </w:r>
      <w:r>
        <w:rPr>
          <w:rFonts w:hint="eastAsia" w:cs="仿宋_GB2312"/>
          <w:color w:val="auto"/>
          <w:kern w:val="0"/>
          <w:highlight w:val="none"/>
        </w:rPr>
        <w:t>款对竞争性磋商文件所作的澄清、修改，构成竞争性磋商文件的组成部分。</w:t>
      </w:r>
    </w:p>
    <w:p w14:paraId="6515D07A">
      <w:pPr>
        <w:pStyle w:val="4"/>
        <w:numPr>
          <w:ilvl w:val="1"/>
          <w:numId w:val="5"/>
        </w:numPr>
        <w:jc w:val="left"/>
        <w:rPr>
          <w:rFonts w:ascii="Times New Roman" w:hAnsi="Times New Roman"/>
          <w:bCs w:val="0"/>
          <w:color w:val="auto"/>
          <w:szCs w:val="20"/>
          <w:highlight w:val="none"/>
        </w:rPr>
      </w:pPr>
      <w:bookmarkStart w:id="279" w:name="_Toc5047"/>
      <w:bookmarkStart w:id="280" w:name="_Toc76134464"/>
      <w:bookmarkStart w:id="281" w:name="_Toc65662024"/>
      <w:bookmarkStart w:id="282" w:name="_Toc463011268"/>
      <w:bookmarkStart w:id="283" w:name="_Toc6359"/>
      <w:bookmarkStart w:id="284" w:name="_Toc269470309"/>
      <w:bookmarkStart w:id="285" w:name="_Toc7911"/>
      <w:bookmarkStart w:id="286" w:name="_Toc13094"/>
      <w:bookmarkStart w:id="287" w:name="_Toc455678115"/>
      <w:bookmarkStart w:id="288" w:name="_Toc428276583"/>
      <w:bookmarkStart w:id="289" w:name="_Toc270604590"/>
      <w:bookmarkStart w:id="290" w:name="_Toc277149379"/>
      <w:bookmarkStart w:id="291" w:name="_Toc21873"/>
      <w:bookmarkStart w:id="292" w:name="_Toc270604817"/>
      <w:bookmarkStart w:id="293" w:name="_Toc428351643"/>
      <w:bookmarkStart w:id="294" w:name="_Toc32033"/>
      <w:bookmarkStart w:id="295" w:name="_Toc454788023"/>
      <w:bookmarkStart w:id="296" w:name="_Toc11511"/>
      <w:bookmarkStart w:id="297" w:name="_Toc462934289"/>
      <w:r>
        <w:rPr>
          <w:rFonts w:hint="eastAsia" w:ascii="Times New Roman" w:hAnsi="Times New Roman"/>
          <w:bCs w:val="0"/>
          <w:color w:val="auto"/>
          <w:szCs w:val="20"/>
          <w:highlight w:val="none"/>
        </w:rPr>
        <w:t>竞争性磋商文件的澄清</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4BE9AB0">
      <w:pPr>
        <w:numPr>
          <w:ilvl w:val="2"/>
          <w:numId w:val="5"/>
        </w:numPr>
        <w:wordWrap/>
        <w:topLinePunct w:val="0"/>
        <w:spacing w:line="360" w:lineRule="auto"/>
        <w:ind w:firstLine="420" w:firstLineChars="200"/>
        <w:rPr>
          <w:rFonts w:cs="黑体"/>
          <w:color w:val="auto"/>
          <w:highlight w:val="none"/>
        </w:rPr>
      </w:pPr>
      <w:bookmarkStart w:id="298" w:name="_Toc277149380"/>
      <w:bookmarkStart w:id="299" w:name="_Toc270604818"/>
      <w:bookmarkStart w:id="300" w:name="_Toc400"/>
      <w:bookmarkStart w:id="301" w:name="_Toc463011269"/>
      <w:bookmarkStart w:id="302" w:name="_Toc462934290"/>
      <w:bookmarkStart w:id="303" w:name="_Toc454788024"/>
      <w:bookmarkStart w:id="304" w:name="_Toc269470310"/>
      <w:bookmarkStart w:id="305" w:name="_Toc455678116"/>
      <w:bookmarkStart w:id="306" w:name="_Toc428276584"/>
      <w:bookmarkStart w:id="307" w:name="_Toc20316"/>
      <w:bookmarkStart w:id="308" w:name="_Toc428351644"/>
      <w:bookmarkStart w:id="309" w:name="_Toc270604591"/>
      <w:r>
        <w:rPr>
          <w:rFonts w:hint="eastAsia" w:cs="黑体"/>
          <w:color w:val="auto"/>
          <w:highlight w:val="none"/>
        </w:rPr>
        <w:t>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49CD83CC">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竞争性磋商文件的澄清以供应商须知前附表规定的形式发给所有购买竞争性磋商文件的供应商，同时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14:paraId="6CA61995">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供应商在收到澄清后，应按供应商须知前附表规定的时间和形式通知</w:t>
      </w:r>
      <w:r>
        <w:rPr>
          <w:rFonts w:hint="eastAsia"/>
          <w:color w:val="auto"/>
          <w:highlight w:val="none"/>
        </w:rPr>
        <w:t>采购人</w:t>
      </w:r>
      <w:r>
        <w:rPr>
          <w:rFonts w:hint="eastAsia" w:cs="黑体"/>
          <w:color w:val="auto"/>
          <w:highlight w:val="none"/>
        </w:rPr>
        <w:t>，确认已收到该澄清。</w:t>
      </w:r>
    </w:p>
    <w:p w14:paraId="5D5493C7">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除非采购人认为确有必要答复，否则，采购人有权拒绝回复供应商在本章第2.2.1项规定的时间后的任何澄清要求。在规定的时间内未提出疑问的，将被视为对竞争性磋商文件完全认可。</w:t>
      </w:r>
    </w:p>
    <w:p w14:paraId="321D0B70">
      <w:pPr>
        <w:pStyle w:val="4"/>
        <w:numPr>
          <w:ilvl w:val="1"/>
          <w:numId w:val="5"/>
        </w:numPr>
        <w:jc w:val="left"/>
        <w:rPr>
          <w:rFonts w:ascii="Times New Roman" w:hAnsi="Times New Roman"/>
          <w:bCs w:val="0"/>
          <w:color w:val="auto"/>
          <w:szCs w:val="20"/>
          <w:highlight w:val="none"/>
        </w:rPr>
      </w:pPr>
      <w:bookmarkStart w:id="310" w:name="_Toc5535"/>
      <w:bookmarkStart w:id="311" w:name="_Toc76134465"/>
      <w:bookmarkStart w:id="312" w:name="_Toc14178"/>
      <w:bookmarkStart w:id="313" w:name="_Toc14691"/>
      <w:bookmarkStart w:id="314" w:name="_Toc65662025"/>
      <w:bookmarkStart w:id="315" w:name="_Toc16316"/>
      <w:bookmarkStart w:id="316" w:name="_Toc22604"/>
      <w:r>
        <w:rPr>
          <w:rFonts w:hint="eastAsia" w:ascii="Times New Roman" w:hAnsi="Times New Roman"/>
          <w:bCs w:val="0"/>
          <w:color w:val="auto"/>
          <w:szCs w:val="20"/>
          <w:highlight w:val="none"/>
        </w:rPr>
        <w:t>竞争性磋商文件的修改</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C1E36DB">
      <w:pPr>
        <w:numPr>
          <w:ilvl w:val="2"/>
          <w:numId w:val="5"/>
        </w:numPr>
        <w:wordWrap/>
        <w:topLinePunct w:val="0"/>
        <w:spacing w:line="360" w:lineRule="auto"/>
        <w:ind w:firstLine="420" w:firstLineChars="200"/>
        <w:rPr>
          <w:rFonts w:cs="黑体"/>
          <w:color w:val="auto"/>
          <w:highlight w:val="none"/>
        </w:rPr>
      </w:pPr>
      <w:bookmarkStart w:id="317" w:name="_Toc270604592"/>
      <w:bookmarkStart w:id="318" w:name="_Toc12045"/>
      <w:r>
        <w:rPr>
          <w:rFonts w:hint="eastAsia" w:cs="黑体"/>
          <w:color w:val="auto"/>
          <w:highlight w:val="none"/>
        </w:rPr>
        <w:t>采购人或者采购代理机构可以对已发出的竞争性磋商文件进行必要的修改，但不得改变采购标的和资格条件，修改的内容为竞争性磋商文件的组成部分。</w:t>
      </w:r>
    </w:p>
    <w:p w14:paraId="4A7F6D97">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采购人或采购代理机构以供应商须知前附表规定的形式修改竞争性磋商文件，并通知所有已购买竞争性磋商文件的供应商，同时在原公告媒体发布变更公告。修改竞争性磋商文件的时间距本章第4.2.1项规定的提交首次响应文件截止时间不足5日的，并且修改内容可能影响响应文件编制的，将相应延长提交首次响应文件截止时间。</w:t>
      </w:r>
    </w:p>
    <w:p w14:paraId="040DDCA0">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供应商收到修改内容后，应按供应商须知前附表规定的时间和形式通知</w:t>
      </w:r>
      <w:r>
        <w:rPr>
          <w:rFonts w:hint="eastAsia"/>
          <w:color w:val="auto"/>
          <w:highlight w:val="none"/>
        </w:rPr>
        <w:t>采购人</w:t>
      </w:r>
      <w:r>
        <w:rPr>
          <w:rFonts w:hint="eastAsia" w:cs="黑体"/>
          <w:color w:val="auto"/>
          <w:highlight w:val="none"/>
        </w:rPr>
        <w:t>，确认已收到该修改。</w:t>
      </w:r>
    </w:p>
    <w:p w14:paraId="28F2D72B">
      <w:pPr>
        <w:pStyle w:val="147"/>
        <w:numPr>
          <w:ilvl w:val="0"/>
          <w:numId w:val="5"/>
        </w:numPr>
        <w:tabs>
          <w:tab w:val="left" w:pos="360"/>
        </w:tabs>
        <w:snapToGrid w:val="0"/>
        <w:spacing w:line="360" w:lineRule="auto"/>
        <w:contextualSpacing/>
        <w:jc w:val="both"/>
        <w:outlineLvl w:val="1"/>
        <w:rPr>
          <w:rStyle w:val="64"/>
          <w:color w:val="auto"/>
          <w:highlight w:val="none"/>
        </w:rPr>
      </w:pPr>
      <w:bookmarkStart w:id="319" w:name="_Toc16518"/>
      <w:bookmarkStart w:id="320" w:name="_Toc65662026"/>
      <w:bookmarkStart w:id="321" w:name="_Toc76134466"/>
      <w:bookmarkStart w:id="322" w:name="_Toc20892"/>
      <w:bookmarkStart w:id="323" w:name="_Toc28297"/>
      <w:bookmarkStart w:id="324" w:name="_Toc25330"/>
      <w:bookmarkStart w:id="325" w:name="_Toc11076"/>
      <w:r>
        <w:rPr>
          <w:rStyle w:val="64"/>
          <w:rFonts w:hint="eastAsia"/>
          <w:color w:val="auto"/>
          <w:highlight w:val="none"/>
        </w:rPr>
        <w:t>磋商响应文件</w:t>
      </w:r>
      <w:bookmarkEnd w:id="317"/>
      <w:bookmarkEnd w:id="318"/>
      <w:r>
        <w:rPr>
          <w:rStyle w:val="64"/>
          <w:rFonts w:hint="eastAsia"/>
          <w:color w:val="auto"/>
          <w:highlight w:val="none"/>
        </w:rPr>
        <w:t>编写</w:t>
      </w:r>
      <w:bookmarkEnd w:id="319"/>
      <w:bookmarkEnd w:id="320"/>
      <w:bookmarkEnd w:id="321"/>
      <w:bookmarkEnd w:id="322"/>
      <w:bookmarkEnd w:id="323"/>
      <w:bookmarkEnd w:id="324"/>
      <w:bookmarkEnd w:id="325"/>
    </w:p>
    <w:p w14:paraId="17282457">
      <w:pPr>
        <w:pStyle w:val="4"/>
        <w:numPr>
          <w:ilvl w:val="1"/>
          <w:numId w:val="5"/>
        </w:numPr>
        <w:jc w:val="left"/>
        <w:rPr>
          <w:rFonts w:ascii="Times New Roman" w:hAnsi="Times New Roman"/>
          <w:bCs w:val="0"/>
          <w:color w:val="auto"/>
          <w:szCs w:val="20"/>
          <w:highlight w:val="none"/>
        </w:rPr>
      </w:pPr>
      <w:bookmarkStart w:id="326" w:name="_Toc277149382"/>
      <w:bookmarkStart w:id="327" w:name="_Toc270604593"/>
      <w:bookmarkStart w:id="328" w:name="_Toc462934292"/>
      <w:bookmarkStart w:id="329" w:name="_Toc26455"/>
      <w:bookmarkStart w:id="330" w:name="_Toc5917"/>
      <w:bookmarkStart w:id="331" w:name="_Toc65662027"/>
      <w:bookmarkStart w:id="332" w:name="_Toc269470312"/>
      <w:bookmarkStart w:id="333" w:name="_Toc30580"/>
      <w:bookmarkStart w:id="334" w:name="_Toc12181"/>
      <w:bookmarkStart w:id="335" w:name="_Toc32037"/>
      <w:bookmarkStart w:id="336" w:name="_Toc20143"/>
      <w:bookmarkStart w:id="337" w:name="_Toc463011271"/>
      <w:bookmarkStart w:id="338" w:name="_Toc270604820"/>
      <w:bookmarkStart w:id="339" w:name="_Toc428276586"/>
      <w:bookmarkStart w:id="340" w:name="_Toc428351646"/>
      <w:bookmarkStart w:id="341" w:name="_Toc454788026"/>
      <w:bookmarkStart w:id="342" w:name="_Toc76134467"/>
      <w:bookmarkStart w:id="343" w:name="_Toc6521"/>
      <w:bookmarkStart w:id="344" w:name="_Toc455678118"/>
      <w:r>
        <w:rPr>
          <w:rFonts w:hint="eastAsia" w:ascii="Times New Roman" w:hAnsi="Times New Roman"/>
          <w:bCs w:val="0"/>
          <w:color w:val="auto"/>
          <w:szCs w:val="20"/>
          <w:highlight w:val="none"/>
        </w:rPr>
        <w:t>磋商响应文件的组成</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0CAB2E2">
      <w:pPr>
        <w:pStyle w:val="147"/>
        <w:snapToGrid w:val="0"/>
        <w:spacing w:line="360" w:lineRule="auto"/>
        <w:ind w:left="540"/>
        <w:contextualSpacing/>
        <w:jc w:val="both"/>
        <w:rPr>
          <w:rFonts w:hAnsi="宋体" w:cs="黑体"/>
          <w:color w:val="auto"/>
          <w:sz w:val="21"/>
          <w:szCs w:val="21"/>
          <w:highlight w:val="none"/>
        </w:rPr>
      </w:pPr>
      <w:r>
        <w:rPr>
          <w:rFonts w:hint="eastAsia" w:hAnsi="宋体" w:cs="黑体"/>
          <w:color w:val="auto"/>
          <w:sz w:val="21"/>
          <w:szCs w:val="21"/>
          <w:highlight w:val="none"/>
        </w:rPr>
        <w:t>磋商响应文件应包括下列内容：</w:t>
      </w:r>
    </w:p>
    <w:p w14:paraId="391274F2">
      <w:pPr>
        <w:wordWrap/>
        <w:topLinePunct w:val="0"/>
        <w:autoSpaceDE w:val="0"/>
        <w:autoSpaceDN w:val="0"/>
        <w:adjustRightInd w:val="0"/>
        <w:spacing w:line="360" w:lineRule="auto"/>
        <w:ind w:left="420" w:right="40"/>
        <w:jc w:val="left"/>
        <w:rPr>
          <w:rFonts w:cs="微软雅黑"/>
          <w:color w:val="auto"/>
          <w:kern w:val="0"/>
          <w:highlight w:val="none"/>
        </w:rPr>
      </w:pPr>
      <w:bookmarkStart w:id="345" w:name="_Toc463011272"/>
      <w:bookmarkStart w:id="346" w:name="_Toc462934293"/>
      <w:bookmarkStart w:id="347" w:name="_Toc4803"/>
      <w:bookmarkStart w:id="348" w:name="_Toc22898"/>
      <w:bookmarkStart w:id="349" w:name="_Toc140"/>
      <w:bookmarkStart w:id="350" w:name="_Toc65662028"/>
      <w:bookmarkStart w:id="351" w:name="_Toc76134468"/>
      <w:bookmarkStart w:id="352" w:name="_Toc21496"/>
      <w:bookmarkStart w:id="353" w:name="_Toc455678119"/>
      <w:bookmarkStart w:id="354" w:name="_Toc4889"/>
      <w:bookmarkStart w:id="355" w:name="_Toc11969"/>
      <w:bookmarkStart w:id="356" w:name="_Toc269470314"/>
      <w:bookmarkStart w:id="357" w:name="_Toc270604822"/>
      <w:bookmarkStart w:id="358" w:name="_Toc270604595"/>
      <w:bookmarkStart w:id="359" w:name="_Toc277149384"/>
      <w:r>
        <w:rPr>
          <w:rFonts w:hint="eastAsia" w:cs="微软雅黑"/>
          <w:color w:val="auto"/>
          <w:kern w:val="0"/>
          <w:highlight w:val="none"/>
        </w:rPr>
        <w:t>（1）、报价函及报价函附录</w:t>
      </w:r>
    </w:p>
    <w:p w14:paraId="11A9468A">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（2）、法定代表人身份证明或授权委托书</w:t>
      </w:r>
    </w:p>
    <w:p w14:paraId="11D80248">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（3）、响应承诺函</w:t>
      </w:r>
    </w:p>
    <w:p w14:paraId="7C16B87D">
      <w:pPr>
        <w:wordWrap/>
        <w:topLinePunct w:val="0"/>
        <w:autoSpaceDE w:val="0"/>
        <w:autoSpaceDN w:val="0"/>
        <w:adjustRightInd w:val="0"/>
        <w:spacing w:line="360" w:lineRule="auto"/>
        <w:ind w:left="420" w:right="40"/>
        <w:jc w:val="left"/>
        <w:rPr>
          <w:color w:val="auto"/>
          <w:kern w:val="0"/>
          <w:highlight w:val="none"/>
        </w:rPr>
      </w:pPr>
      <w:r>
        <w:rPr>
          <w:rFonts w:hint="eastAsia" w:cs="微软雅黑"/>
          <w:color w:val="auto"/>
          <w:kern w:val="0"/>
          <w:highlight w:val="none"/>
        </w:rPr>
        <w:t>（</w:t>
      </w:r>
      <w:r>
        <w:rPr>
          <w:rFonts w:hint="eastAsia"/>
          <w:color w:val="auto"/>
          <w:kern w:val="0"/>
          <w:highlight w:val="none"/>
        </w:rPr>
        <w:t>4）、供应商资格证明文件</w:t>
      </w:r>
    </w:p>
    <w:p w14:paraId="6D80D6C9">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（5）、技术部分</w:t>
      </w:r>
    </w:p>
    <w:p w14:paraId="74A3CFBE">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（6）、商务部分</w:t>
      </w:r>
    </w:p>
    <w:p w14:paraId="116A1D16">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（7）、反商业贿赂承诺书</w:t>
      </w:r>
    </w:p>
    <w:p w14:paraId="0EDE47C0">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（8）、中小企业声明函</w:t>
      </w:r>
    </w:p>
    <w:p w14:paraId="458D9270">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（9）、残疾人福利性单位声明函</w:t>
      </w:r>
    </w:p>
    <w:p w14:paraId="77CD674A">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（10）、监狱企业证明文件</w:t>
      </w:r>
    </w:p>
    <w:p w14:paraId="2DA38FED">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（11）、其他资料</w:t>
      </w:r>
    </w:p>
    <w:p w14:paraId="39B875DB">
      <w:pPr>
        <w:pStyle w:val="4"/>
        <w:numPr>
          <w:ilvl w:val="1"/>
          <w:numId w:val="5"/>
        </w:numPr>
        <w:jc w:val="left"/>
        <w:rPr>
          <w:rFonts w:ascii="Times New Roman" w:hAnsi="Times New Roman"/>
          <w:bCs w:val="0"/>
          <w:color w:val="auto"/>
          <w:szCs w:val="20"/>
          <w:highlight w:val="none"/>
        </w:rPr>
      </w:pPr>
      <w:bookmarkStart w:id="360" w:name="_Toc19025"/>
      <w:r>
        <w:rPr>
          <w:rFonts w:hint="eastAsia" w:ascii="Times New Roman" w:hAnsi="Times New Roman"/>
          <w:bCs w:val="0"/>
          <w:color w:val="auto"/>
          <w:szCs w:val="20"/>
          <w:highlight w:val="none"/>
        </w:rPr>
        <w:t>磋商价格构成及报价要求</w:t>
      </w:r>
      <w:bookmarkEnd w:id="345"/>
      <w:bookmarkEnd w:id="346"/>
      <w:bookmarkEnd w:id="347"/>
      <w:bookmarkEnd w:id="348"/>
      <w:bookmarkEnd w:id="349"/>
      <w:bookmarkEnd w:id="350"/>
      <w:bookmarkEnd w:id="351"/>
      <w:bookmarkEnd w:id="352"/>
      <w:bookmarkEnd w:id="353"/>
      <w:bookmarkEnd w:id="354"/>
      <w:bookmarkEnd w:id="355"/>
      <w:bookmarkEnd w:id="360"/>
    </w:p>
    <w:p w14:paraId="0F126145">
      <w:pPr>
        <w:numPr>
          <w:ilvl w:val="2"/>
          <w:numId w:val="5"/>
        </w:numPr>
        <w:wordWrap/>
        <w:topLinePunct w:val="0"/>
        <w:spacing w:line="360" w:lineRule="auto"/>
        <w:ind w:firstLine="420" w:firstLineChars="200"/>
        <w:rPr>
          <w:rFonts w:cs="黑体"/>
          <w:color w:val="auto"/>
          <w:highlight w:val="none"/>
        </w:rPr>
      </w:pPr>
      <w:bookmarkStart w:id="361" w:name="_Toc428276588"/>
      <w:bookmarkStart w:id="362" w:name="_Toc454788028"/>
      <w:bookmarkStart w:id="363" w:name="_Toc17969"/>
      <w:bookmarkStart w:id="364" w:name="_Toc463011273"/>
      <w:bookmarkStart w:id="365" w:name="_Toc462934294"/>
      <w:bookmarkStart w:id="366" w:name="_Toc428351648"/>
      <w:bookmarkStart w:id="367" w:name="_Toc9193"/>
      <w:bookmarkStart w:id="368" w:name="_Toc58"/>
      <w:bookmarkStart w:id="369" w:name="_Toc455678120"/>
      <w:r>
        <w:rPr>
          <w:rFonts w:hint="eastAsia" w:cs="黑体"/>
          <w:color w:val="auto"/>
          <w:highlight w:val="none"/>
        </w:rPr>
        <w:t>供应商应按照竞争性磋商文件提供的响应文件报价表格式填写提供各项服务的报价。</w:t>
      </w:r>
    </w:p>
    <w:p w14:paraId="1551E1C5">
      <w:pPr>
        <w:numPr>
          <w:ilvl w:val="2"/>
          <w:numId w:val="5"/>
        </w:numPr>
        <w:wordWrap/>
        <w:topLinePunct w:val="0"/>
        <w:spacing w:line="360" w:lineRule="auto"/>
        <w:ind w:firstLine="420" w:firstLineChars="200"/>
        <w:rPr>
          <w:rFonts w:cs="黑体"/>
          <w:color w:val="auto"/>
          <w:highlight w:val="none"/>
        </w:rPr>
      </w:pPr>
      <w:r>
        <w:rPr>
          <w:rFonts w:hint="eastAsia"/>
          <w:color w:val="auto"/>
          <w:highlight w:val="none"/>
        </w:rPr>
        <w:t>磋商报价应是指满足采购需求所需的全部费用。磋商控制价：详</w:t>
      </w:r>
      <w:r>
        <w:rPr>
          <w:rFonts w:hint="eastAsia" w:cs="黑体"/>
          <w:color w:val="auto"/>
          <w:highlight w:val="none"/>
        </w:rPr>
        <w:t>见供应商须知前附表，若报价</w:t>
      </w:r>
      <w:r>
        <w:rPr>
          <w:rFonts w:hint="eastAsia"/>
          <w:color w:val="auto"/>
          <w:highlight w:val="none"/>
        </w:rPr>
        <w:t>超出磋商控制价的响应文件将不进入评审程序。</w:t>
      </w:r>
    </w:p>
    <w:p w14:paraId="19C2666C">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磋商报价应完全包括竞争性磋商文件规定的全部服务范围，不得任意分割或合并所规定的分项。</w:t>
      </w:r>
    </w:p>
    <w:p w14:paraId="72E0290A">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本项目的磋商报价应按照竞争性磋商文件、补充通知、答疑纪要、现场情况、承包范围，并充分考虑交货及安装期期间各类市场风险和国家政策性调整等风险系数，由各供应商根据自身情况，在合理范围内，自主考虑、优惠报价，但不得低于企业成本。</w:t>
      </w:r>
    </w:p>
    <w:p w14:paraId="470CB0DE">
      <w:pPr>
        <w:pStyle w:val="4"/>
        <w:numPr>
          <w:ilvl w:val="1"/>
          <w:numId w:val="5"/>
        </w:numPr>
        <w:jc w:val="left"/>
        <w:rPr>
          <w:rFonts w:ascii="Times New Roman" w:hAnsi="Times New Roman"/>
          <w:bCs w:val="0"/>
          <w:color w:val="auto"/>
          <w:szCs w:val="20"/>
          <w:highlight w:val="none"/>
        </w:rPr>
      </w:pPr>
      <w:bookmarkStart w:id="370" w:name="_Toc315"/>
      <w:bookmarkStart w:id="371" w:name="_Toc65662029"/>
      <w:bookmarkStart w:id="372" w:name="_Toc5303"/>
      <w:bookmarkStart w:id="373" w:name="_Toc76134469"/>
      <w:bookmarkStart w:id="374" w:name="_Toc16134"/>
      <w:bookmarkStart w:id="375" w:name="_Toc5505"/>
      <w:r>
        <w:rPr>
          <w:rFonts w:hint="eastAsia" w:ascii="Times New Roman" w:hAnsi="Times New Roman"/>
          <w:bCs w:val="0"/>
          <w:color w:val="auto"/>
          <w:szCs w:val="20"/>
          <w:highlight w:val="none"/>
        </w:rPr>
        <w:t>磋商有效期</w:t>
      </w:r>
      <w:bookmarkEnd w:id="356"/>
      <w:bookmarkEnd w:id="357"/>
      <w:bookmarkEnd w:id="358"/>
      <w:bookmarkEnd w:id="359"/>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613F50E">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磋商有效期见供应商须知前附表，从提交首次响应文件的截止之日起算。</w:t>
      </w:r>
    </w:p>
    <w:p w14:paraId="503B73F7">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在磋商有效期内，供应商撤销响应文件的，应承担竞争性磋商文件和法律规定的责任。</w:t>
      </w:r>
    </w:p>
    <w:p w14:paraId="2C504254">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出现特殊情况需要延长磋商有效期的，采购人以书面形式通知所有供应商延长磋商有效期。供应商应予以书面答复，但不得要求或被允许修改其响应文件；供应商拒绝延长的，其磋商失效。</w:t>
      </w:r>
    </w:p>
    <w:p w14:paraId="5F454F2C">
      <w:pPr>
        <w:pStyle w:val="4"/>
        <w:numPr>
          <w:ilvl w:val="1"/>
          <w:numId w:val="5"/>
        </w:numPr>
        <w:jc w:val="left"/>
        <w:rPr>
          <w:rFonts w:ascii="Times New Roman" w:hAnsi="Times New Roman"/>
          <w:bCs w:val="0"/>
          <w:color w:val="auto"/>
          <w:szCs w:val="20"/>
          <w:highlight w:val="none"/>
        </w:rPr>
      </w:pPr>
      <w:bookmarkStart w:id="376" w:name="_Toc428276589"/>
      <w:bookmarkStart w:id="377" w:name="_Toc15074"/>
      <w:bookmarkStart w:id="378" w:name="_Toc12642"/>
      <w:bookmarkStart w:id="379" w:name="_Toc428351649"/>
      <w:bookmarkStart w:id="380" w:name="_Toc463011274"/>
      <w:bookmarkStart w:id="381" w:name="_Toc23856"/>
      <w:bookmarkStart w:id="382" w:name="_Toc25039"/>
      <w:bookmarkStart w:id="383" w:name="_Toc454788029"/>
      <w:bookmarkStart w:id="384" w:name="_Toc455678121"/>
      <w:bookmarkStart w:id="385" w:name="_Toc462934295"/>
      <w:bookmarkStart w:id="386" w:name="_Toc65662030"/>
      <w:bookmarkStart w:id="387" w:name="_Toc11640"/>
      <w:bookmarkStart w:id="388" w:name="_Toc31948"/>
      <w:bookmarkStart w:id="389" w:name="_Toc31742"/>
      <w:bookmarkStart w:id="390" w:name="_Toc76134470"/>
      <w:r>
        <w:rPr>
          <w:rFonts w:hint="eastAsia" w:ascii="Times New Roman" w:hAnsi="Times New Roman"/>
          <w:bCs w:val="0"/>
          <w:color w:val="auto"/>
          <w:szCs w:val="20"/>
          <w:highlight w:val="none"/>
        </w:rPr>
        <w:t>磋商保证金</w:t>
      </w:r>
      <w:bookmarkEnd w:id="376"/>
      <w:bookmarkEnd w:id="377"/>
      <w:bookmarkEnd w:id="378"/>
      <w:bookmarkEnd w:id="379"/>
      <w:bookmarkEnd w:id="380"/>
      <w:bookmarkEnd w:id="381"/>
      <w:bookmarkEnd w:id="382"/>
      <w:bookmarkEnd w:id="383"/>
      <w:bookmarkEnd w:id="384"/>
      <w:bookmarkEnd w:id="385"/>
      <w:r>
        <w:rPr>
          <w:rFonts w:hint="eastAsia" w:cs="仿宋_GB2312"/>
          <w:color w:val="auto"/>
          <w:kern w:val="0"/>
          <w:highlight w:val="none"/>
        </w:rPr>
        <w:t>（本项目不适用）</w:t>
      </w:r>
      <w:bookmarkEnd w:id="386"/>
      <w:bookmarkEnd w:id="387"/>
      <w:bookmarkEnd w:id="388"/>
      <w:bookmarkEnd w:id="389"/>
      <w:bookmarkEnd w:id="390"/>
    </w:p>
    <w:p w14:paraId="58DBD508">
      <w:pPr>
        <w:pStyle w:val="4"/>
        <w:numPr>
          <w:ilvl w:val="1"/>
          <w:numId w:val="5"/>
        </w:numPr>
        <w:jc w:val="left"/>
        <w:rPr>
          <w:rFonts w:ascii="Times New Roman" w:hAnsi="Times New Roman"/>
          <w:bCs w:val="0"/>
          <w:color w:val="auto"/>
          <w:szCs w:val="20"/>
          <w:highlight w:val="none"/>
        </w:rPr>
      </w:pPr>
      <w:bookmarkStart w:id="391" w:name="_Toc32308"/>
      <w:bookmarkStart w:id="392" w:name="_Toc4446"/>
      <w:bookmarkStart w:id="393" w:name="_Toc269470318"/>
      <w:bookmarkStart w:id="394" w:name="_Toc270604596"/>
      <w:bookmarkStart w:id="395" w:name="_Toc76134471"/>
      <w:bookmarkStart w:id="396" w:name="_Toc7919"/>
      <w:bookmarkStart w:id="397" w:name="_Toc454788030"/>
      <w:bookmarkStart w:id="398" w:name="_Toc455678122"/>
      <w:bookmarkStart w:id="399" w:name="_Toc462934296"/>
      <w:bookmarkStart w:id="400" w:name="_Toc277149385"/>
      <w:bookmarkStart w:id="401" w:name="_Toc463011275"/>
      <w:bookmarkStart w:id="402" w:name="_Toc15159"/>
      <w:bookmarkStart w:id="403" w:name="_Toc6322"/>
      <w:bookmarkStart w:id="404" w:name="_Toc428276590"/>
      <w:bookmarkStart w:id="405" w:name="_Toc428351650"/>
      <w:bookmarkStart w:id="406" w:name="_Toc13199"/>
      <w:bookmarkStart w:id="407" w:name="_Toc65662031"/>
      <w:bookmarkStart w:id="408" w:name="_Toc270604823"/>
      <w:bookmarkStart w:id="409" w:name="_Toc24993"/>
      <w:r>
        <w:rPr>
          <w:rFonts w:hint="eastAsia" w:ascii="Times New Roman" w:hAnsi="Times New Roman"/>
          <w:bCs w:val="0"/>
          <w:color w:val="auto"/>
          <w:szCs w:val="20"/>
          <w:highlight w:val="none"/>
        </w:rPr>
        <w:t>磋商响应文件的编制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10B660B">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响应文件应按第六章磋商响应文件格式进行编写，如有必要，可以增加附页，作为磋商响应文件的组成部分。其中，报价函附录在满足竞争性磋商文件实质性要求的基础上，可以提出比竞争性磋商文件要求更有利于采购人的承诺。</w:t>
      </w:r>
    </w:p>
    <w:p w14:paraId="44A998A1">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磋商响应文件应当对竞争性磋商文件有关磋商报价、交货及安装期、磋商有效期、质量要求等实质性内容作出响应。</w:t>
      </w:r>
    </w:p>
    <w:p w14:paraId="570D00B8">
      <w:pPr>
        <w:wordWrap/>
        <w:topLinePunct w:val="0"/>
        <w:snapToGrid w:val="0"/>
        <w:spacing w:line="360" w:lineRule="auto"/>
        <w:ind w:firstLine="420" w:firstLineChars="200"/>
        <w:contextualSpacing/>
        <w:rPr>
          <w:color w:val="auto"/>
          <w:highlight w:val="none"/>
        </w:rPr>
      </w:pPr>
      <w:r>
        <w:rPr>
          <w:rFonts w:hint="eastAsia"/>
          <w:color w:val="auto"/>
          <w:highlight w:val="none"/>
        </w:rPr>
        <w:t>3.5.3 磋商响应文件全部采用电子文档，除供应商须知前附表另有规定外，响应文件所附证书证件均为原件扫描件。由供应商的法定代表人（单位负责人）签字或加盖电子印章的，应附法定代表人（单位负责人）身份证明，由代理人签字或加盖电子印章的，应附由法定代表人（单位负责人）签署的授权委托书。签字或盖章的具体要求见第六章《磋商响应文件格式》。</w:t>
      </w:r>
    </w:p>
    <w:p w14:paraId="38DB9498">
      <w:pPr>
        <w:pStyle w:val="147"/>
        <w:numPr>
          <w:ilvl w:val="0"/>
          <w:numId w:val="5"/>
        </w:numPr>
        <w:tabs>
          <w:tab w:val="left" w:pos="360"/>
        </w:tabs>
        <w:snapToGrid w:val="0"/>
        <w:spacing w:line="360" w:lineRule="auto"/>
        <w:contextualSpacing/>
        <w:jc w:val="both"/>
        <w:outlineLvl w:val="1"/>
        <w:rPr>
          <w:rStyle w:val="64"/>
          <w:color w:val="auto"/>
          <w:highlight w:val="none"/>
        </w:rPr>
      </w:pPr>
      <w:bookmarkStart w:id="410" w:name="_Toc22207"/>
      <w:bookmarkStart w:id="411" w:name="_Toc17849"/>
      <w:bookmarkStart w:id="412" w:name="_Toc6530"/>
      <w:bookmarkStart w:id="413" w:name="_Toc32420"/>
      <w:bookmarkStart w:id="414" w:name="_Toc19347"/>
      <w:bookmarkStart w:id="415" w:name="_Toc76134472"/>
      <w:bookmarkStart w:id="416" w:name="_Toc65662032"/>
      <w:bookmarkStart w:id="417" w:name="_Toc12187"/>
      <w:r>
        <w:rPr>
          <w:rStyle w:val="64"/>
          <w:rFonts w:hint="eastAsia"/>
          <w:color w:val="auto"/>
          <w:highlight w:val="none"/>
        </w:rPr>
        <w:t>响应文件的递交</w:t>
      </w:r>
      <w:bookmarkEnd w:id="410"/>
      <w:bookmarkEnd w:id="411"/>
      <w:bookmarkEnd w:id="412"/>
      <w:bookmarkEnd w:id="413"/>
      <w:bookmarkEnd w:id="414"/>
      <w:bookmarkEnd w:id="415"/>
      <w:bookmarkEnd w:id="416"/>
      <w:bookmarkEnd w:id="417"/>
    </w:p>
    <w:p w14:paraId="566C76BC">
      <w:pPr>
        <w:pStyle w:val="4"/>
        <w:numPr>
          <w:ilvl w:val="1"/>
          <w:numId w:val="5"/>
        </w:numPr>
        <w:jc w:val="left"/>
        <w:rPr>
          <w:rFonts w:ascii="Times New Roman" w:hAnsi="Times New Roman"/>
          <w:bCs w:val="0"/>
          <w:color w:val="auto"/>
          <w:szCs w:val="20"/>
          <w:highlight w:val="none"/>
        </w:rPr>
      </w:pPr>
      <w:bookmarkStart w:id="418" w:name="_Toc14828"/>
      <w:bookmarkStart w:id="419" w:name="_Toc270604598"/>
      <w:bookmarkStart w:id="420" w:name="_Toc21528"/>
      <w:bookmarkStart w:id="421" w:name="_Toc455678124"/>
      <w:bookmarkStart w:id="422" w:name="_Toc463011277"/>
      <w:bookmarkStart w:id="423" w:name="_Toc31608"/>
      <w:bookmarkStart w:id="424" w:name="_Toc277149387"/>
      <w:bookmarkStart w:id="425" w:name="_Toc269470320"/>
      <w:bookmarkStart w:id="426" w:name="_Toc428276592"/>
      <w:bookmarkStart w:id="427" w:name="_Toc454788032"/>
      <w:bookmarkStart w:id="428" w:name="_Toc462934298"/>
      <w:bookmarkStart w:id="429" w:name="_Toc270604825"/>
      <w:bookmarkStart w:id="430" w:name="_Toc428351652"/>
      <w:bookmarkStart w:id="431" w:name="_Toc27477"/>
      <w:bookmarkStart w:id="432" w:name="_Toc29466"/>
      <w:bookmarkStart w:id="433" w:name="_Toc76134473"/>
      <w:bookmarkStart w:id="434" w:name="_Toc31778"/>
      <w:bookmarkStart w:id="435" w:name="_Toc65662033"/>
      <w:bookmarkStart w:id="436" w:name="_Toc25744"/>
      <w:r>
        <w:rPr>
          <w:rFonts w:hint="eastAsia" w:ascii="Times New Roman" w:hAnsi="Times New Roman"/>
          <w:bCs w:val="0"/>
          <w:color w:val="auto"/>
          <w:szCs w:val="20"/>
          <w:highlight w:val="none"/>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Times New Roman" w:hAnsi="Times New Roman"/>
          <w:bCs w:val="0"/>
          <w:color w:val="auto"/>
          <w:szCs w:val="20"/>
          <w:highlight w:val="none"/>
        </w:rPr>
        <w:t>加密</w:t>
      </w:r>
      <w:bookmarkEnd w:id="432"/>
      <w:bookmarkEnd w:id="433"/>
      <w:bookmarkEnd w:id="434"/>
      <w:bookmarkEnd w:id="435"/>
      <w:bookmarkEnd w:id="436"/>
    </w:p>
    <w:p w14:paraId="321ECEDE">
      <w:pPr>
        <w:wordWrap/>
        <w:topLinePunct w:val="0"/>
        <w:autoSpaceDE w:val="0"/>
        <w:autoSpaceDN w:val="0"/>
        <w:adjustRightInd w:val="0"/>
        <w:spacing w:line="360" w:lineRule="auto"/>
        <w:ind w:right="-20" w:firstLine="420" w:firstLineChars="200"/>
        <w:jc w:val="left"/>
        <w:rPr>
          <w:rFonts w:cs="黑体"/>
          <w:color w:val="auto"/>
          <w:highlight w:val="none"/>
        </w:rPr>
      </w:pPr>
      <w:r>
        <w:rPr>
          <w:rFonts w:hint="eastAsia" w:cs="黑体"/>
          <w:color w:val="auto"/>
          <w:highlight w:val="none"/>
        </w:rPr>
        <w:t xml:space="preserve">供应商应当按照竞争性磋商文件和电子招标投标交易平台的要求加密响应文件，具体要求见供应商须知前附表。 </w:t>
      </w:r>
    </w:p>
    <w:p w14:paraId="1CEF5840">
      <w:pPr>
        <w:pStyle w:val="4"/>
        <w:numPr>
          <w:ilvl w:val="1"/>
          <w:numId w:val="5"/>
        </w:numPr>
        <w:jc w:val="left"/>
        <w:rPr>
          <w:rFonts w:ascii="Times New Roman" w:hAnsi="Times New Roman"/>
          <w:bCs w:val="0"/>
          <w:color w:val="auto"/>
          <w:szCs w:val="20"/>
          <w:highlight w:val="none"/>
        </w:rPr>
      </w:pPr>
      <w:bookmarkStart w:id="437" w:name="_Toc277149388"/>
      <w:bookmarkStart w:id="438" w:name="_Toc20478"/>
      <w:bookmarkStart w:id="439" w:name="_Toc455678125"/>
      <w:bookmarkStart w:id="440" w:name="_Toc454788033"/>
      <w:bookmarkStart w:id="441" w:name="_Toc463011278"/>
      <w:bookmarkStart w:id="442" w:name="_Toc29868"/>
      <w:bookmarkStart w:id="443" w:name="_Toc428351653"/>
      <w:bookmarkStart w:id="444" w:name="_Toc5938"/>
      <w:bookmarkStart w:id="445" w:name="_Toc269470321"/>
      <w:bookmarkStart w:id="446" w:name="_Toc28621"/>
      <w:bookmarkStart w:id="447" w:name="_Toc65662034"/>
      <w:bookmarkStart w:id="448" w:name="_Toc428276593"/>
      <w:bookmarkStart w:id="449" w:name="_Toc270604599"/>
      <w:bookmarkStart w:id="450" w:name="_Toc76134474"/>
      <w:bookmarkStart w:id="451" w:name="_Toc462934299"/>
      <w:bookmarkStart w:id="452" w:name="_Toc270604826"/>
      <w:bookmarkStart w:id="453" w:name="_Toc29167"/>
      <w:bookmarkStart w:id="454" w:name="_Toc20197"/>
      <w:bookmarkStart w:id="455" w:name="_Toc22897"/>
      <w:r>
        <w:rPr>
          <w:rFonts w:hint="eastAsia" w:ascii="Times New Roman" w:hAnsi="Times New Roman"/>
          <w:bCs w:val="0"/>
          <w:color w:val="auto"/>
          <w:szCs w:val="20"/>
          <w:highlight w:val="none"/>
        </w:rPr>
        <w:t>磋商响应文件的递交</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AFD041A">
      <w:pPr>
        <w:wordWrap/>
        <w:topLinePunct w:val="0"/>
        <w:autoSpaceDE w:val="0"/>
        <w:autoSpaceDN w:val="0"/>
        <w:adjustRightInd w:val="0"/>
        <w:spacing w:line="360" w:lineRule="auto"/>
        <w:ind w:right="-20" w:firstLine="420" w:firstLineChars="200"/>
        <w:jc w:val="left"/>
        <w:rPr>
          <w:color w:val="auto"/>
          <w:kern w:val="0"/>
          <w:highlight w:val="none"/>
        </w:rPr>
      </w:pPr>
      <w:r>
        <w:rPr>
          <w:rFonts w:hint="eastAsia" w:cs="黑体"/>
          <w:color w:val="auto"/>
          <w:highlight w:val="none"/>
        </w:rPr>
        <w:t xml:space="preserve">4.2.1 </w:t>
      </w:r>
      <w:r>
        <w:rPr>
          <w:rFonts w:hint="eastAsia"/>
          <w:color w:val="auto"/>
          <w:highlight w:val="none"/>
        </w:rPr>
        <w:t>供应商</w:t>
      </w:r>
      <w:r>
        <w:rPr>
          <w:rFonts w:hint="eastAsia"/>
          <w:color w:val="auto"/>
          <w:spacing w:val="-2"/>
          <w:kern w:val="0"/>
          <w:highlight w:val="none"/>
        </w:rPr>
        <w:t>应</w:t>
      </w:r>
      <w:r>
        <w:rPr>
          <w:rFonts w:hint="eastAsia"/>
          <w:color w:val="auto"/>
          <w:kern w:val="0"/>
          <w:highlight w:val="none"/>
        </w:rPr>
        <w:t>在</w:t>
      </w:r>
      <w:r>
        <w:rPr>
          <w:rFonts w:hint="eastAsia"/>
          <w:color w:val="auto"/>
          <w:spacing w:val="-2"/>
          <w:kern w:val="0"/>
          <w:highlight w:val="none"/>
        </w:rPr>
        <w:t>供应商须</w:t>
      </w:r>
      <w:r>
        <w:rPr>
          <w:rFonts w:hint="eastAsia"/>
          <w:color w:val="auto"/>
          <w:kern w:val="0"/>
          <w:highlight w:val="none"/>
        </w:rPr>
        <w:t>知前</w:t>
      </w:r>
      <w:r>
        <w:rPr>
          <w:rFonts w:hint="eastAsia"/>
          <w:color w:val="auto"/>
          <w:spacing w:val="-2"/>
          <w:kern w:val="0"/>
          <w:highlight w:val="none"/>
        </w:rPr>
        <w:t>附</w:t>
      </w:r>
      <w:r>
        <w:rPr>
          <w:rFonts w:hint="eastAsia"/>
          <w:color w:val="auto"/>
          <w:kern w:val="0"/>
          <w:highlight w:val="none"/>
        </w:rPr>
        <w:t>表</w:t>
      </w:r>
      <w:r>
        <w:rPr>
          <w:rFonts w:hint="eastAsia"/>
          <w:color w:val="auto"/>
          <w:spacing w:val="-2"/>
          <w:kern w:val="0"/>
          <w:highlight w:val="none"/>
        </w:rPr>
        <w:t>规</w:t>
      </w:r>
      <w:r>
        <w:rPr>
          <w:rFonts w:hint="eastAsia"/>
          <w:color w:val="auto"/>
          <w:kern w:val="0"/>
          <w:highlight w:val="none"/>
        </w:rPr>
        <w:t>定</w:t>
      </w:r>
      <w:r>
        <w:rPr>
          <w:rFonts w:hint="eastAsia"/>
          <w:color w:val="auto"/>
          <w:spacing w:val="-2"/>
          <w:kern w:val="0"/>
          <w:highlight w:val="none"/>
        </w:rPr>
        <w:t>的提交首次</w:t>
      </w:r>
      <w:r>
        <w:rPr>
          <w:rFonts w:hint="eastAsia"/>
          <w:color w:val="auto"/>
          <w:kern w:val="0"/>
          <w:highlight w:val="none"/>
        </w:rPr>
        <w:t>响应文件截</w:t>
      </w:r>
      <w:r>
        <w:rPr>
          <w:rFonts w:hint="eastAsia"/>
          <w:color w:val="auto"/>
          <w:spacing w:val="-2"/>
          <w:kern w:val="0"/>
          <w:highlight w:val="none"/>
        </w:rPr>
        <w:t>止</w:t>
      </w:r>
      <w:r>
        <w:rPr>
          <w:rFonts w:hint="eastAsia"/>
          <w:color w:val="auto"/>
          <w:kern w:val="0"/>
          <w:highlight w:val="none"/>
        </w:rPr>
        <w:t>时间</w:t>
      </w:r>
      <w:r>
        <w:rPr>
          <w:rFonts w:hint="eastAsia"/>
          <w:color w:val="auto"/>
          <w:spacing w:val="-2"/>
          <w:kern w:val="0"/>
          <w:highlight w:val="none"/>
        </w:rPr>
        <w:t>前递交</w:t>
      </w:r>
      <w:r>
        <w:rPr>
          <w:rFonts w:hint="eastAsia"/>
          <w:color w:val="auto"/>
          <w:kern w:val="0"/>
          <w:highlight w:val="none"/>
        </w:rPr>
        <w:t>响应文</w:t>
      </w:r>
      <w:r>
        <w:rPr>
          <w:rFonts w:hint="eastAsia"/>
          <w:color w:val="auto"/>
          <w:spacing w:val="-2"/>
          <w:kern w:val="0"/>
          <w:highlight w:val="none"/>
        </w:rPr>
        <w:t>件</w:t>
      </w:r>
      <w:r>
        <w:rPr>
          <w:rFonts w:hint="eastAsia"/>
          <w:color w:val="auto"/>
          <w:kern w:val="0"/>
          <w:highlight w:val="none"/>
        </w:rPr>
        <w:t>。</w:t>
      </w:r>
    </w:p>
    <w:p w14:paraId="468529CF">
      <w:pPr>
        <w:wordWrap/>
        <w:topLinePunct w:val="0"/>
        <w:autoSpaceDE w:val="0"/>
        <w:autoSpaceDN w:val="0"/>
        <w:adjustRightInd w:val="0"/>
        <w:spacing w:line="360" w:lineRule="auto"/>
        <w:ind w:right="-20" w:firstLine="420" w:firstLineChars="200"/>
        <w:jc w:val="left"/>
        <w:rPr>
          <w:color w:val="auto"/>
          <w:highlight w:val="none"/>
        </w:rPr>
      </w:pPr>
      <w:r>
        <w:rPr>
          <w:rFonts w:hint="eastAsia" w:cs="黑体"/>
          <w:color w:val="auto"/>
          <w:highlight w:val="none"/>
        </w:rPr>
        <w:t xml:space="preserve">4.2.2 </w:t>
      </w:r>
      <w:r>
        <w:rPr>
          <w:rFonts w:hint="eastAsia"/>
          <w:color w:val="auto"/>
          <w:kern w:val="0"/>
          <w:highlight w:val="none"/>
        </w:rPr>
        <w:t>供应商递</w:t>
      </w:r>
      <w:r>
        <w:rPr>
          <w:rFonts w:hint="eastAsia"/>
          <w:color w:val="auto"/>
          <w:spacing w:val="-2"/>
          <w:kern w:val="0"/>
          <w:highlight w:val="none"/>
        </w:rPr>
        <w:t>交响应</w:t>
      </w:r>
      <w:r>
        <w:rPr>
          <w:rFonts w:hint="eastAsia"/>
          <w:color w:val="auto"/>
          <w:kern w:val="0"/>
          <w:highlight w:val="none"/>
        </w:rPr>
        <w:t>文</w:t>
      </w:r>
      <w:r>
        <w:rPr>
          <w:rFonts w:hint="eastAsia"/>
          <w:color w:val="auto"/>
          <w:spacing w:val="-2"/>
          <w:kern w:val="0"/>
          <w:highlight w:val="none"/>
        </w:rPr>
        <w:t>件</w:t>
      </w:r>
      <w:r>
        <w:rPr>
          <w:rFonts w:hint="eastAsia"/>
          <w:color w:val="auto"/>
          <w:kern w:val="0"/>
          <w:highlight w:val="none"/>
        </w:rPr>
        <w:t>的</w:t>
      </w:r>
      <w:r>
        <w:rPr>
          <w:rFonts w:hint="eastAsia"/>
          <w:color w:val="auto"/>
          <w:spacing w:val="-2"/>
          <w:kern w:val="0"/>
          <w:highlight w:val="none"/>
        </w:rPr>
        <w:t>地</w:t>
      </w:r>
      <w:r>
        <w:rPr>
          <w:rFonts w:hint="eastAsia"/>
          <w:color w:val="auto"/>
          <w:kern w:val="0"/>
          <w:highlight w:val="none"/>
        </w:rPr>
        <w:t>点</w:t>
      </w:r>
      <w:r>
        <w:rPr>
          <w:rFonts w:hint="eastAsia"/>
          <w:color w:val="auto"/>
          <w:spacing w:val="-2"/>
          <w:kern w:val="0"/>
          <w:highlight w:val="none"/>
        </w:rPr>
        <w:t>：</w:t>
      </w:r>
      <w:r>
        <w:rPr>
          <w:rFonts w:hint="eastAsia"/>
          <w:color w:val="auto"/>
          <w:kern w:val="0"/>
          <w:highlight w:val="none"/>
        </w:rPr>
        <w:t>通</w:t>
      </w:r>
      <w:r>
        <w:rPr>
          <w:rFonts w:hint="eastAsia"/>
          <w:color w:val="auto"/>
          <w:spacing w:val="-2"/>
          <w:kern w:val="0"/>
          <w:highlight w:val="none"/>
        </w:rPr>
        <w:t>过下</w:t>
      </w:r>
      <w:r>
        <w:rPr>
          <w:rFonts w:hint="eastAsia"/>
          <w:color w:val="auto"/>
          <w:kern w:val="0"/>
          <w:highlight w:val="none"/>
        </w:rPr>
        <w:t>载竞争性磋商文</w:t>
      </w:r>
      <w:r>
        <w:rPr>
          <w:rFonts w:hint="eastAsia"/>
          <w:color w:val="auto"/>
          <w:spacing w:val="-2"/>
          <w:kern w:val="0"/>
          <w:highlight w:val="none"/>
        </w:rPr>
        <w:t>件</w:t>
      </w:r>
      <w:r>
        <w:rPr>
          <w:rFonts w:hint="eastAsia"/>
          <w:color w:val="auto"/>
          <w:kern w:val="0"/>
          <w:highlight w:val="none"/>
        </w:rPr>
        <w:t>的</w:t>
      </w:r>
      <w:r>
        <w:rPr>
          <w:rFonts w:hint="eastAsia"/>
          <w:color w:val="auto"/>
          <w:spacing w:val="-2"/>
          <w:kern w:val="0"/>
          <w:highlight w:val="none"/>
        </w:rPr>
        <w:t>电</w:t>
      </w:r>
      <w:r>
        <w:rPr>
          <w:rFonts w:hint="eastAsia"/>
          <w:color w:val="auto"/>
          <w:kern w:val="0"/>
          <w:highlight w:val="none"/>
        </w:rPr>
        <w:t>子</w:t>
      </w:r>
      <w:r>
        <w:rPr>
          <w:rFonts w:hint="eastAsia"/>
          <w:color w:val="auto"/>
          <w:spacing w:val="-2"/>
          <w:kern w:val="0"/>
          <w:highlight w:val="none"/>
        </w:rPr>
        <w:t>招</w:t>
      </w:r>
      <w:r>
        <w:rPr>
          <w:rFonts w:hint="eastAsia"/>
          <w:color w:val="auto"/>
          <w:kern w:val="0"/>
          <w:highlight w:val="none"/>
        </w:rPr>
        <w:t>标</w:t>
      </w:r>
      <w:r>
        <w:rPr>
          <w:rFonts w:hint="eastAsia"/>
          <w:color w:val="auto"/>
          <w:spacing w:val="-2"/>
          <w:kern w:val="0"/>
          <w:highlight w:val="none"/>
        </w:rPr>
        <w:t>投</w:t>
      </w:r>
      <w:r>
        <w:rPr>
          <w:rFonts w:hint="eastAsia"/>
          <w:color w:val="auto"/>
          <w:kern w:val="0"/>
          <w:highlight w:val="none"/>
        </w:rPr>
        <w:t>标交</w:t>
      </w:r>
      <w:r>
        <w:rPr>
          <w:rFonts w:hint="eastAsia"/>
          <w:color w:val="auto"/>
          <w:spacing w:val="-2"/>
          <w:kern w:val="0"/>
          <w:highlight w:val="none"/>
        </w:rPr>
        <w:t>易</w:t>
      </w:r>
      <w:r>
        <w:rPr>
          <w:rFonts w:hint="eastAsia"/>
          <w:color w:val="auto"/>
          <w:kern w:val="0"/>
          <w:highlight w:val="none"/>
        </w:rPr>
        <w:t>平</w:t>
      </w:r>
      <w:r>
        <w:rPr>
          <w:rFonts w:hint="eastAsia"/>
          <w:color w:val="auto"/>
          <w:spacing w:val="-2"/>
          <w:kern w:val="0"/>
          <w:highlight w:val="none"/>
        </w:rPr>
        <w:t>台</w:t>
      </w:r>
      <w:r>
        <w:rPr>
          <w:rFonts w:hint="eastAsia"/>
          <w:color w:val="auto"/>
          <w:kern w:val="0"/>
          <w:highlight w:val="none"/>
        </w:rPr>
        <w:t>递</w:t>
      </w:r>
      <w:r>
        <w:rPr>
          <w:rFonts w:hint="eastAsia"/>
          <w:color w:val="auto"/>
          <w:spacing w:val="-2"/>
          <w:kern w:val="0"/>
          <w:highlight w:val="none"/>
        </w:rPr>
        <w:t>交</w:t>
      </w:r>
      <w:r>
        <w:rPr>
          <w:rFonts w:hint="eastAsia"/>
          <w:color w:val="auto"/>
          <w:kern w:val="0"/>
          <w:highlight w:val="none"/>
        </w:rPr>
        <w:t>电</w:t>
      </w:r>
      <w:r>
        <w:rPr>
          <w:rFonts w:hint="eastAsia"/>
          <w:color w:val="auto"/>
          <w:spacing w:val="-2"/>
          <w:kern w:val="0"/>
          <w:highlight w:val="none"/>
        </w:rPr>
        <w:t>子</w:t>
      </w:r>
      <w:r>
        <w:rPr>
          <w:rFonts w:hint="eastAsia"/>
          <w:color w:val="auto"/>
          <w:kern w:val="0"/>
          <w:highlight w:val="none"/>
        </w:rPr>
        <w:t>响应文件并进行现场解密，远程解密地点详见《供应商须知前附表》。</w:t>
      </w:r>
    </w:p>
    <w:p w14:paraId="7502FFEA">
      <w:pPr>
        <w:wordWrap/>
        <w:topLinePunct w:val="0"/>
        <w:autoSpaceDE w:val="0"/>
        <w:autoSpaceDN w:val="0"/>
        <w:adjustRightInd w:val="0"/>
        <w:spacing w:line="360" w:lineRule="auto"/>
        <w:ind w:right="-20" w:firstLine="420" w:firstLineChars="200"/>
        <w:jc w:val="left"/>
        <w:rPr>
          <w:color w:val="auto"/>
          <w:kern w:val="0"/>
          <w:highlight w:val="none"/>
        </w:rPr>
      </w:pPr>
      <w:r>
        <w:rPr>
          <w:rFonts w:hint="eastAsia" w:cs="黑体"/>
          <w:color w:val="auto"/>
          <w:highlight w:val="none"/>
        </w:rPr>
        <w:t>4.2.3</w:t>
      </w:r>
      <w:r>
        <w:rPr>
          <w:rFonts w:hint="eastAsia"/>
          <w:color w:val="auto"/>
          <w:kern w:val="0"/>
          <w:highlight w:val="none"/>
        </w:rPr>
        <w:t xml:space="preserve"> 除</w:t>
      </w:r>
      <w:r>
        <w:rPr>
          <w:rFonts w:hint="eastAsia"/>
          <w:color w:val="auto"/>
          <w:spacing w:val="-2"/>
          <w:kern w:val="0"/>
          <w:highlight w:val="none"/>
        </w:rPr>
        <w:t>供应商</w:t>
      </w:r>
      <w:r>
        <w:rPr>
          <w:rFonts w:hint="eastAsia"/>
          <w:color w:val="auto"/>
          <w:kern w:val="0"/>
          <w:highlight w:val="none"/>
        </w:rPr>
        <w:t>须</w:t>
      </w:r>
      <w:r>
        <w:rPr>
          <w:rFonts w:hint="eastAsia"/>
          <w:color w:val="auto"/>
          <w:spacing w:val="-2"/>
          <w:kern w:val="0"/>
          <w:highlight w:val="none"/>
        </w:rPr>
        <w:t>知</w:t>
      </w:r>
      <w:r>
        <w:rPr>
          <w:rFonts w:hint="eastAsia"/>
          <w:color w:val="auto"/>
          <w:kern w:val="0"/>
          <w:highlight w:val="none"/>
        </w:rPr>
        <w:t>前</w:t>
      </w:r>
      <w:r>
        <w:rPr>
          <w:rFonts w:hint="eastAsia"/>
          <w:color w:val="auto"/>
          <w:spacing w:val="-2"/>
          <w:kern w:val="0"/>
          <w:highlight w:val="none"/>
        </w:rPr>
        <w:t>附表</w:t>
      </w:r>
      <w:r>
        <w:rPr>
          <w:rFonts w:hint="eastAsia"/>
          <w:color w:val="auto"/>
          <w:kern w:val="0"/>
          <w:highlight w:val="none"/>
        </w:rPr>
        <w:t>另有</w:t>
      </w:r>
      <w:r>
        <w:rPr>
          <w:rFonts w:hint="eastAsia"/>
          <w:color w:val="auto"/>
          <w:spacing w:val="-2"/>
          <w:kern w:val="0"/>
          <w:highlight w:val="none"/>
        </w:rPr>
        <w:t>规</w:t>
      </w:r>
      <w:r>
        <w:rPr>
          <w:rFonts w:hint="eastAsia"/>
          <w:color w:val="auto"/>
          <w:kern w:val="0"/>
          <w:highlight w:val="none"/>
        </w:rPr>
        <w:t>定</w:t>
      </w:r>
      <w:r>
        <w:rPr>
          <w:rFonts w:hint="eastAsia"/>
          <w:color w:val="auto"/>
          <w:spacing w:val="-2"/>
          <w:kern w:val="0"/>
          <w:highlight w:val="none"/>
        </w:rPr>
        <w:t>外</w:t>
      </w:r>
      <w:r>
        <w:rPr>
          <w:rFonts w:hint="eastAsia"/>
          <w:color w:val="auto"/>
          <w:kern w:val="0"/>
          <w:highlight w:val="none"/>
        </w:rPr>
        <w:t>供应商所</w:t>
      </w:r>
      <w:r>
        <w:rPr>
          <w:rFonts w:hint="eastAsia"/>
          <w:color w:val="auto"/>
          <w:spacing w:val="-2"/>
          <w:kern w:val="0"/>
          <w:highlight w:val="none"/>
        </w:rPr>
        <w:t>递</w:t>
      </w:r>
      <w:r>
        <w:rPr>
          <w:rFonts w:hint="eastAsia"/>
          <w:color w:val="auto"/>
          <w:kern w:val="0"/>
          <w:highlight w:val="none"/>
        </w:rPr>
        <w:t>交的</w:t>
      </w:r>
      <w:r>
        <w:rPr>
          <w:rFonts w:hint="eastAsia"/>
          <w:color w:val="auto"/>
          <w:spacing w:val="-2"/>
          <w:kern w:val="0"/>
          <w:highlight w:val="none"/>
        </w:rPr>
        <w:t>响应文</w:t>
      </w:r>
      <w:r>
        <w:rPr>
          <w:rFonts w:hint="eastAsia"/>
          <w:color w:val="auto"/>
          <w:kern w:val="0"/>
          <w:highlight w:val="none"/>
        </w:rPr>
        <w:t>件</w:t>
      </w:r>
      <w:r>
        <w:rPr>
          <w:rFonts w:hint="eastAsia"/>
          <w:color w:val="auto"/>
          <w:spacing w:val="-2"/>
          <w:kern w:val="0"/>
          <w:highlight w:val="none"/>
        </w:rPr>
        <w:t>不</w:t>
      </w:r>
      <w:r>
        <w:rPr>
          <w:rFonts w:hint="eastAsia"/>
          <w:color w:val="auto"/>
          <w:kern w:val="0"/>
          <w:highlight w:val="none"/>
        </w:rPr>
        <w:t>予</w:t>
      </w:r>
      <w:r>
        <w:rPr>
          <w:rFonts w:hint="eastAsia"/>
          <w:color w:val="auto"/>
          <w:spacing w:val="-2"/>
          <w:kern w:val="0"/>
          <w:highlight w:val="none"/>
        </w:rPr>
        <w:t>退</w:t>
      </w:r>
      <w:r>
        <w:rPr>
          <w:rFonts w:hint="eastAsia"/>
          <w:color w:val="auto"/>
          <w:kern w:val="0"/>
          <w:highlight w:val="none"/>
        </w:rPr>
        <w:t>还。</w:t>
      </w:r>
    </w:p>
    <w:p w14:paraId="6139FCC0">
      <w:pPr>
        <w:wordWrap/>
        <w:topLinePunct w:val="0"/>
        <w:autoSpaceDE w:val="0"/>
        <w:autoSpaceDN w:val="0"/>
        <w:adjustRightInd w:val="0"/>
        <w:spacing w:line="360" w:lineRule="auto"/>
        <w:ind w:right="40" w:firstLine="420" w:firstLineChars="200"/>
        <w:rPr>
          <w:color w:val="auto"/>
          <w:kern w:val="0"/>
          <w:highlight w:val="none"/>
        </w:rPr>
      </w:pPr>
      <w:r>
        <w:rPr>
          <w:rFonts w:hint="eastAsia" w:cs="黑体"/>
          <w:color w:val="auto"/>
          <w:highlight w:val="none"/>
        </w:rPr>
        <w:t xml:space="preserve">4.2.4 </w:t>
      </w:r>
      <w:r>
        <w:rPr>
          <w:rFonts w:hint="eastAsia"/>
          <w:color w:val="auto"/>
          <w:kern w:val="0"/>
          <w:highlight w:val="none"/>
        </w:rPr>
        <w:t>供应商</w:t>
      </w:r>
      <w:r>
        <w:rPr>
          <w:rFonts w:hint="eastAsia"/>
          <w:color w:val="auto"/>
          <w:spacing w:val="-2"/>
          <w:kern w:val="0"/>
          <w:highlight w:val="none"/>
        </w:rPr>
        <w:t>完</w:t>
      </w:r>
      <w:r>
        <w:rPr>
          <w:rFonts w:hint="eastAsia"/>
          <w:color w:val="auto"/>
          <w:kern w:val="0"/>
          <w:highlight w:val="none"/>
        </w:rPr>
        <w:t>成</w:t>
      </w:r>
      <w:r>
        <w:rPr>
          <w:rFonts w:hint="eastAsia"/>
          <w:color w:val="auto"/>
          <w:spacing w:val="-2"/>
          <w:kern w:val="0"/>
          <w:highlight w:val="none"/>
        </w:rPr>
        <w:t>电</w:t>
      </w:r>
      <w:r>
        <w:rPr>
          <w:rFonts w:hint="eastAsia"/>
          <w:color w:val="auto"/>
          <w:kern w:val="0"/>
          <w:highlight w:val="none"/>
        </w:rPr>
        <w:t>子响应文</w:t>
      </w:r>
      <w:r>
        <w:rPr>
          <w:rFonts w:hint="eastAsia"/>
          <w:color w:val="auto"/>
          <w:spacing w:val="-2"/>
          <w:kern w:val="0"/>
          <w:highlight w:val="none"/>
        </w:rPr>
        <w:t>件</w:t>
      </w:r>
      <w:r>
        <w:rPr>
          <w:rFonts w:hint="eastAsia"/>
          <w:color w:val="auto"/>
          <w:kern w:val="0"/>
          <w:highlight w:val="none"/>
        </w:rPr>
        <w:t>上</w:t>
      </w:r>
      <w:r>
        <w:rPr>
          <w:rFonts w:hint="eastAsia"/>
          <w:color w:val="auto"/>
          <w:spacing w:val="-2"/>
          <w:kern w:val="0"/>
          <w:highlight w:val="none"/>
        </w:rPr>
        <w:t>传</w:t>
      </w:r>
      <w:r>
        <w:rPr>
          <w:rFonts w:hint="eastAsia"/>
          <w:color w:val="auto"/>
          <w:kern w:val="0"/>
          <w:highlight w:val="none"/>
        </w:rPr>
        <w:t>后</w:t>
      </w:r>
      <w:r>
        <w:rPr>
          <w:rFonts w:hint="eastAsia"/>
          <w:color w:val="auto"/>
          <w:spacing w:val="-5"/>
          <w:kern w:val="0"/>
          <w:highlight w:val="none"/>
        </w:rPr>
        <w:t>，</w:t>
      </w:r>
      <w:r>
        <w:rPr>
          <w:rFonts w:hint="eastAsia"/>
          <w:color w:val="auto"/>
          <w:kern w:val="0"/>
          <w:highlight w:val="none"/>
        </w:rPr>
        <w:t>电</w:t>
      </w:r>
      <w:r>
        <w:rPr>
          <w:rFonts w:hint="eastAsia"/>
          <w:color w:val="auto"/>
          <w:spacing w:val="-2"/>
          <w:kern w:val="0"/>
          <w:highlight w:val="none"/>
        </w:rPr>
        <w:t>子</w:t>
      </w:r>
      <w:r>
        <w:rPr>
          <w:rFonts w:hint="eastAsia"/>
          <w:color w:val="auto"/>
          <w:kern w:val="0"/>
          <w:highlight w:val="none"/>
        </w:rPr>
        <w:t>招标</w:t>
      </w:r>
      <w:r>
        <w:rPr>
          <w:rFonts w:hint="eastAsia"/>
          <w:color w:val="auto"/>
          <w:spacing w:val="-2"/>
          <w:kern w:val="0"/>
          <w:highlight w:val="none"/>
        </w:rPr>
        <w:t>投</w:t>
      </w:r>
      <w:r>
        <w:rPr>
          <w:rFonts w:hint="eastAsia"/>
          <w:color w:val="auto"/>
          <w:kern w:val="0"/>
          <w:highlight w:val="none"/>
        </w:rPr>
        <w:t>标</w:t>
      </w:r>
      <w:r>
        <w:rPr>
          <w:rFonts w:hint="eastAsia"/>
          <w:color w:val="auto"/>
          <w:spacing w:val="-2"/>
          <w:kern w:val="0"/>
          <w:highlight w:val="none"/>
        </w:rPr>
        <w:t>交</w:t>
      </w:r>
      <w:r>
        <w:rPr>
          <w:rFonts w:hint="eastAsia"/>
          <w:color w:val="auto"/>
          <w:kern w:val="0"/>
          <w:highlight w:val="none"/>
        </w:rPr>
        <w:t>易</w:t>
      </w:r>
      <w:r>
        <w:rPr>
          <w:rFonts w:hint="eastAsia"/>
          <w:color w:val="auto"/>
          <w:spacing w:val="-2"/>
          <w:kern w:val="0"/>
          <w:highlight w:val="none"/>
        </w:rPr>
        <w:t>平</w:t>
      </w:r>
      <w:r>
        <w:rPr>
          <w:rFonts w:hint="eastAsia"/>
          <w:color w:val="auto"/>
          <w:kern w:val="0"/>
          <w:highlight w:val="none"/>
        </w:rPr>
        <w:t>台</w:t>
      </w:r>
      <w:r>
        <w:rPr>
          <w:rFonts w:hint="eastAsia"/>
          <w:color w:val="auto"/>
          <w:spacing w:val="-2"/>
          <w:kern w:val="0"/>
          <w:highlight w:val="none"/>
        </w:rPr>
        <w:t>即</w:t>
      </w:r>
      <w:r>
        <w:rPr>
          <w:rFonts w:hint="eastAsia"/>
          <w:color w:val="auto"/>
          <w:kern w:val="0"/>
          <w:highlight w:val="none"/>
        </w:rPr>
        <w:t>时</w:t>
      </w:r>
      <w:r>
        <w:rPr>
          <w:rFonts w:hint="eastAsia"/>
          <w:color w:val="auto"/>
          <w:spacing w:val="-2"/>
          <w:kern w:val="0"/>
          <w:highlight w:val="none"/>
        </w:rPr>
        <w:t>向</w:t>
      </w:r>
      <w:r>
        <w:rPr>
          <w:rFonts w:hint="eastAsia"/>
          <w:color w:val="auto"/>
          <w:kern w:val="0"/>
          <w:highlight w:val="none"/>
        </w:rPr>
        <w:t>供应商发</w:t>
      </w:r>
      <w:r>
        <w:rPr>
          <w:rFonts w:hint="eastAsia"/>
          <w:color w:val="auto"/>
          <w:spacing w:val="-2"/>
          <w:kern w:val="0"/>
          <w:highlight w:val="none"/>
        </w:rPr>
        <w:t>出</w:t>
      </w:r>
      <w:r>
        <w:rPr>
          <w:rFonts w:hint="eastAsia"/>
          <w:color w:val="auto"/>
          <w:kern w:val="0"/>
          <w:highlight w:val="none"/>
        </w:rPr>
        <w:t>递交回</w:t>
      </w:r>
      <w:r>
        <w:rPr>
          <w:rFonts w:hint="eastAsia"/>
          <w:color w:val="auto"/>
          <w:spacing w:val="-2"/>
          <w:kern w:val="0"/>
          <w:highlight w:val="none"/>
        </w:rPr>
        <w:t>执</w:t>
      </w:r>
      <w:r>
        <w:rPr>
          <w:rFonts w:hint="eastAsia"/>
          <w:color w:val="auto"/>
          <w:kern w:val="0"/>
          <w:highlight w:val="none"/>
        </w:rPr>
        <w:t>通</w:t>
      </w:r>
      <w:r>
        <w:rPr>
          <w:rFonts w:hint="eastAsia"/>
          <w:color w:val="auto"/>
          <w:spacing w:val="-3"/>
          <w:kern w:val="0"/>
          <w:highlight w:val="none"/>
        </w:rPr>
        <w:t>知</w:t>
      </w:r>
      <w:r>
        <w:rPr>
          <w:rFonts w:hint="eastAsia"/>
          <w:color w:val="auto"/>
          <w:kern w:val="0"/>
          <w:highlight w:val="none"/>
        </w:rPr>
        <w:t>。</w:t>
      </w:r>
      <w:r>
        <w:rPr>
          <w:rFonts w:hint="eastAsia"/>
          <w:color w:val="auto"/>
          <w:spacing w:val="-2"/>
          <w:kern w:val="0"/>
          <w:highlight w:val="none"/>
        </w:rPr>
        <w:t>递</w:t>
      </w:r>
      <w:r>
        <w:rPr>
          <w:rFonts w:hint="eastAsia"/>
          <w:color w:val="auto"/>
          <w:kern w:val="0"/>
          <w:highlight w:val="none"/>
        </w:rPr>
        <w:t>交</w:t>
      </w:r>
      <w:r>
        <w:rPr>
          <w:rFonts w:hint="eastAsia"/>
          <w:color w:val="auto"/>
          <w:spacing w:val="-2"/>
          <w:kern w:val="0"/>
          <w:highlight w:val="none"/>
        </w:rPr>
        <w:t>时</w:t>
      </w:r>
      <w:r>
        <w:rPr>
          <w:rFonts w:hint="eastAsia"/>
          <w:color w:val="auto"/>
          <w:kern w:val="0"/>
          <w:highlight w:val="none"/>
        </w:rPr>
        <w:t>间</w:t>
      </w:r>
      <w:r>
        <w:rPr>
          <w:rFonts w:hint="eastAsia"/>
          <w:color w:val="auto"/>
          <w:spacing w:val="-2"/>
          <w:kern w:val="0"/>
          <w:highlight w:val="none"/>
        </w:rPr>
        <w:t>以</w:t>
      </w:r>
      <w:r>
        <w:rPr>
          <w:rFonts w:hint="eastAsia"/>
          <w:color w:val="auto"/>
          <w:kern w:val="0"/>
          <w:highlight w:val="none"/>
        </w:rPr>
        <w:t>递交</w:t>
      </w:r>
      <w:r>
        <w:rPr>
          <w:rFonts w:hint="eastAsia"/>
          <w:color w:val="auto"/>
          <w:spacing w:val="-2"/>
          <w:kern w:val="0"/>
          <w:highlight w:val="none"/>
        </w:rPr>
        <w:t>回</w:t>
      </w:r>
      <w:r>
        <w:rPr>
          <w:rFonts w:hint="eastAsia"/>
          <w:color w:val="auto"/>
          <w:kern w:val="0"/>
          <w:highlight w:val="none"/>
        </w:rPr>
        <w:t>执</w:t>
      </w:r>
      <w:r>
        <w:rPr>
          <w:rFonts w:hint="eastAsia"/>
          <w:color w:val="auto"/>
          <w:spacing w:val="-2"/>
          <w:kern w:val="0"/>
          <w:highlight w:val="none"/>
        </w:rPr>
        <w:t>通</w:t>
      </w:r>
      <w:r>
        <w:rPr>
          <w:rFonts w:hint="eastAsia"/>
          <w:color w:val="auto"/>
          <w:kern w:val="0"/>
          <w:highlight w:val="none"/>
        </w:rPr>
        <w:t>知</w:t>
      </w:r>
      <w:r>
        <w:rPr>
          <w:rFonts w:hint="eastAsia"/>
          <w:color w:val="auto"/>
          <w:spacing w:val="-2"/>
          <w:kern w:val="0"/>
          <w:highlight w:val="none"/>
        </w:rPr>
        <w:t>载</w:t>
      </w:r>
      <w:r>
        <w:rPr>
          <w:rFonts w:hint="eastAsia"/>
          <w:color w:val="auto"/>
          <w:kern w:val="0"/>
          <w:highlight w:val="none"/>
        </w:rPr>
        <w:t>明</w:t>
      </w:r>
      <w:r>
        <w:rPr>
          <w:rFonts w:hint="eastAsia"/>
          <w:color w:val="auto"/>
          <w:spacing w:val="-2"/>
          <w:kern w:val="0"/>
          <w:highlight w:val="none"/>
        </w:rPr>
        <w:t>的</w:t>
      </w:r>
      <w:r>
        <w:rPr>
          <w:rFonts w:hint="eastAsia"/>
          <w:color w:val="auto"/>
          <w:kern w:val="0"/>
          <w:highlight w:val="none"/>
        </w:rPr>
        <w:t>传</w:t>
      </w:r>
      <w:r>
        <w:rPr>
          <w:rFonts w:hint="eastAsia"/>
          <w:color w:val="auto"/>
          <w:spacing w:val="-2"/>
          <w:kern w:val="0"/>
          <w:highlight w:val="none"/>
        </w:rPr>
        <w:t>输</w:t>
      </w:r>
      <w:r>
        <w:rPr>
          <w:rFonts w:hint="eastAsia"/>
          <w:color w:val="auto"/>
          <w:kern w:val="0"/>
          <w:highlight w:val="none"/>
        </w:rPr>
        <w:t>完成</w:t>
      </w:r>
      <w:r>
        <w:rPr>
          <w:rFonts w:hint="eastAsia"/>
          <w:color w:val="auto"/>
          <w:spacing w:val="-2"/>
          <w:kern w:val="0"/>
          <w:highlight w:val="none"/>
        </w:rPr>
        <w:t>时</w:t>
      </w:r>
      <w:r>
        <w:rPr>
          <w:rFonts w:hint="eastAsia"/>
          <w:color w:val="auto"/>
          <w:kern w:val="0"/>
          <w:highlight w:val="none"/>
        </w:rPr>
        <w:t>间</w:t>
      </w:r>
      <w:r>
        <w:rPr>
          <w:rFonts w:hint="eastAsia"/>
          <w:color w:val="auto"/>
          <w:spacing w:val="-2"/>
          <w:kern w:val="0"/>
          <w:highlight w:val="none"/>
        </w:rPr>
        <w:t>为</w:t>
      </w:r>
      <w:r>
        <w:rPr>
          <w:rFonts w:hint="eastAsia"/>
          <w:color w:val="auto"/>
          <w:kern w:val="0"/>
          <w:highlight w:val="none"/>
        </w:rPr>
        <w:t>准。</w:t>
      </w:r>
    </w:p>
    <w:p w14:paraId="3BAE1F28">
      <w:pPr>
        <w:wordWrap/>
        <w:topLinePunct w:val="0"/>
        <w:autoSpaceDE w:val="0"/>
        <w:autoSpaceDN w:val="0"/>
        <w:adjustRightInd w:val="0"/>
        <w:spacing w:line="360" w:lineRule="auto"/>
        <w:ind w:right="-20" w:firstLine="420" w:firstLineChars="200"/>
        <w:jc w:val="left"/>
        <w:rPr>
          <w:color w:val="auto"/>
          <w:kern w:val="0"/>
          <w:highlight w:val="none"/>
        </w:rPr>
      </w:pPr>
      <w:r>
        <w:rPr>
          <w:rFonts w:hint="eastAsia" w:cs="黑体"/>
          <w:color w:val="auto"/>
          <w:highlight w:val="none"/>
        </w:rPr>
        <w:t xml:space="preserve">4.2.5 </w:t>
      </w:r>
      <w:r>
        <w:rPr>
          <w:rFonts w:hint="eastAsia"/>
          <w:color w:val="auto"/>
          <w:spacing w:val="-2"/>
          <w:kern w:val="0"/>
          <w:highlight w:val="none"/>
        </w:rPr>
        <w:t>逾</w:t>
      </w:r>
      <w:r>
        <w:rPr>
          <w:rFonts w:hint="eastAsia"/>
          <w:color w:val="auto"/>
          <w:kern w:val="0"/>
          <w:highlight w:val="none"/>
        </w:rPr>
        <w:t>期</w:t>
      </w:r>
      <w:r>
        <w:rPr>
          <w:rFonts w:hint="eastAsia"/>
          <w:color w:val="auto"/>
          <w:spacing w:val="-2"/>
          <w:kern w:val="0"/>
          <w:highlight w:val="none"/>
        </w:rPr>
        <w:t>上传的响应</w:t>
      </w:r>
      <w:r>
        <w:rPr>
          <w:rFonts w:hint="eastAsia"/>
          <w:color w:val="auto"/>
          <w:kern w:val="0"/>
          <w:highlight w:val="none"/>
        </w:rPr>
        <w:t>文</w:t>
      </w:r>
      <w:r>
        <w:rPr>
          <w:rFonts w:hint="eastAsia"/>
          <w:color w:val="auto"/>
          <w:spacing w:val="-2"/>
          <w:kern w:val="0"/>
          <w:highlight w:val="none"/>
        </w:rPr>
        <w:t>件</w:t>
      </w:r>
      <w:r>
        <w:rPr>
          <w:rFonts w:hint="eastAsia"/>
          <w:color w:val="auto"/>
          <w:kern w:val="0"/>
          <w:highlight w:val="none"/>
        </w:rPr>
        <w:t>，</w:t>
      </w:r>
      <w:r>
        <w:rPr>
          <w:rFonts w:hint="eastAsia"/>
          <w:color w:val="auto"/>
          <w:spacing w:val="-2"/>
          <w:kern w:val="0"/>
          <w:highlight w:val="none"/>
        </w:rPr>
        <w:t>电</w:t>
      </w:r>
      <w:r>
        <w:rPr>
          <w:rFonts w:hint="eastAsia"/>
          <w:color w:val="auto"/>
          <w:kern w:val="0"/>
          <w:highlight w:val="none"/>
        </w:rPr>
        <w:t>子</w:t>
      </w:r>
      <w:r>
        <w:rPr>
          <w:rFonts w:hint="eastAsia"/>
          <w:color w:val="auto"/>
          <w:spacing w:val="-2"/>
          <w:kern w:val="0"/>
          <w:highlight w:val="none"/>
        </w:rPr>
        <w:t>招</w:t>
      </w:r>
      <w:r>
        <w:rPr>
          <w:rFonts w:hint="eastAsia"/>
          <w:color w:val="auto"/>
          <w:kern w:val="0"/>
          <w:highlight w:val="none"/>
        </w:rPr>
        <w:t>标</w:t>
      </w:r>
      <w:r>
        <w:rPr>
          <w:rFonts w:hint="eastAsia"/>
          <w:color w:val="auto"/>
          <w:spacing w:val="-2"/>
          <w:kern w:val="0"/>
          <w:highlight w:val="none"/>
        </w:rPr>
        <w:t>投</w:t>
      </w:r>
      <w:r>
        <w:rPr>
          <w:rFonts w:hint="eastAsia"/>
          <w:color w:val="auto"/>
          <w:kern w:val="0"/>
          <w:highlight w:val="none"/>
        </w:rPr>
        <w:t>标</w:t>
      </w:r>
      <w:r>
        <w:rPr>
          <w:rFonts w:hint="eastAsia"/>
          <w:color w:val="auto"/>
          <w:spacing w:val="-2"/>
          <w:kern w:val="0"/>
          <w:highlight w:val="none"/>
        </w:rPr>
        <w:t>交</w:t>
      </w:r>
      <w:r>
        <w:rPr>
          <w:rFonts w:hint="eastAsia"/>
          <w:color w:val="auto"/>
          <w:kern w:val="0"/>
          <w:highlight w:val="none"/>
        </w:rPr>
        <w:t>易平</w:t>
      </w:r>
      <w:r>
        <w:rPr>
          <w:rFonts w:hint="eastAsia"/>
          <w:color w:val="auto"/>
          <w:spacing w:val="-2"/>
          <w:kern w:val="0"/>
          <w:highlight w:val="none"/>
        </w:rPr>
        <w:t>台</w:t>
      </w:r>
      <w:r>
        <w:rPr>
          <w:rFonts w:hint="eastAsia"/>
          <w:color w:val="auto"/>
          <w:kern w:val="0"/>
          <w:highlight w:val="none"/>
        </w:rPr>
        <w:t>将</w:t>
      </w:r>
      <w:r>
        <w:rPr>
          <w:rFonts w:hint="eastAsia"/>
          <w:color w:val="auto"/>
          <w:spacing w:val="-2"/>
          <w:kern w:val="0"/>
          <w:highlight w:val="none"/>
        </w:rPr>
        <w:t>予</w:t>
      </w:r>
      <w:r>
        <w:rPr>
          <w:rFonts w:hint="eastAsia"/>
          <w:color w:val="auto"/>
          <w:kern w:val="0"/>
          <w:highlight w:val="none"/>
        </w:rPr>
        <w:t>以</w:t>
      </w:r>
      <w:r>
        <w:rPr>
          <w:rFonts w:hint="eastAsia"/>
          <w:color w:val="auto"/>
          <w:spacing w:val="-2"/>
          <w:kern w:val="0"/>
          <w:highlight w:val="none"/>
        </w:rPr>
        <w:t>拒</w:t>
      </w:r>
      <w:r>
        <w:rPr>
          <w:rFonts w:hint="eastAsia"/>
          <w:color w:val="auto"/>
          <w:kern w:val="0"/>
          <w:highlight w:val="none"/>
        </w:rPr>
        <w:t>收。</w:t>
      </w:r>
    </w:p>
    <w:p w14:paraId="463536A2">
      <w:pPr>
        <w:pStyle w:val="4"/>
        <w:numPr>
          <w:ilvl w:val="1"/>
          <w:numId w:val="5"/>
        </w:numPr>
        <w:jc w:val="left"/>
        <w:rPr>
          <w:rFonts w:ascii="Times New Roman" w:hAnsi="Times New Roman"/>
          <w:bCs w:val="0"/>
          <w:color w:val="auto"/>
          <w:szCs w:val="20"/>
          <w:highlight w:val="none"/>
        </w:rPr>
      </w:pPr>
      <w:bookmarkStart w:id="456" w:name="_Toc455678126"/>
      <w:bookmarkStart w:id="457" w:name="_Toc27108"/>
      <w:bookmarkStart w:id="458" w:name="_Toc65662035"/>
      <w:bookmarkStart w:id="459" w:name="_Toc462934300"/>
      <w:bookmarkStart w:id="460" w:name="_Toc270604827"/>
      <w:bookmarkStart w:id="461" w:name="_Toc269470322"/>
      <w:bookmarkStart w:id="462" w:name="_Toc26556"/>
      <w:bookmarkStart w:id="463" w:name="_Toc30567"/>
      <w:bookmarkStart w:id="464" w:name="_Toc428276594"/>
      <w:bookmarkStart w:id="465" w:name="_Toc428351654"/>
      <w:bookmarkStart w:id="466" w:name="_Toc463011279"/>
      <w:bookmarkStart w:id="467" w:name="_Toc270604600"/>
      <w:bookmarkStart w:id="468" w:name="_Toc17934"/>
      <w:bookmarkStart w:id="469" w:name="_Toc30865"/>
      <w:bookmarkStart w:id="470" w:name="_Toc277149389"/>
      <w:bookmarkStart w:id="471" w:name="_Toc454788034"/>
      <w:bookmarkStart w:id="472" w:name="_Toc76134475"/>
      <w:bookmarkStart w:id="473" w:name="_Toc29096"/>
      <w:bookmarkStart w:id="474" w:name="_Toc31097"/>
      <w:r>
        <w:rPr>
          <w:rFonts w:hint="eastAsia" w:ascii="Times New Roman" w:hAnsi="Times New Roman"/>
          <w:bCs w:val="0"/>
          <w:color w:val="auto"/>
          <w:szCs w:val="20"/>
          <w:highlight w:val="none"/>
        </w:rPr>
        <w:t>磋商响应文件的补充、修改与撤回</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40BAF56">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在本章第4.2.1项规定的递交首次磋商截止时间前，供应商可以补充、修改或撤回已递交的磋商响应文件。</w:t>
      </w:r>
    </w:p>
    <w:p w14:paraId="1242FF14">
      <w:pPr>
        <w:snapToGrid w:val="0"/>
        <w:spacing w:line="360" w:lineRule="auto"/>
        <w:ind w:firstLine="420" w:firstLineChars="200"/>
        <w:contextualSpacing/>
        <w:rPr>
          <w:color w:val="auto"/>
          <w:highlight w:val="none"/>
        </w:rPr>
      </w:pPr>
      <w:r>
        <w:rPr>
          <w:rFonts w:hint="eastAsia" w:cs="黑体"/>
          <w:color w:val="auto"/>
          <w:highlight w:val="none"/>
        </w:rPr>
        <w:t>4.3.2</w:t>
      </w:r>
      <w:r>
        <w:rPr>
          <w:rFonts w:hint="eastAsia"/>
          <w:color w:val="auto"/>
          <w:highlight w:val="none"/>
        </w:rPr>
        <w:t>供应商补充、修改或撤回已递交响应文件的通知，应按照本章第 3.5.3项的要求加盖电子印章。电子招标投标交易平台收到通知后，即时向供应商发出确认回执通知。</w:t>
      </w:r>
    </w:p>
    <w:p w14:paraId="39861E07">
      <w:pPr>
        <w:snapToGrid w:val="0"/>
        <w:spacing w:line="360" w:lineRule="auto"/>
        <w:ind w:firstLine="420" w:firstLineChars="200"/>
        <w:contextualSpacing/>
        <w:rPr>
          <w:rFonts w:cs="黑体"/>
          <w:color w:val="auto"/>
          <w:highlight w:val="none"/>
        </w:rPr>
      </w:pPr>
      <w:r>
        <w:rPr>
          <w:rFonts w:hint="eastAsia" w:cs="黑体"/>
          <w:color w:val="auto"/>
          <w:highlight w:val="none"/>
        </w:rPr>
        <w:t>4.3.3补充、修改的内容为磋商响应文件的组成部分。补充、修改的内容与响应文件不一致的，以补充、修改的内容为准。修改的磋商响应文件应按照本章规定进行编制、加密和上传。</w:t>
      </w:r>
    </w:p>
    <w:p w14:paraId="660687D3">
      <w:pPr>
        <w:pStyle w:val="147"/>
        <w:numPr>
          <w:ilvl w:val="0"/>
          <w:numId w:val="5"/>
        </w:numPr>
        <w:tabs>
          <w:tab w:val="left" w:pos="360"/>
        </w:tabs>
        <w:snapToGrid w:val="0"/>
        <w:spacing w:line="360" w:lineRule="auto"/>
        <w:contextualSpacing/>
        <w:jc w:val="both"/>
        <w:outlineLvl w:val="1"/>
        <w:rPr>
          <w:rStyle w:val="64"/>
          <w:color w:val="auto"/>
          <w:highlight w:val="none"/>
        </w:rPr>
      </w:pPr>
      <w:bookmarkStart w:id="475" w:name="_Toc270604601"/>
      <w:bookmarkStart w:id="476" w:name="_Toc5513"/>
      <w:bookmarkStart w:id="477" w:name="_Toc76134476"/>
      <w:bookmarkStart w:id="478" w:name="_Toc24836"/>
      <w:bookmarkStart w:id="479" w:name="_Toc5800"/>
      <w:bookmarkStart w:id="480" w:name="_Toc8171"/>
      <w:bookmarkStart w:id="481" w:name="_Toc65662036"/>
      <w:bookmarkStart w:id="482" w:name="_Toc16360"/>
      <w:bookmarkStart w:id="483" w:name="_Toc3509"/>
      <w:r>
        <w:rPr>
          <w:rStyle w:val="64"/>
          <w:rFonts w:hint="eastAsia"/>
          <w:color w:val="auto"/>
          <w:highlight w:val="none"/>
        </w:rPr>
        <w:t>竞争性</w:t>
      </w:r>
      <w:bookmarkEnd w:id="475"/>
      <w:r>
        <w:rPr>
          <w:rStyle w:val="64"/>
          <w:rFonts w:hint="eastAsia"/>
          <w:color w:val="auto"/>
          <w:highlight w:val="none"/>
        </w:rPr>
        <w:t>磋商</w:t>
      </w:r>
      <w:bookmarkEnd w:id="476"/>
      <w:bookmarkEnd w:id="477"/>
      <w:bookmarkEnd w:id="478"/>
      <w:bookmarkEnd w:id="479"/>
      <w:bookmarkEnd w:id="480"/>
      <w:bookmarkEnd w:id="481"/>
      <w:bookmarkEnd w:id="482"/>
      <w:bookmarkEnd w:id="483"/>
    </w:p>
    <w:p w14:paraId="01BE6E2D">
      <w:pPr>
        <w:pStyle w:val="4"/>
        <w:numPr>
          <w:ilvl w:val="1"/>
          <w:numId w:val="5"/>
        </w:numPr>
        <w:jc w:val="left"/>
        <w:rPr>
          <w:rFonts w:ascii="Times New Roman" w:hAnsi="Times New Roman"/>
          <w:bCs w:val="0"/>
          <w:color w:val="auto"/>
          <w:szCs w:val="20"/>
          <w:highlight w:val="none"/>
        </w:rPr>
      </w:pPr>
      <w:bookmarkStart w:id="484" w:name="_Toc30303"/>
      <w:bookmarkStart w:id="485" w:name="_Toc463011281"/>
      <w:bookmarkStart w:id="486" w:name="_Toc9775"/>
      <w:bookmarkStart w:id="487" w:name="_Toc270604602"/>
      <w:bookmarkStart w:id="488" w:name="_Toc29475"/>
      <w:bookmarkStart w:id="489" w:name="_Toc27501"/>
      <w:bookmarkStart w:id="490" w:name="_Toc454788036"/>
      <w:bookmarkStart w:id="491" w:name="_Toc455678128"/>
      <w:bookmarkStart w:id="492" w:name="_Toc462934302"/>
      <w:bookmarkStart w:id="493" w:name="_Toc31983"/>
      <w:bookmarkStart w:id="494" w:name="_Toc25022"/>
      <w:bookmarkStart w:id="495" w:name="_Toc65662037"/>
      <w:bookmarkStart w:id="496" w:name="_Toc76134477"/>
      <w:bookmarkStart w:id="497" w:name="_Toc277149391"/>
      <w:bookmarkStart w:id="498" w:name="_Toc269470324"/>
      <w:bookmarkStart w:id="499" w:name="_Toc270604829"/>
      <w:bookmarkStart w:id="500" w:name="_Toc428276596"/>
      <w:bookmarkStart w:id="501" w:name="_Toc428351656"/>
      <w:bookmarkStart w:id="502" w:name="_Toc10079"/>
      <w:r>
        <w:rPr>
          <w:rFonts w:hint="eastAsia" w:ascii="Times New Roman" w:hAnsi="Times New Roman"/>
          <w:bCs w:val="0"/>
          <w:color w:val="auto"/>
          <w:szCs w:val="20"/>
          <w:highlight w:val="none"/>
        </w:rPr>
        <w:t>磋商时间和地点</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258D2C81">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采购人在本章第</w:t>
      </w:r>
      <w:r>
        <w:rPr>
          <w:rFonts w:cs="TimesNewRomanPSMT"/>
          <w:color w:val="auto"/>
          <w:kern w:val="0"/>
          <w:highlight w:val="none"/>
        </w:rPr>
        <w:t>4.2.1</w:t>
      </w:r>
      <w:r>
        <w:rPr>
          <w:rFonts w:hint="eastAsia" w:cs="仿宋_GB2312"/>
          <w:color w:val="auto"/>
          <w:kern w:val="0"/>
          <w:highlight w:val="none"/>
        </w:rPr>
        <w:t>项规定的提交首次响应文件截止时间（开启时间）和供应商须知前附表规定的地点进行竞争性磋商，并邀请所有供应商的法定代表人或其委托代理人准时参加。</w:t>
      </w:r>
    </w:p>
    <w:p w14:paraId="0FDC04DD">
      <w:pPr>
        <w:pStyle w:val="4"/>
        <w:numPr>
          <w:ilvl w:val="1"/>
          <w:numId w:val="5"/>
        </w:numPr>
        <w:jc w:val="left"/>
        <w:rPr>
          <w:rFonts w:ascii="Times New Roman" w:hAnsi="Times New Roman"/>
          <w:bCs w:val="0"/>
          <w:color w:val="auto"/>
          <w:szCs w:val="20"/>
          <w:highlight w:val="none"/>
        </w:rPr>
      </w:pPr>
      <w:bookmarkStart w:id="503" w:name="_Toc10666"/>
      <w:bookmarkStart w:id="504" w:name="_Toc12033"/>
      <w:bookmarkStart w:id="505" w:name="_Toc428351657"/>
      <w:bookmarkStart w:id="506" w:name="_Toc455678129"/>
      <w:bookmarkStart w:id="507" w:name="_Toc11362"/>
      <w:bookmarkStart w:id="508" w:name="_Toc269470325"/>
      <w:bookmarkStart w:id="509" w:name="_Toc270604603"/>
      <w:bookmarkStart w:id="510" w:name="_Toc463011282"/>
      <w:bookmarkStart w:id="511" w:name="_Toc477"/>
      <w:bookmarkStart w:id="512" w:name="_Toc277149392"/>
      <w:bookmarkStart w:id="513" w:name="_Toc454788037"/>
      <w:bookmarkStart w:id="514" w:name="_Toc270604830"/>
      <w:bookmarkStart w:id="515" w:name="_Toc65662038"/>
      <w:bookmarkStart w:id="516" w:name="_Toc428276597"/>
      <w:bookmarkStart w:id="517" w:name="_Toc462934303"/>
      <w:bookmarkStart w:id="518" w:name="_Toc76134478"/>
      <w:bookmarkStart w:id="519" w:name="_Toc30687"/>
      <w:bookmarkStart w:id="520" w:name="_Toc21367"/>
      <w:bookmarkStart w:id="521" w:name="_Toc14109"/>
      <w:r>
        <w:rPr>
          <w:rFonts w:hint="eastAsia" w:ascii="Times New Roman" w:hAnsi="Times New Roman"/>
          <w:bCs w:val="0"/>
          <w:color w:val="auto"/>
          <w:szCs w:val="20"/>
          <w:highlight w:val="none"/>
        </w:rPr>
        <w:t>磋商程序</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C69CCC4">
      <w:pPr>
        <w:numPr>
          <w:ilvl w:val="2"/>
          <w:numId w:val="5"/>
        </w:numPr>
        <w:wordWrap/>
        <w:topLinePunct w:val="0"/>
        <w:adjustRightInd w:val="0"/>
        <w:snapToGrid w:val="0"/>
        <w:spacing w:line="360" w:lineRule="auto"/>
        <w:ind w:firstLine="420" w:firstLineChars="200"/>
        <w:rPr>
          <w:rFonts w:cs="黑体"/>
          <w:color w:val="auto"/>
          <w:highlight w:val="none"/>
        </w:rPr>
      </w:pPr>
      <w:bookmarkStart w:id="522" w:name="_Toc269470330"/>
      <w:r>
        <w:rPr>
          <w:rFonts w:hint="eastAsia" w:cs="黑体"/>
          <w:color w:val="auto"/>
          <w:highlight w:val="none"/>
        </w:rPr>
        <w:t>提交首次响应文件截止，宣布磋商会议开始；</w:t>
      </w:r>
    </w:p>
    <w:p w14:paraId="228D8E9B">
      <w:pPr>
        <w:numPr>
          <w:ilvl w:val="2"/>
          <w:numId w:val="5"/>
        </w:numPr>
        <w:wordWrap/>
        <w:topLinePunct w:val="0"/>
        <w:adjustRightInd w:val="0"/>
        <w:snapToGrid w:val="0"/>
        <w:spacing w:line="360" w:lineRule="auto"/>
        <w:ind w:firstLine="420" w:firstLineChars="200"/>
        <w:rPr>
          <w:rFonts w:cs="黑体"/>
          <w:color w:val="auto"/>
          <w:highlight w:val="none"/>
        </w:rPr>
      </w:pPr>
      <w:r>
        <w:rPr>
          <w:rFonts w:hint="eastAsia" w:cs="黑体"/>
          <w:color w:val="auto"/>
          <w:highlight w:val="none"/>
        </w:rPr>
        <w:t>宣布磋商会议纪律；</w:t>
      </w:r>
    </w:p>
    <w:p w14:paraId="4EDFFC8A">
      <w:pPr>
        <w:numPr>
          <w:ilvl w:val="2"/>
          <w:numId w:val="5"/>
        </w:numPr>
        <w:wordWrap/>
        <w:topLinePunct w:val="0"/>
        <w:adjustRightInd w:val="0"/>
        <w:snapToGrid w:val="0"/>
        <w:spacing w:line="360" w:lineRule="auto"/>
        <w:ind w:firstLine="420" w:firstLineChars="200"/>
        <w:rPr>
          <w:rFonts w:cs="黑体"/>
          <w:color w:val="auto"/>
          <w:highlight w:val="none"/>
        </w:rPr>
      </w:pPr>
      <w:r>
        <w:rPr>
          <w:rFonts w:hint="eastAsia" w:cs="黑体"/>
          <w:color w:val="auto"/>
          <w:highlight w:val="none"/>
        </w:rPr>
        <w:t>公布参加磋商的供应商名单；</w:t>
      </w:r>
    </w:p>
    <w:p w14:paraId="0AC7CF9E">
      <w:pPr>
        <w:adjustRightInd w:val="0"/>
        <w:snapToGrid w:val="0"/>
        <w:spacing w:line="360" w:lineRule="auto"/>
        <w:ind w:firstLine="420" w:firstLineChars="200"/>
        <w:contextualSpacing/>
        <w:rPr>
          <w:color w:val="auto"/>
          <w:highlight w:val="none"/>
        </w:rPr>
      </w:pPr>
      <w:r>
        <w:rPr>
          <w:rFonts w:hint="eastAsia"/>
          <w:color w:val="auto"/>
          <w:highlight w:val="none"/>
        </w:rPr>
        <w:t xml:space="preserve">5.2.4 </w:t>
      </w:r>
      <w:r>
        <w:rPr>
          <w:rFonts w:hint="eastAsia"/>
          <w:color w:val="auto"/>
          <w:spacing w:val="2"/>
          <w:kern w:val="0"/>
          <w:position w:val="-1"/>
          <w:highlight w:val="none"/>
        </w:rPr>
        <w:t>供应商现场</w:t>
      </w:r>
      <w:r>
        <w:rPr>
          <w:rFonts w:hint="eastAsia"/>
          <w:color w:val="auto"/>
          <w:kern w:val="0"/>
          <w:position w:val="-1"/>
          <w:highlight w:val="none"/>
        </w:rPr>
        <w:t>对已</w:t>
      </w:r>
      <w:r>
        <w:rPr>
          <w:rFonts w:hint="eastAsia"/>
          <w:color w:val="auto"/>
          <w:spacing w:val="2"/>
          <w:kern w:val="0"/>
          <w:position w:val="-1"/>
          <w:highlight w:val="none"/>
        </w:rPr>
        <w:t>递交</w:t>
      </w:r>
      <w:r>
        <w:rPr>
          <w:rFonts w:hint="eastAsia"/>
          <w:color w:val="auto"/>
          <w:kern w:val="0"/>
          <w:position w:val="-1"/>
          <w:highlight w:val="none"/>
        </w:rPr>
        <w:t>的</w:t>
      </w:r>
      <w:r>
        <w:rPr>
          <w:rFonts w:hint="eastAsia"/>
          <w:color w:val="auto"/>
          <w:spacing w:val="2"/>
          <w:kern w:val="0"/>
          <w:position w:val="-1"/>
          <w:highlight w:val="none"/>
        </w:rPr>
        <w:t>电</w:t>
      </w:r>
      <w:r>
        <w:rPr>
          <w:rFonts w:hint="eastAsia"/>
          <w:color w:val="auto"/>
          <w:kern w:val="0"/>
          <w:position w:val="-1"/>
          <w:highlight w:val="none"/>
        </w:rPr>
        <w:t>子</w:t>
      </w:r>
      <w:r>
        <w:rPr>
          <w:rFonts w:hint="eastAsia"/>
          <w:color w:val="auto"/>
          <w:spacing w:val="2"/>
          <w:kern w:val="0"/>
          <w:position w:val="-1"/>
          <w:highlight w:val="none"/>
        </w:rPr>
        <w:t>响应文件</w:t>
      </w:r>
      <w:r>
        <w:rPr>
          <w:rFonts w:hint="eastAsia"/>
          <w:color w:val="auto"/>
          <w:kern w:val="0"/>
          <w:position w:val="-1"/>
          <w:highlight w:val="none"/>
        </w:rPr>
        <w:t>进行</w:t>
      </w:r>
      <w:r>
        <w:rPr>
          <w:rFonts w:hint="eastAsia"/>
          <w:color w:val="auto"/>
          <w:spacing w:val="2"/>
          <w:kern w:val="0"/>
          <w:position w:val="-1"/>
          <w:highlight w:val="none"/>
        </w:rPr>
        <w:t>解</w:t>
      </w:r>
      <w:r>
        <w:rPr>
          <w:rFonts w:hint="eastAsia"/>
          <w:color w:val="auto"/>
          <w:spacing w:val="8"/>
          <w:kern w:val="0"/>
          <w:position w:val="-1"/>
          <w:highlight w:val="none"/>
        </w:rPr>
        <w:t>密</w:t>
      </w:r>
      <w:r>
        <w:rPr>
          <w:rFonts w:hint="eastAsia"/>
          <w:color w:val="auto"/>
          <w:highlight w:val="none"/>
        </w:rPr>
        <w:t>；</w:t>
      </w:r>
    </w:p>
    <w:p w14:paraId="1EA55F91">
      <w:pPr>
        <w:adjustRightInd w:val="0"/>
        <w:snapToGrid w:val="0"/>
        <w:spacing w:line="360" w:lineRule="auto"/>
        <w:ind w:firstLine="420" w:firstLineChars="200"/>
        <w:contextualSpacing/>
        <w:rPr>
          <w:color w:val="auto"/>
          <w:highlight w:val="none"/>
        </w:rPr>
      </w:pPr>
      <w:r>
        <w:rPr>
          <w:rFonts w:hint="eastAsia"/>
          <w:color w:val="auto"/>
          <w:highlight w:val="none"/>
        </w:rPr>
        <w:t>5.2.5 磋商（采购人将对磋商过程进行记录，以存档备查）。</w:t>
      </w:r>
    </w:p>
    <w:p w14:paraId="20C094EB">
      <w:pPr>
        <w:pStyle w:val="4"/>
        <w:numPr>
          <w:ilvl w:val="1"/>
          <w:numId w:val="5"/>
        </w:numPr>
        <w:jc w:val="left"/>
        <w:rPr>
          <w:rFonts w:ascii="Times New Roman" w:hAnsi="Times New Roman"/>
          <w:bCs w:val="0"/>
          <w:color w:val="auto"/>
          <w:szCs w:val="20"/>
          <w:highlight w:val="none"/>
        </w:rPr>
      </w:pPr>
      <w:bookmarkStart w:id="523" w:name="_Toc2705"/>
      <w:bookmarkStart w:id="524" w:name="_Toc2312"/>
      <w:bookmarkStart w:id="525" w:name="_Toc14313"/>
      <w:bookmarkStart w:id="526" w:name="_Toc76134479"/>
      <w:bookmarkStart w:id="527" w:name="_Toc463011283"/>
      <w:bookmarkStart w:id="528" w:name="_Toc30618"/>
      <w:bookmarkStart w:id="529" w:name="_Toc14210"/>
      <w:bookmarkStart w:id="530" w:name="_Toc455678130"/>
      <w:bookmarkStart w:id="531" w:name="_Toc8282"/>
      <w:bookmarkStart w:id="532" w:name="_Toc65662039"/>
      <w:bookmarkStart w:id="533" w:name="_Toc31993"/>
      <w:bookmarkStart w:id="534" w:name="_Toc462934304"/>
      <w:r>
        <w:rPr>
          <w:rFonts w:hint="eastAsia" w:ascii="Times New Roman" w:hAnsi="Times New Roman"/>
          <w:bCs w:val="0"/>
          <w:color w:val="auto"/>
          <w:szCs w:val="20"/>
          <w:highlight w:val="none"/>
        </w:rPr>
        <w:t>磋商</w:t>
      </w:r>
      <w:bookmarkEnd w:id="523"/>
      <w:bookmarkEnd w:id="524"/>
      <w:bookmarkEnd w:id="525"/>
      <w:bookmarkEnd w:id="526"/>
      <w:bookmarkEnd w:id="527"/>
      <w:bookmarkEnd w:id="528"/>
      <w:bookmarkEnd w:id="529"/>
      <w:bookmarkEnd w:id="530"/>
      <w:bookmarkEnd w:id="531"/>
      <w:bookmarkEnd w:id="532"/>
      <w:bookmarkEnd w:id="533"/>
      <w:bookmarkEnd w:id="534"/>
    </w:p>
    <w:p w14:paraId="7BFDD9F3">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磋商小组</w:t>
      </w:r>
    </w:p>
    <w:p w14:paraId="6B2360B5">
      <w:pPr>
        <w:numPr>
          <w:ilvl w:val="0"/>
          <w:numId w:val="9"/>
        </w:numPr>
        <w:snapToGrid w:val="0"/>
        <w:spacing w:line="360" w:lineRule="auto"/>
        <w:ind w:left="0" w:firstLine="420" w:firstLineChars="200"/>
        <w:contextualSpacing/>
        <w:rPr>
          <w:color w:val="auto"/>
          <w:highlight w:val="none"/>
        </w:rPr>
      </w:pPr>
      <w:r>
        <w:rPr>
          <w:rFonts w:hint="eastAsia"/>
          <w:color w:val="auto"/>
          <w:highlight w:val="none"/>
        </w:rPr>
        <w:t>磋商工作由磋商小组独立进行，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6D59254">
      <w:pPr>
        <w:numPr>
          <w:ilvl w:val="0"/>
          <w:numId w:val="9"/>
        </w:numPr>
        <w:snapToGrid w:val="0"/>
        <w:spacing w:line="360" w:lineRule="auto"/>
        <w:ind w:left="0" w:firstLine="420" w:firstLineChars="200"/>
        <w:contextualSpacing/>
        <w:rPr>
          <w:color w:val="auto"/>
          <w:highlight w:val="none"/>
        </w:rPr>
      </w:pPr>
      <w:r>
        <w:rPr>
          <w:rFonts w:hint="eastAsia"/>
          <w:color w:val="auto"/>
          <w:highlight w:val="none"/>
        </w:rPr>
        <w:t>采用竞争性磋商方式的政府采购项目，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F05830D">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w:t>
      </w:r>
    </w:p>
    <w:p w14:paraId="31DE7280">
      <w:pPr>
        <w:numPr>
          <w:ilvl w:val="0"/>
          <w:numId w:val="10"/>
        </w:numPr>
        <w:snapToGrid w:val="0"/>
        <w:spacing w:line="360" w:lineRule="auto"/>
        <w:ind w:left="0" w:firstLine="420" w:firstLineChars="200"/>
        <w:contextualSpacing/>
        <w:rPr>
          <w:color w:val="auto"/>
          <w:highlight w:val="none"/>
        </w:rPr>
      </w:pPr>
      <w:r>
        <w:rPr>
          <w:rFonts w:hint="eastAsia"/>
          <w:color w:val="auto"/>
          <w:highlight w:val="none"/>
        </w:rPr>
        <w:t>磋商小组成员应当按照客观、公正、审慎的原则，根据竞争性磋商文件第三章规定的评审程序、评审方法和评审标准进行独立评审。未实质性响应磋商文件的响应文件按无效响应处理，磋商小组应当告知提交响应文件的供应商。</w:t>
      </w:r>
    </w:p>
    <w:p w14:paraId="784F1DD6">
      <w:pPr>
        <w:pStyle w:val="42"/>
        <w:numPr>
          <w:ilvl w:val="0"/>
          <w:numId w:val="10"/>
        </w:numPr>
        <w:wordWrap/>
        <w:topLinePunct w:val="0"/>
        <w:spacing w:before="0" w:beforeAutospacing="0" w:after="0" w:afterAutospacing="0" w:line="360" w:lineRule="auto"/>
        <w:ind w:left="0" w:firstLine="420" w:firstLineChars="200"/>
        <w:rPr>
          <w:color w:val="auto"/>
          <w:highlight w:val="none"/>
        </w:rPr>
      </w:pPr>
      <w:r>
        <w:rPr>
          <w:rFonts w:hint="eastAsia"/>
          <w:color w:val="auto"/>
          <w:sz w:val="21"/>
          <w:szCs w:val="21"/>
          <w:highlight w:val="none"/>
        </w:rPr>
        <w:t>竞争性磋商文件内容违反国家有关强制性规定的，磋商小组应当停止评审并向采购人或者采购代理机构说明情况。</w:t>
      </w:r>
    </w:p>
    <w:p w14:paraId="05515C77">
      <w:pPr>
        <w:numPr>
          <w:ilvl w:val="2"/>
          <w:numId w:val="5"/>
        </w:numPr>
        <w:wordWrap/>
        <w:topLinePunct w:val="0"/>
        <w:spacing w:line="360" w:lineRule="auto"/>
        <w:ind w:firstLine="420" w:firstLineChars="200"/>
        <w:rPr>
          <w:rFonts w:cs="黑体"/>
          <w:color w:val="auto"/>
          <w:highlight w:val="none"/>
        </w:rPr>
      </w:pPr>
      <w:bookmarkStart w:id="535" w:name="_Toc109550798"/>
      <w:bookmarkStart w:id="536" w:name="_Toc90712538"/>
      <w:bookmarkStart w:id="537" w:name="_Toc90713357"/>
      <w:bookmarkStart w:id="538" w:name="_Toc109537522"/>
      <w:r>
        <w:rPr>
          <w:rFonts w:hint="eastAsia" w:cs="黑体"/>
          <w:color w:val="auto"/>
          <w:highlight w:val="none"/>
        </w:rPr>
        <w:t>评审报告</w:t>
      </w:r>
    </w:p>
    <w:p w14:paraId="792B9A50">
      <w:pPr>
        <w:snapToGrid w:val="0"/>
        <w:spacing w:line="360" w:lineRule="auto"/>
        <w:ind w:firstLine="420" w:firstLineChars="200"/>
        <w:contextualSpacing/>
        <w:rPr>
          <w:color w:val="auto"/>
          <w:highlight w:val="none"/>
        </w:rPr>
      </w:pPr>
      <w:r>
        <w:rPr>
          <w:rFonts w:hint="eastAsia"/>
          <w:color w:val="auto"/>
          <w:highlight w:val="none"/>
        </w:rPr>
        <w:t>磋商</w:t>
      </w:r>
      <w:r>
        <w:rPr>
          <w:color w:val="auto"/>
          <w:highlight w:val="none"/>
        </w:rPr>
        <w:t>小组应当根据评审记录和评审结果编写评审报告，其主要内容包括：</w:t>
      </w:r>
    </w:p>
    <w:p w14:paraId="7CE4BD89">
      <w:pPr>
        <w:numPr>
          <w:ilvl w:val="0"/>
          <w:numId w:val="11"/>
        </w:numPr>
        <w:snapToGrid w:val="0"/>
        <w:spacing w:line="360" w:lineRule="auto"/>
        <w:ind w:left="0" w:firstLine="420" w:firstLineChars="200"/>
        <w:contextualSpacing/>
        <w:rPr>
          <w:color w:val="auto"/>
          <w:highlight w:val="none"/>
        </w:rPr>
      </w:pPr>
      <w:r>
        <w:rPr>
          <w:color w:val="auto"/>
          <w:highlight w:val="none"/>
        </w:rPr>
        <w:t>邀请供应商参加采购活动的具体方式和相关情况</w:t>
      </w:r>
      <w:r>
        <w:rPr>
          <w:rFonts w:hint="eastAsia"/>
          <w:color w:val="auto"/>
          <w:highlight w:val="none"/>
        </w:rPr>
        <w:t>；</w:t>
      </w:r>
    </w:p>
    <w:p w14:paraId="04715BC5">
      <w:pPr>
        <w:numPr>
          <w:ilvl w:val="0"/>
          <w:numId w:val="11"/>
        </w:numPr>
        <w:snapToGrid w:val="0"/>
        <w:spacing w:line="360" w:lineRule="auto"/>
        <w:ind w:left="0" w:firstLine="420" w:firstLineChars="200"/>
        <w:contextualSpacing/>
        <w:rPr>
          <w:color w:val="auto"/>
          <w:highlight w:val="none"/>
        </w:rPr>
      </w:pPr>
      <w:r>
        <w:rPr>
          <w:color w:val="auto"/>
          <w:highlight w:val="none"/>
        </w:rPr>
        <w:t>响应文件</w:t>
      </w:r>
      <w:r>
        <w:rPr>
          <w:rFonts w:hint="eastAsia"/>
          <w:color w:val="auto"/>
          <w:highlight w:val="none"/>
        </w:rPr>
        <w:t>解密</w:t>
      </w:r>
      <w:r>
        <w:rPr>
          <w:color w:val="auto"/>
          <w:highlight w:val="none"/>
        </w:rPr>
        <w:t>日期和地点</w:t>
      </w:r>
      <w:r>
        <w:rPr>
          <w:rFonts w:hint="eastAsia"/>
          <w:color w:val="auto"/>
          <w:highlight w:val="none"/>
        </w:rPr>
        <w:t>；</w:t>
      </w:r>
    </w:p>
    <w:p w14:paraId="2EF64373">
      <w:pPr>
        <w:numPr>
          <w:ilvl w:val="0"/>
          <w:numId w:val="11"/>
        </w:numPr>
        <w:snapToGrid w:val="0"/>
        <w:spacing w:line="360" w:lineRule="auto"/>
        <w:ind w:left="0" w:firstLine="420" w:firstLineChars="200"/>
        <w:contextualSpacing/>
        <w:rPr>
          <w:color w:val="auto"/>
          <w:highlight w:val="none"/>
        </w:rPr>
      </w:pPr>
      <w:r>
        <w:rPr>
          <w:color w:val="auto"/>
          <w:highlight w:val="none"/>
        </w:rPr>
        <w:t>获取竞争性磋商文件的供应商名单和磋商小组成员名单</w:t>
      </w:r>
      <w:r>
        <w:rPr>
          <w:rFonts w:hint="eastAsia"/>
          <w:color w:val="auto"/>
          <w:highlight w:val="none"/>
        </w:rPr>
        <w:t>；</w:t>
      </w:r>
    </w:p>
    <w:p w14:paraId="27D581B1">
      <w:pPr>
        <w:numPr>
          <w:ilvl w:val="0"/>
          <w:numId w:val="11"/>
        </w:numPr>
        <w:snapToGrid w:val="0"/>
        <w:spacing w:line="360" w:lineRule="auto"/>
        <w:ind w:left="0" w:firstLine="420" w:firstLineChars="200"/>
        <w:contextualSpacing/>
        <w:rPr>
          <w:color w:val="auto"/>
          <w:highlight w:val="none"/>
        </w:rPr>
      </w:pPr>
      <w:r>
        <w:rPr>
          <w:color w:val="auto"/>
          <w:highlight w:val="none"/>
        </w:rPr>
        <w:t>评审情况记录和说明，包括对供应商的资格审查情况、供应商响应文件评审情况、磋商情况、报价情况等</w:t>
      </w:r>
      <w:r>
        <w:rPr>
          <w:rFonts w:hint="eastAsia"/>
          <w:color w:val="auto"/>
          <w:highlight w:val="none"/>
        </w:rPr>
        <w:t>；</w:t>
      </w:r>
    </w:p>
    <w:p w14:paraId="7ACD392D">
      <w:pPr>
        <w:numPr>
          <w:ilvl w:val="0"/>
          <w:numId w:val="11"/>
        </w:numPr>
        <w:snapToGrid w:val="0"/>
        <w:spacing w:line="360" w:lineRule="auto"/>
        <w:ind w:left="0" w:firstLine="420" w:firstLineChars="200"/>
        <w:contextualSpacing/>
        <w:rPr>
          <w:color w:val="auto"/>
          <w:highlight w:val="none"/>
        </w:rPr>
      </w:pPr>
      <w:r>
        <w:rPr>
          <w:color w:val="auto"/>
          <w:highlight w:val="none"/>
        </w:rPr>
        <w:t>提出的成交候选供应商的排序名单及理由。</w:t>
      </w:r>
    </w:p>
    <w:p w14:paraId="27C245D4">
      <w:pPr>
        <w:snapToGrid w:val="0"/>
        <w:spacing w:line="360" w:lineRule="auto"/>
        <w:ind w:firstLine="420" w:firstLineChars="200"/>
        <w:contextualSpacing/>
        <w:rPr>
          <w:color w:val="auto"/>
          <w:highlight w:val="none"/>
        </w:rPr>
      </w:pPr>
      <w:r>
        <w:rPr>
          <w:color w:val="auto"/>
          <w:highlight w:val="none"/>
        </w:rPr>
        <w:t>评审报告应当由</w:t>
      </w:r>
      <w:r>
        <w:rPr>
          <w:rFonts w:hint="eastAsia"/>
          <w:color w:val="auto"/>
          <w:highlight w:val="none"/>
        </w:rPr>
        <w:t>磋商</w:t>
      </w:r>
      <w:r>
        <w:rPr>
          <w:color w:val="auto"/>
          <w:highlight w:val="none"/>
        </w:rPr>
        <w:t>小组全体人员签字认可。</w:t>
      </w:r>
      <w:r>
        <w:rPr>
          <w:rFonts w:hint="eastAsia"/>
          <w:color w:val="auto"/>
          <w:highlight w:val="none"/>
        </w:rPr>
        <w:t>磋商</w:t>
      </w:r>
      <w:r>
        <w:rPr>
          <w:color w:val="auto"/>
          <w:highlight w:val="none"/>
        </w:rPr>
        <w:t>小组成员对评审报告有异议的，</w:t>
      </w:r>
      <w:r>
        <w:rPr>
          <w:rFonts w:hint="eastAsia"/>
          <w:color w:val="auto"/>
          <w:highlight w:val="none"/>
        </w:rPr>
        <w:t>磋商</w:t>
      </w:r>
      <w:r>
        <w:rPr>
          <w:color w:val="auto"/>
          <w:highlight w:val="none"/>
        </w:rPr>
        <w:t>小组按照少数服从多数的原则推荐成交候选人，采购程序继续进行。对评审报告有异议的</w:t>
      </w:r>
      <w:r>
        <w:rPr>
          <w:rFonts w:hint="eastAsia"/>
          <w:color w:val="auto"/>
          <w:highlight w:val="none"/>
        </w:rPr>
        <w:t>磋商</w:t>
      </w:r>
      <w:r>
        <w:rPr>
          <w:color w:val="auto"/>
          <w:highlight w:val="none"/>
        </w:rPr>
        <w:t>小组成员，应当在报告上签署不同意见并说明理由，由</w:t>
      </w:r>
      <w:r>
        <w:rPr>
          <w:rFonts w:hint="eastAsia"/>
          <w:color w:val="auto"/>
          <w:highlight w:val="none"/>
        </w:rPr>
        <w:t>磋商</w:t>
      </w:r>
      <w:r>
        <w:rPr>
          <w:color w:val="auto"/>
          <w:highlight w:val="none"/>
        </w:rPr>
        <w:t>小组书面记录相关情况。</w:t>
      </w:r>
      <w:r>
        <w:rPr>
          <w:rFonts w:hint="eastAsia"/>
          <w:color w:val="auto"/>
          <w:highlight w:val="none"/>
        </w:rPr>
        <w:t>磋商</w:t>
      </w:r>
      <w:r>
        <w:rPr>
          <w:color w:val="auto"/>
          <w:highlight w:val="none"/>
        </w:rPr>
        <w:t>小组成员拒绝在报告上签字又不书面说明其不同意见和理由的，视为同意评审报告。</w:t>
      </w:r>
    </w:p>
    <w:p w14:paraId="5EC341A1">
      <w:pPr>
        <w:snapToGrid w:val="0"/>
        <w:spacing w:line="360" w:lineRule="auto"/>
        <w:ind w:firstLine="420" w:firstLineChars="200"/>
        <w:contextualSpacing/>
        <w:rPr>
          <w:color w:val="auto"/>
          <w:highlight w:val="none"/>
        </w:rPr>
      </w:pPr>
      <w:r>
        <w:rPr>
          <w:rFonts w:hint="eastAsia"/>
          <w:color w:val="auto"/>
          <w:highlight w:val="none"/>
        </w:rPr>
        <w:t>评审完成后，磋商小组应当向采购人提交书面评审报告和成交候选人名单。磋商小组推荐成交候选人的人数见供应商须知前附表。</w:t>
      </w:r>
    </w:p>
    <w:p w14:paraId="180A70F6">
      <w:pPr>
        <w:pStyle w:val="4"/>
        <w:numPr>
          <w:ilvl w:val="1"/>
          <w:numId w:val="5"/>
        </w:numPr>
        <w:jc w:val="left"/>
        <w:rPr>
          <w:rFonts w:ascii="Times New Roman" w:hAnsi="Times New Roman"/>
          <w:bCs w:val="0"/>
          <w:color w:val="auto"/>
          <w:szCs w:val="20"/>
          <w:highlight w:val="none"/>
        </w:rPr>
      </w:pPr>
      <w:bookmarkStart w:id="539" w:name="_Toc454788039"/>
      <w:bookmarkStart w:id="540" w:name="_Toc21137"/>
      <w:bookmarkStart w:id="541" w:name="_Toc7481"/>
      <w:bookmarkStart w:id="542" w:name="_Toc22126"/>
      <w:bookmarkStart w:id="543" w:name="_Toc455678131"/>
      <w:bookmarkStart w:id="544" w:name="_Toc422126473"/>
      <w:bookmarkStart w:id="545" w:name="_Toc5030"/>
      <w:bookmarkStart w:id="546" w:name="_Toc462934305"/>
      <w:bookmarkStart w:id="547" w:name="_Toc19623"/>
      <w:bookmarkStart w:id="548" w:name="_Toc428351659"/>
      <w:bookmarkStart w:id="549" w:name="_Toc76134480"/>
      <w:bookmarkStart w:id="550" w:name="_Toc20029"/>
      <w:bookmarkStart w:id="551" w:name="_Toc65662040"/>
      <w:bookmarkStart w:id="552" w:name="_Toc463011284"/>
      <w:bookmarkStart w:id="553" w:name="_Toc26984"/>
      <w:bookmarkStart w:id="554" w:name="_Toc428276599"/>
      <w:r>
        <w:rPr>
          <w:rFonts w:hint="eastAsia" w:ascii="Times New Roman" w:hAnsi="Times New Roman"/>
          <w:bCs w:val="0"/>
          <w:color w:val="auto"/>
          <w:szCs w:val="20"/>
          <w:highlight w:val="none"/>
        </w:rPr>
        <w:t>磋商过程的保密性</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72B322F7">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磋商期间，直到授予成交人合同止，凡是与磋商响应文件审查、澄清、评价、比较以及推荐成交人等方面的情况，均不得向供应商或其他无关的人员透露。</w:t>
      </w:r>
    </w:p>
    <w:p w14:paraId="370CBCDF">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在磋商过程中，供应商如向磋商小组成员施加任何影响，都将会导致其磋商被拒绝，政府采购监管部门将记录其不良行为。</w:t>
      </w:r>
    </w:p>
    <w:p w14:paraId="0B7133E3">
      <w:pPr>
        <w:pStyle w:val="4"/>
        <w:numPr>
          <w:ilvl w:val="1"/>
          <w:numId w:val="5"/>
        </w:numPr>
        <w:jc w:val="left"/>
        <w:rPr>
          <w:rFonts w:ascii="Times New Roman" w:hAnsi="Times New Roman"/>
          <w:bCs w:val="0"/>
          <w:color w:val="auto"/>
          <w:szCs w:val="20"/>
          <w:highlight w:val="none"/>
        </w:rPr>
      </w:pPr>
      <w:bookmarkStart w:id="555" w:name="_Toc13834"/>
      <w:bookmarkStart w:id="556" w:name="_Toc463011285"/>
      <w:bookmarkStart w:id="557" w:name="_Toc20720"/>
      <w:bookmarkStart w:id="558" w:name="_Toc65662041"/>
      <w:bookmarkStart w:id="559" w:name="_Toc462934306"/>
      <w:bookmarkStart w:id="560" w:name="_Toc76134481"/>
      <w:bookmarkStart w:id="561" w:name="_Toc8228"/>
      <w:bookmarkStart w:id="562" w:name="_Toc23484"/>
      <w:bookmarkStart w:id="563" w:name="_Toc5212"/>
      <w:bookmarkStart w:id="564" w:name="_Toc21281"/>
      <w:bookmarkStart w:id="565" w:name="_Toc20320"/>
      <w:bookmarkStart w:id="566" w:name="_Toc455678132"/>
      <w:r>
        <w:rPr>
          <w:rFonts w:hint="eastAsia" w:ascii="Times New Roman" w:hAnsi="Times New Roman"/>
          <w:bCs w:val="0"/>
          <w:color w:val="auto"/>
          <w:szCs w:val="20"/>
          <w:highlight w:val="none"/>
        </w:rPr>
        <w:t>终止竞争性磋商采购活动</w:t>
      </w:r>
      <w:bookmarkEnd w:id="555"/>
      <w:bookmarkEnd w:id="556"/>
      <w:bookmarkEnd w:id="557"/>
      <w:bookmarkEnd w:id="558"/>
      <w:bookmarkEnd w:id="559"/>
      <w:bookmarkEnd w:id="560"/>
      <w:bookmarkEnd w:id="561"/>
      <w:bookmarkEnd w:id="562"/>
      <w:bookmarkEnd w:id="563"/>
      <w:bookmarkEnd w:id="564"/>
      <w:bookmarkEnd w:id="565"/>
      <w:bookmarkEnd w:id="566"/>
    </w:p>
    <w:p w14:paraId="0444DEA4">
      <w:pPr>
        <w:pStyle w:val="12"/>
        <w:snapToGrid w:val="0"/>
        <w:spacing w:line="360" w:lineRule="auto"/>
        <w:contextualSpacing/>
        <w:rPr>
          <w:rFonts w:cs="黑体"/>
          <w:color w:val="auto"/>
          <w:szCs w:val="21"/>
          <w:highlight w:val="none"/>
        </w:rPr>
      </w:pPr>
      <w:r>
        <w:rPr>
          <w:rFonts w:hint="eastAsia" w:cs="黑体"/>
          <w:color w:val="auto"/>
          <w:szCs w:val="21"/>
          <w:highlight w:val="none"/>
        </w:rPr>
        <w:t>出现下列情形之一的，采购人或者采购代理机构应当终止竞争性磋商采购活动，发布项目终止公告并说明原因，重新开展采购活动：</w:t>
      </w:r>
    </w:p>
    <w:p w14:paraId="4C0AA0A4">
      <w:pPr>
        <w:numPr>
          <w:ilvl w:val="0"/>
          <w:numId w:val="12"/>
        </w:numPr>
        <w:snapToGrid w:val="0"/>
        <w:spacing w:line="360" w:lineRule="auto"/>
        <w:ind w:left="0" w:firstLine="420" w:firstLineChars="200"/>
        <w:contextualSpacing/>
        <w:rPr>
          <w:color w:val="auto"/>
          <w:highlight w:val="none"/>
        </w:rPr>
      </w:pPr>
      <w:r>
        <w:rPr>
          <w:rFonts w:hint="eastAsia"/>
          <w:color w:val="auto"/>
          <w:highlight w:val="none"/>
        </w:rPr>
        <w:t>因情况变化，不再符合规定的竞争性磋商采购方式适用情形的；</w:t>
      </w:r>
    </w:p>
    <w:p w14:paraId="400C9778">
      <w:pPr>
        <w:numPr>
          <w:ilvl w:val="0"/>
          <w:numId w:val="12"/>
        </w:numPr>
        <w:snapToGrid w:val="0"/>
        <w:spacing w:line="360" w:lineRule="auto"/>
        <w:ind w:left="0" w:firstLine="420" w:firstLineChars="200"/>
        <w:contextualSpacing/>
        <w:rPr>
          <w:color w:val="auto"/>
          <w:highlight w:val="none"/>
        </w:rPr>
      </w:pPr>
      <w:r>
        <w:rPr>
          <w:rFonts w:hint="eastAsia"/>
          <w:color w:val="auto"/>
          <w:highlight w:val="none"/>
        </w:rPr>
        <w:t>出现影响采购公正的违法、违规行为的；</w:t>
      </w:r>
    </w:p>
    <w:bookmarkEnd w:id="535"/>
    <w:bookmarkEnd w:id="536"/>
    <w:bookmarkEnd w:id="537"/>
    <w:bookmarkEnd w:id="538"/>
    <w:p w14:paraId="76283139">
      <w:pPr>
        <w:pStyle w:val="4"/>
        <w:numPr>
          <w:ilvl w:val="1"/>
          <w:numId w:val="5"/>
        </w:numPr>
        <w:jc w:val="left"/>
        <w:rPr>
          <w:rFonts w:ascii="Times New Roman" w:hAnsi="Times New Roman"/>
          <w:bCs w:val="0"/>
          <w:color w:val="auto"/>
          <w:szCs w:val="20"/>
          <w:highlight w:val="none"/>
        </w:rPr>
      </w:pPr>
      <w:bookmarkStart w:id="567" w:name="_Toc65662042"/>
      <w:bookmarkStart w:id="568" w:name="_Toc428351660"/>
      <w:bookmarkStart w:id="569" w:name="_Toc5538"/>
      <w:bookmarkStart w:id="570" w:name="_Toc21857"/>
      <w:bookmarkStart w:id="571" w:name="_Toc462934307"/>
      <w:bookmarkStart w:id="572" w:name="_Toc428276600"/>
      <w:bookmarkStart w:id="573" w:name="_Toc21280"/>
      <w:bookmarkStart w:id="574" w:name="_Toc31871"/>
      <w:bookmarkStart w:id="575" w:name="_Toc463011286"/>
      <w:bookmarkStart w:id="576" w:name="_Toc455678133"/>
      <w:bookmarkStart w:id="577" w:name="_Toc76134482"/>
      <w:bookmarkStart w:id="578" w:name="_Toc7308"/>
      <w:bookmarkStart w:id="579" w:name="_Toc12985"/>
      <w:bookmarkStart w:id="580" w:name="_Toc31756"/>
      <w:bookmarkStart w:id="581" w:name="_Toc454788040"/>
      <w:r>
        <w:rPr>
          <w:rFonts w:hint="eastAsia" w:ascii="Times New Roman" w:hAnsi="Times New Roman"/>
          <w:bCs w:val="0"/>
          <w:color w:val="auto"/>
          <w:szCs w:val="20"/>
          <w:highlight w:val="none"/>
        </w:rPr>
        <w:t>确定成交人</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78DFC05">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采购代理机构应当自评审结束之日起1个工作日内将评审报告送交采购人。采购人应当自收到评审报告之日起1个工作日内在评审报告推荐的成交候选人中按顺序确定成交供应商。成交候选人并列的，由采购人采取随机抽取的方式确定成交人。</w:t>
      </w:r>
    </w:p>
    <w:p w14:paraId="3709E422">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采购人也可以书面授权磋商小组直接确定成交供应商。磋商小组直接确定成交供应商的应在竞争性磋商文件中写明。</w:t>
      </w:r>
    </w:p>
    <w:p w14:paraId="6292228B">
      <w:pPr>
        <w:pStyle w:val="4"/>
        <w:numPr>
          <w:ilvl w:val="1"/>
          <w:numId w:val="5"/>
        </w:numPr>
        <w:jc w:val="left"/>
        <w:rPr>
          <w:rFonts w:ascii="Times New Roman" w:hAnsi="Times New Roman"/>
          <w:bCs w:val="0"/>
          <w:color w:val="auto"/>
          <w:szCs w:val="20"/>
          <w:highlight w:val="none"/>
        </w:rPr>
      </w:pPr>
      <w:bookmarkStart w:id="582" w:name="_Toc454788041"/>
      <w:bookmarkStart w:id="583" w:name="_Toc428351661"/>
      <w:bookmarkStart w:id="584" w:name="_Toc422126474"/>
      <w:bookmarkStart w:id="585" w:name="_Toc455678134"/>
      <w:bookmarkStart w:id="586" w:name="_Toc428276601"/>
      <w:bookmarkStart w:id="587" w:name="_Toc65662043"/>
      <w:bookmarkStart w:id="588" w:name="_Toc463011287"/>
      <w:bookmarkStart w:id="589" w:name="_Toc76134483"/>
      <w:bookmarkStart w:id="590" w:name="_Toc4957"/>
      <w:bookmarkStart w:id="591" w:name="_Toc462934308"/>
      <w:bookmarkStart w:id="592" w:name="_Toc29180"/>
      <w:bookmarkStart w:id="593" w:name="_Toc11552"/>
      <w:bookmarkStart w:id="594" w:name="_Toc16692"/>
      <w:bookmarkStart w:id="595" w:name="_Toc9056"/>
      <w:bookmarkStart w:id="596" w:name="_Toc2677"/>
      <w:bookmarkStart w:id="597" w:name="_Toc15190"/>
      <w:r>
        <w:rPr>
          <w:rFonts w:hint="eastAsia" w:ascii="Times New Roman" w:hAnsi="Times New Roman"/>
          <w:bCs w:val="0"/>
          <w:color w:val="auto"/>
          <w:szCs w:val="20"/>
          <w:highlight w:val="none"/>
        </w:rPr>
        <w:t>成交结果</w:t>
      </w:r>
      <w:bookmarkEnd w:id="582"/>
      <w:bookmarkEnd w:id="583"/>
      <w:bookmarkEnd w:id="584"/>
      <w:bookmarkEnd w:id="585"/>
      <w:bookmarkEnd w:id="586"/>
      <w:r>
        <w:rPr>
          <w:rFonts w:hint="eastAsia" w:ascii="Times New Roman" w:hAnsi="Times New Roman"/>
          <w:bCs w:val="0"/>
          <w:color w:val="auto"/>
          <w:szCs w:val="20"/>
          <w:highlight w:val="none"/>
        </w:rPr>
        <w:t>公告</w:t>
      </w:r>
      <w:bookmarkEnd w:id="587"/>
      <w:bookmarkEnd w:id="588"/>
      <w:bookmarkEnd w:id="589"/>
      <w:bookmarkEnd w:id="590"/>
      <w:bookmarkEnd w:id="591"/>
      <w:bookmarkEnd w:id="592"/>
      <w:bookmarkEnd w:id="593"/>
      <w:bookmarkEnd w:id="594"/>
      <w:bookmarkEnd w:id="595"/>
      <w:bookmarkEnd w:id="596"/>
      <w:bookmarkEnd w:id="597"/>
    </w:p>
    <w:p w14:paraId="4ADBCF88">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采购人或者采购代理机构自成交供应商确定之日起1个工作日内，在公告发布的同一媒介上公告成交结果，同时向成交供应商发出成交通知书，并将</w:t>
      </w:r>
      <w:r>
        <w:rPr>
          <w:rFonts w:hint="eastAsia"/>
          <w:color w:val="auto"/>
          <w:highlight w:val="none"/>
        </w:rPr>
        <w:t>竞争性</w:t>
      </w:r>
      <w:r>
        <w:rPr>
          <w:rFonts w:hint="eastAsia" w:cs="黑体"/>
          <w:color w:val="auto"/>
          <w:highlight w:val="none"/>
        </w:rPr>
        <w:t>磋商文件随成交结果同时公告，公告期限1个工作日。</w:t>
      </w:r>
    </w:p>
    <w:p w14:paraId="19631941">
      <w:pPr>
        <w:numPr>
          <w:ilvl w:val="2"/>
          <w:numId w:val="5"/>
        </w:numPr>
        <w:wordWrap/>
        <w:topLinePunct w:val="0"/>
        <w:spacing w:line="360" w:lineRule="auto"/>
        <w:ind w:firstLine="420" w:firstLineChars="200"/>
        <w:rPr>
          <w:rFonts w:cs="黑体"/>
          <w:color w:val="auto"/>
          <w:highlight w:val="none"/>
        </w:rPr>
      </w:pPr>
      <w:bookmarkStart w:id="598" w:name="_Toc270604607"/>
      <w:r>
        <w:rPr>
          <w:rFonts w:hint="eastAsia" w:cs="黑体"/>
          <w:color w:val="auto"/>
          <w:highlight w:val="none"/>
        </w:rPr>
        <w:t>成交结果公告内容包括</w:t>
      </w:r>
      <w:bookmarkEnd w:id="522"/>
      <w:bookmarkEnd w:id="598"/>
      <w:r>
        <w:rPr>
          <w:rFonts w:hint="eastAsia" w:cs="黑体"/>
          <w:color w:val="auto"/>
          <w:highlight w:val="none"/>
        </w:rPr>
        <w:t>采购人和采购代理机构的名称、地址和联系方式、项目名称和项目编号、成交供应商名称、地址和成交金额、主要成交标的的名称、服务要求、磋商小组成员名单，采用书面推荐供应商参加采购活动的，还应当公告采购人和评审专家的推荐意见。</w:t>
      </w:r>
    </w:p>
    <w:p w14:paraId="713E2FE7">
      <w:pPr>
        <w:pStyle w:val="4"/>
        <w:numPr>
          <w:ilvl w:val="1"/>
          <w:numId w:val="5"/>
        </w:numPr>
        <w:jc w:val="left"/>
        <w:rPr>
          <w:rFonts w:ascii="Times New Roman" w:hAnsi="Times New Roman"/>
          <w:bCs w:val="0"/>
          <w:color w:val="auto"/>
          <w:szCs w:val="20"/>
          <w:highlight w:val="none"/>
        </w:rPr>
      </w:pPr>
      <w:bookmarkStart w:id="599" w:name="_Toc4319"/>
      <w:bookmarkStart w:id="600" w:name="_Toc76134484"/>
      <w:bookmarkStart w:id="601" w:name="_Toc18026"/>
      <w:bookmarkStart w:id="602" w:name="_Toc455678136"/>
      <w:bookmarkStart w:id="603" w:name="_Toc65662044"/>
      <w:bookmarkStart w:id="604" w:name="_Toc27244"/>
      <w:bookmarkStart w:id="605" w:name="_Toc462934310"/>
      <w:bookmarkStart w:id="606" w:name="_Toc15680"/>
      <w:bookmarkStart w:id="607" w:name="_Toc11152"/>
      <w:bookmarkStart w:id="608" w:name="_Toc27436"/>
      <w:bookmarkStart w:id="609" w:name="_Toc463011289"/>
      <w:bookmarkStart w:id="610" w:name="_Toc4900"/>
      <w:r>
        <w:rPr>
          <w:rFonts w:hint="eastAsia" w:ascii="Times New Roman" w:hAnsi="Times New Roman"/>
          <w:bCs w:val="0"/>
          <w:color w:val="auto"/>
          <w:szCs w:val="20"/>
          <w:highlight w:val="none"/>
        </w:rPr>
        <w:t>成交通知书</w:t>
      </w:r>
      <w:bookmarkEnd w:id="599"/>
      <w:bookmarkEnd w:id="600"/>
      <w:bookmarkEnd w:id="601"/>
      <w:bookmarkEnd w:id="602"/>
      <w:bookmarkEnd w:id="603"/>
      <w:bookmarkEnd w:id="604"/>
      <w:bookmarkEnd w:id="605"/>
      <w:bookmarkEnd w:id="606"/>
      <w:bookmarkEnd w:id="607"/>
      <w:bookmarkEnd w:id="608"/>
      <w:bookmarkEnd w:id="609"/>
      <w:bookmarkEnd w:id="610"/>
      <w:bookmarkStart w:id="611" w:name="_Toc455678137"/>
      <w:bookmarkStart w:id="612" w:name="_Toc463011290"/>
      <w:bookmarkStart w:id="613" w:name="_Toc11018"/>
      <w:bookmarkStart w:id="614" w:name="_Toc23963"/>
      <w:bookmarkStart w:id="615" w:name="_Toc462934311"/>
      <w:bookmarkStart w:id="616" w:name="_Toc269470335"/>
    </w:p>
    <w:bookmarkEnd w:id="611"/>
    <w:bookmarkEnd w:id="612"/>
    <w:bookmarkEnd w:id="613"/>
    <w:bookmarkEnd w:id="614"/>
    <w:bookmarkEnd w:id="615"/>
    <w:p w14:paraId="5805F75C">
      <w:pPr>
        <w:wordWrap/>
        <w:topLinePunct w:val="0"/>
        <w:spacing w:line="360" w:lineRule="auto"/>
        <w:ind w:firstLine="420" w:firstLineChars="200"/>
        <w:rPr>
          <w:color w:val="auto"/>
          <w:highlight w:val="none"/>
        </w:rPr>
      </w:pPr>
      <w:bookmarkStart w:id="617" w:name="_Toc720"/>
      <w:bookmarkStart w:id="618" w:name="_Toc463011292"/>
      <w:bookmarkStart w:id="619" w:name="_Toc455678139"/>
      <w:bookmarkStart w:id="620" w:name="_Toc462934313"/>
      <w:bookmarkStart w:id="621" w:name="_Toc10798"/>
      <w:r>
        <w:rPr>
          <w:rFonts w:hint="eastAsia"/>
          <w:color w:val="auto"/>
          <w:highlight w:val="none"/>
        </w:rPr>
        <w:t>在公告成交结果的同时，采购人或者采购代理机构向成交人发出成交通知书，成交通知书将作为进行合同磋商和签订合同的依据。</w:t>
      </w:r>
    </w:p>
    <w:p w14:paraId="65B26239">
      <w:pPr>
        <w:pStyle w:val="4"/>
        <w:numPr>
          <w:ilvl w:val="1"/>
          <w:numId w:val="5"/>
        </w:numPr>
        <w:jc w:val="left"/>
        <w:rPr>
          <w:rFonts w:ascii="Times New Roman" w:hAnsi="Times New Roman"/>
          <w:bCs w:val="0"/>
          <w:color w:val="auto"/>
          <w:szCs w:val="20"/>
          <w:highlight w:val="none"/>
        </w:rPr>
      </w:pPr>
      <w:bookmarkStart w:id="622" w:name="_Toc6487"/>
      <w:bookmarkStart w:id="623" w:name="_Toc76134485"/>
      <w:bookmarkStart w:id="624" w:name="_Toc7705"/>
      <w:bookmarkStart w:id="625" w:name="_Toc65662045"/>
      <w:bookmarkStart w:id="626" w:name="_Toc12656"/>
      <w:bookmarkStart w:id="627" w:name="_Toc17481"/>
      <w:bookmarkStart w:id="628" w:name="_Toc12776"/>
      <w:r>
        <w:rPr>
          <w:rFonts w:hint="eastAsia" w:ascii="Times New Roman" w:hAnsi="Times New Roman"/>
          <w:bCs w:val="0"/>
          <w:color w:val="auto"/>
          <w:szCs w:val="20"/>
          <w:highlight w:val="none"/>
        </w:rPr>
        <w:t>履约保证金</w:t>
      </w:r>
      <w:bookmarkEnd w:id="617"/>
      <w:bookmarkEnd w:id="618"/>
      <w:bookmarkEnd w:id="619"/>
      <w:bookmarkEnd w:id="620"/>
      <w:bookmarkEnd w:id="621"/>
      <w:bookmarkEnd w:id="622"/>
      <w:bookmarkEnd w:id="623"/>
      <w:bookmarkEnd w:id="624"/>
      <w:bookmarkEnd w:id="625"/>
      <w:bookmarkEnd w:id="626"/>
      <w:bookmarkEnd w:id="627"/>
      <w:bookmarkEnd w:id="628"/>
    </w:p>
    <w:p w14:paraId="74A9DB8E">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成交人应按供应商须知前附表规定的形式、金额向采购人提交履约保证金。</w:t>
      </w:r>
    </w:p>
    <w:p w14:paraId="0E8658D5">
      <w:pPr>
        <w:numPr>
          <w:ilvl w:val="2"/>
          <w:numId w:val="5"/>
        </w:numPr>
        <w:wordWrap/>
        <w:topLinePunct w:val="0"/>
        <w:spacing w:line="360" w:lineRule="auto"/>
        <w:ind w:firstLine="420" w:firstLineChars="200"/>
        <w:rPr>
          <w:rFonts w:cs="黑体"/>
          <w:color w:val="auto"/>
          <w:highlight w:val="none"/>
        </w:rPr>
      </w:pPr>
      <w:r>
        <w:rPr>
          <w:rFonts w:hint="eastAsia" w:cs="黑体"/>
          <w:color w:val="auto"/>
          <w:highlight w:val="none"/>
        </w:rPr>
        <w:t>成交人不能按本章第5.9.1项要求提交履约保证金的，视为放弃成交，成交人还应当予以赔偿。</w:t>
      </w:r>
    </w:p>
    <w:p w14:paraId="723A318A">
      <w:pPr>
        <w:pStyle w:val="147"/>
        <w:numPr>
          <w:ilvl w:val="0"/>
          <w:numId w:val="5"/>
        </w:numPr>
        <w:tabs>
          <w:tab w:val="left" w:pos="360"/>
        </w:tabs>
        <w:snapToGrid w:val="0"/>
        <w:spacing w:line="360" w:lineRule="auto"/>
        <w:contextualSpacing/>
        <w:jc w:val="both"/>
        <w:outlineLvl w:val="1"/>
        <w:rPr>
          <w:rStyle w:val="64"/>
          <w:color w:val="auto"/>
          <w:highlight w:val="none"/>
        </w:rPr>
      </w:pPr>
      <w:bookmarkStart w:id="629" w:name="_Toc8811"/>
      <w:bookmarkStart w:id="630" w:name="_Toc76134486"/>
      <w:bookmarkStart w:id="631" w:name="_Toc15871"/>
      <w:bookmarkStart w:id="632" w:name="_Toc23149"/>
      <w:bookmarkStart w:id="633" w:name="_Toc11801"/>
      <w:bookmarkStart w:id="634" w:name="_Toc65662046"/>
      <w:bookmarkStart w:id="635" w:name="_Toc25241"/>
      <w:r>
        <w:rPr>
          <w:rStyle w:val="64"/>
          <w:rFonts w:hint="eastAsia"/>
          <w:color w:val="auto"/>
          <w:highlight w:val="none"/>
        </w:rPr>
        <w:t>授予合同</w:t>
      </w:r>
      <w:bookmarkEnd w:id="629"/>
      <w:bookmarkEnd w:id="630"/>
      <w:bookmarkEnd w:id="631"/>
      <w:bookmarkEnd w:id="632"/>
      <w:bookmarkEnd w:id="633"/>
      <w:bookmarkEnd w:id="634"/>
      <w:bookmarkEnd w:id="635"/>
      <w:bookmarkStart w:id="636" w:name="_Toc32765"/>
    </w:p>
    <w:p w14:paraId="30E7F191">
      <w:pPr>
        <w:pStyle w:val="147"/>
        <w:numPr>
          <w:ilvl w:val="1"/>
          <w:numId w:val="5"/>
        </w:numPr>
        <w:tabs>
          <w:tab w:val="left" w:pos="360"/>
        </w:tabs>
        <w:snapToGrid w:val="0"/>
        <w:spacing w:line="360" w:lineRule="auto"/>
        <w:ind w:firstLine="420" w:firstLineChars="200"/>
        <w:contextualSpacing/>
        <w:jc w:val="both"/>
        <w:outlineLvl w:val="2"/>
        <w:rPr>
          <w:rFonts w:hAnsi="宋体" w:cs="黑体"/>
          <w:color w:val="auto"/>
          <w:kern w:val="2"/>
          <w:sz w:val="21"/>
          <w:szCs w:val="21"/>
          <w:highlight w:val="none"/>
        </w:rPr>
      </w:pPr>
      <w:bookmarkStart w:id="637" w:name="_Toc28514"/>
      <w:bookmarkStart w:id="638" w:name="_Toc26749"/>
      <w:bookmarkStart w:id="639" w:name="_Toc23267"/>
      <w:bookmarkStart w:id="640" w:name="_Toc8361"/>
      <w:bookmarkStart w:id="641" w:name="_Toc9895"/>
      <w:bookmarkStart w:id="642" w:name="_Toc65662047"/>
      <w:bookmarkStart w:id="643" w:name="_Toc8375"/>
      <w:bookmarkStart w:id="644" w:name="_Toc76134487"/>
      <w:bookmarkStart w:id="645" w:name="_Toc25979"/>
      <w:bookmarkStart w:id="646" w:name="_Toc29019"/>
      <w:bookmarkStart w:id="647" w:name="_Toc4796"/>
      <w:bookmarkStart w:id="648" w:name="_Toc10779"/>
      <w:r>
        <w:rPr>
          <w:rFonts w:hint="eastAsia" w:hAnsi="宋体" w:cs="黑体"/>
          <w:color w:val="auto"/>
          <w:kern w:val="2"/>
          <w:sz w:val="21"/>
          <w:szCs w:val="21"/>
          <w:highlight w:val="none"/>
        </w:rPr>
        <w:t>采购人自成交通知书发出之日起1个工作日内，按照竞争性磋商文件和成交人响应文件的规定，与成交人签订书面合同。所签订的合同不得对竞争性磋商文件确定的事项和成交人响应文件作实质性修改。</w:t>
      </w:r>
      <w:bookmarkEnd w:id="636"/>
      <w:bookmarkEnd w:id="637"/>
      <w:bookmarkEnd w:id="638"/>
      <w:bookmarkEnd w:id="639"/>
      <w:bookmarkEnd w:id="640"/>
      <w:bookmarkEnd w:id="641"/>
      <w:bookmarkEnd w:id="642"/>
      <w:bookmarkEnd w:id="643"/>
      <w:bookmarkEnd w:id="644"/>
      <w:bookmarkEnd w:id="645"/>
      <w:bookmarkEnd w:id="646"/>
      <w:bookmarkEnd w:id="647"/>
      <w:bookmarkEnd w:id="648"/>
      <w:bookmarkStart w:id="649" w:name="_Toc26954"/>
    </w:p>
    <w:bookmarkEnd w:id="649"/>
    <w:p w14:paraId="2D6AA1B6">
      <w:pPr>
        <w:pStyle w:val="147"/>
        <w:numPr>
          <w:ilvl w:val="1"/>
          <w:numId w:val="5"/>
        </w:numPr>
        <w:tabs>
          <w:tab w:val="left" w:pos="360"/>
        </w:tabs>
        <w:snapToGrid w:val="0"/>
        <w:spacing w:line="360" w:lineRule="auto"/>
        <w:ind w:firstLine="420" w:firstLineChars="200"/>
        <w:contextualSpacing/>
        <w:jc w:val="both"/>
        <w:outlineLvl w:val="2"/>
        <w:rPr>
          <w:rFonts w:hAnsi="宋体" w:cs="黑体"/>
          <w:color w:val="auto"/>
          <w:kern w:val="2"/>
          <w:sz w:val="21"/>
          <w:szCs w:val="21"/>
          <w:highlight w:val="none"/>
        </w:rPr>
      </w:pPr>
      <w:bookmarkStart w:id="650" w:name="_Toc3581"/>
      <w:bookmarkStart w:id="651" w:name="_Toc21772"/>
      <w:bookmarkStart w:id="652" w:name="_Toc8421"/>
      <w:bookmarkStart w:id="653" w:name="_Toc1943"/>
      <w:bookmarkStart w:id="654" w:name="_Toc10652"/>
      <w:bookmarkStart w:id="655" w:name="_Toc28722"/>
      <w:bookmarkStart w:id="656" w:name="_Toc9269"/>
      <w:bookmarkStart w:id="657" w:name="_Toc5127"/>
      <w:bookmarkStart w:id="658" w:name="_Toc76134488"/>
      <w:bookmarkStart w:id="659" w:name="_Toc14039"/>
      <w:bookmarkStart w:id="660" w:name="_Toc1839"/>
      <w:bookmarkStart w:id="661" w:name="_Toc65662048"/>
      <w:bookmarkStart w:id="662" w:name="_Toc14610"/>
      <w:r>
        <w:rPr>
          <w:rFonts w:hint="eastAsia" w:hAnsi="宋体" w:cs="黑体"/>
          <w:color w:val="auto"/>
          <w:kern w:val="2"/>
          <w:sz w:val="21"/>
          <w:szCs w:val="21"/>
          <w:highlight w:val="none"/>
        </w:rPr>
        <w:t>竞争性磋商文件、成交人的响应文件和澄清文件等，均应作为签约的合同文本的基础。</w:t>
      </w:r>
      <w:bookmarkEnd w:id="650"/>
      <w:bookmarkEnd w:id="651"/>
      <w:bookmarkEnd w:id="652"/>
      <w:bookmarkEnd w:id="653"/>
      <w:bookmarkEnd w:id="654"/>
      <w:bookmarkEnd w:id="655"/>
      <w:bookmarkEnd w:id="656"/>
      <w:bookmarkEnd w:id="657"/>
      <w:bookmarkEnd w:id="658"/>
      <w:bookmarkEnd w:id="659"/>
      <w:bookmarkEnd w:id="660"/>
      <w:bookmarkEnd w:id="661"/>
      <w:bookmarkEnd w:id="662"/>
      <w:bookmarkStart w:id="663" w:name="_Toc5481"/>
    </w:p>
    <w:bookmarkEnd w:id="663"/>
    <w:p w14:paraId="1C16577D">
      <w:pPr>
        <w:pStyle w:val="147"/>
        <w:numPr>
          <w:ilvl w:val="1"/>
          <w:numId w:val="5"/>
        </w:numPr>
        <w:tabs>
          <w:tab w:val="left" w:pos="360"/>
        </w:tabs>
        <w:snapToGrid w:val="0"/>
        <w:spacing w:line="360" w:lineRule="auto"/>
        <w:ind w:firstLine="420" w:firstLineChars="200"/>
        <w:contextualSpacing/>
        <w:jc w:val="both"/>
        <w:outlineLvl w:val="2"/>
        <w:rPr>
          <w:rFonts w:hAnsi="宋体" w:cs="黑体"/>
          <w:color w:val="auto"/>
          <w:kern w:val="2"/>
          <w:sz w:val="21"/>
          <w:szCs w:val="21"/>
          <w:highlight w:val="none"/>
        </w:rPr>
      </w:pPr>
      <w:bookmarkStart w:id="664" w:name="_Toc26830"/>
      <w:bookmarkStart w:id="665" w:name="_Toc11818"/>
      <w:bookmarkStart w:id="666" w:name="_Toc76134489"/>
      <w:bookmarkStart w:id="667" w:name="_Toc24393"/>
      <w:bookmarkStart w:id="668" w:name="_Toc4762"/>
      <w:bookmarkStart w:id="669" w:name="_Toc1465"/>
      <w:bookmarkStart w:id="670" w:name="_Toc26076"/>
      <w:bookmarkStart w:id="671" w:name="_Toc31694"/>
      <w:bookmarkStart w:id="672" w:name="_Toc18228"/>
      <w:bookmarkStart w:id="673" w:name="_Toc24130"/>
      <w:bookmarkStart w:id="674" w:name="_Toc65662049"/>
      <w:bookmarkStart w:id="675" w:name="_Toc10089"/>
      <w:bookmarkStart w:id="676" w:name="_Toc2991"/>
      <w:r>
        <w:rPr>
          <w:rFonts w:hint="eastAsia" w:hAnsi="宋体" w:cs="黑体"/>
          <w:color w:val="auto"/>
          <w:kern w:val="2"/>
          <w:sz w:val="21"/>
          <w:szCs w:val="21"/>
          <w:highlight w:val="none"/>
        </w:rPr>
        <w:t>政府采购合同包括采购人与成交人的名称和住所、标的、数量、质量、价款或者报酬、履行期限及地点和方式、验收要求、违约责任、解决争议的方法等内容。</w:t>
      </w:r>
      <w:bookmarkEnd w:id="664"/>
      <w:bookmarkEnd w:id="665"/>
      <w:bookmarkEnd w:id="666"/>
      <w:bookmarkEnd w:id="667"/>
      <w:bookmarkEnd w:id="668"/>
      <w:bookmarkEnd w:id="669"/>
      <w:bookmarkEnd w:id="670"/>
      <w:bookmarkEnd w:id="671"/>
      <w:bookmarkEnd w:id="672"/>
      <w:bookmarkEnd w:id="673"/>
      <w:bookmarkEnd w:id="674"/>
      <w:bookmarkEnd w:id="675"/>
      <w:bookmarkEnd w:id="676"/>
      <w:bookmarkStart w:id="677" w:name="_Toc7717"/>
    </w:p>
    <w:p w14:paraId="02CA6359">
      <w:pPr>
        <w:pStyle w:val="147"/>
        <w:numPr>
          <w:ilvl w:val="1"/>
          <w:numId w:val="5"/>
        </w:numPr>
        <w:tabs>
          <w:tab w:val="left" w:pos="360"/>
        </w:tabs>
        <w:snapToGrid w:val="0"/>
        <w:spacing w:line="360" w:lineRule="auto"/>
        <w:ind w:firstLine="420" w:firstLineChars="200"/>
        <w:contextualSpacing/>
        <w:jc w:val="both"/>
        <w:outlineLvl w:val="2"/>
        <w:rPr>
          <w:rFonts w:hAnsi="宋体" w:cs="黑体"/>
          <w:color w:val="auto"/>
          <w:kern w:val="2"/>
          <w:sz w:val="21"/>
          <w:szCs w:val="21"/>
          <w:highlight w:val="none"/>
        </w:rPr>
      </w:pPr>
      <w:bookmarkStart w:id="678" w:name="_Toc31748"/>
      <w:bookmarkStart w:id="679" w:name="_Toc17486"/>
      <w:bookmarkStart w:id="680" w:name="_Toc20281"/>
      <w:bookmarkStart w:id="681" w:name="_Toc5311"/>
      <w:bookmarkStart w:id="682" w:name="_Toc65662050"/>
      <w:bookmarkStart w:id="683" w:name="_Toc76134490"/>
      <w:bookmarkStart w:id="684" w:name="_Toc28432"/>
      <w:bookmarkStart w:id="685" w:name="_Toc891"/>
      <w:bookmarkStart w:id="686" w:name="_Toc27813"/>
      <w:bookmarkStart w:id="687" w:name="_Toc20765"/>
      <w:bookmarkStart w:id="688" w:name="_Toc30158"/>
      <w:bookmarkStart w:id="689" w:name="_Toc6035"/>
      <w:r>
        <w:rPr>
          <w:rFonts w:hint="eastAsia" w:hAnsi="宋体" w:cs="黑体"/>
          <w:color w:val="auto"/>
          <w:kern w:val="2"/>
          <w:sz w:val="21"/>
          <w:szCs w:val="21"/>
          <w:highlight w:val="none"/>
        </w:rPr>
        <w:t>如成交人不按本章第6.1项约定签订合同，采购人将报请取消其成交决定。采购人可按照磋商小组推荐的成交候选人名单排序，确定下一候选人为成交人或者重新采购。</w:t>
      </w:r>
      <w:bookmarkEnd w:id="677"/>
      <w:bookmarkEnd w:id="678"/>
      <w:bookmarkEnd w:id="679"/>
      <w:bookmarkEnd w:id="680"/>
      <w:bookmarkEnd w:id="681"/>
      <w:bookmarkEnd w:id="682"/>
      <w:bookmarkEnd w:id="683"/>
      <w:bookmarkEnd w:id="684"/>
      <w:bookmarkEnd w:id="685"/>
      <w:bookmarkEnd w:id="686"/>
      <w:bookmarkEnd w:id="687"/>
      <w:bookmarkEnd w:id="688"/>
      <w:bookmarkEnd w:id="689"/>
    </w:p>
    <w:bookmarkEnd w:id="616"/>
    <w:p w14:paraId="56174358">
      <w:pPr>
        <w:pStyle w:val="147"/>
        <w:numPr>
          <w:ilvl w:val="0"/>
          <w:numId w:val="5"/>
        </w:numPr>
        <w:tabs>
          <w:tab w:val="left" w:pos="360"/>
        </w:tabs>
        <w:snapToGrid w:val="0"/>
        <w:spacing w:line="360" w:lineRule="auto"/>
        <w:contextualSpacing/>
        <w:jc w:val="both"/>
        <w:outlineLvl w:val="1"/>
        <w:rPr>
          <w:rStyle w:val="64"/>
          <w:color w:val="auto"/>
          <w:highlight w:val="none"/>
        </w:rPr>
      </w:pPr>
      <w:bookmarkStart w:id="690" w:name="_Toc2850"/>
      <w:bookmarkStart w:id="691" w:name="_Toc25425"/>
      <w:bookmarkStart w:id="692" w:name="_Toc27882"/>
      <w:bookmarkStart w:id="693" w:name="_Toc8030"/>
      <w:bookmarkStart w:id="694" w:name="_Toc270604610"/>
      <w:bookmarkStart w:id="695" w:name="_Toc26730"/>
      <w:bookmarkStart w:id="696" w:name="_Toc9461"/>
      <w:bookmarkStart w:id="697" w:name="_Toc269470338"/>
      <w:bookmarkStart w:id="698" w:name="_Toc76134491"/>
      <w:bookmarkStart w:id="699" w:name="_Toc65662051"/>
      <w:r>
        <w:rPr>
          <w:rStyle w:val="64"/>
          <w:rFonts w:hint="eastAsia"/>
          <w:color w:val="auto"/>
          <w:highlight w:val="none"/>
        </w:rPr>
        <w:t>纪律和监督</w:t>
      </w:r>
      <w:bookmarkEnd w:id="690"/>
      <w:bookmarkEnd w:id="691"/>
      <w:bookmarkEnd w:id="692"/>
      <w:bookmarkEnd w:id="693"/>
      <w:bookmarkEnd w:id="694"/>
      <w:bookmarkEnd w:id="695"/>
      <w:bookmarkEnd w:id="696"/>
      <w:bookmarkEnd w:id="697"/>
      <w:bookmarkEnd w:id="698"/>
      <w:bookmarkEnd w:id="699"/>
    </w:p>
    <w:p w14:paraId="5FA19AD5">
      <w:pPr>
        <w:pStyle w:val="4"/>
        <w:numPr>
          <w:ilvl w:val="1"/>
          <w:numId w:val="5"/>
        </w:numPr>
        <w:ind w:firstLine="420" w:firstLineChars="200"/>
        <w:jc w:val="left"/>
        <w:rPr>
          <w:rFonts w:ascii="Times New Roman" w:hAnsi="Times New Roman"/>
          <w:bCs w:val="0"/>
          <w:color w:val="auto"/>
          <w:szCs w:val="20"/>
          <w:highlight w:val="none"/>
        </w:rPr>
      </w:pPr>
      <w:bookmarkStart w:id="700" w:name="_Toc18636"/>
      <w:bookmarkStart w:id="701" w:name="_Toc270604611"/>
      <w:bookmarkStart w:id="702" w:name="_Toc277149399"/>
      <w:bookmarkStart w:id="703" w:name="_Toc462934323"/>
      <w:bookmarkStart w:id="704" w:name="_Toc13152"/>
      <w:bookmarkStart w:id="705" w:name="_Toc269470339"/>
      <w:bookmarkStart w:id="706" w:name="_Toc4088"/>
      <w:bookmarkStart w:id="707" w:name="_Toc455678149"/>
      <w:bookmarkStart w:id="708" w:name="_Toc463011302"/>
      <w:bookmarkStart w:id="709" w:name="_Toc454788046"/>
      <w:bookmarkStart w:id="710" w:name="_Toc31772"/>
      <w:bookmarkStart w:id="711" w:name="_Toc428276606"/>
      <w:bookmarkStart w:id="712" w:name="_Toc76134492"/>
      <w:bookmarkStart w:id="713" w:name="_Toc5"/>
      <w:bookmarkStart w:id="714" w:name="_Toc270604838"/>
      <w:bookmarkStart w:id="715" w:name="_Toc428351666"/>
      <w:bookmarkStart w:id="716" w:name="_Toc2717"/>
      <w:bookmarkStart w:id="717" w:name="_Toc65662052"/>
      <w:bookmarkStart w:id="718" w:name="_Toc12043"/>
      <w:r>
        <w:rPr>
          <w:rFonts w:hint="eastAsia" w:ascii="Times New Roman" w:hAnsi="Times New Roman"/>
          <w:bCs w:val="0"/>
          <w:color w:val="auto"/>
          <w:szCs w:val="20"/>
          <w:highlight w:val="none"/>
        </w:rPr>
        <w:t>对采购人的纪律要求</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F93AD31">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采购人不得泄漏竞争性磋商中应当保密的情况和资料，不得与供应商串通损害国家利益、社会公共利益或者他人合法权益。</w:t>
      </w:r>
    </w:p>
    <w:p w14:paraId="6346AC77">
      <w:pPr>
        <w:pStyle w:val="4"/>
        <w:numPr>
          <w:ilvl w:val="1"/>
          <w:numId w:val="5"/>
        </w:numPr>
        <w:ind w:firstLine="420" w:firstLineChars="200"/>
        <w:jc w:val="left"/>
        <w:rPr>
          <w:rFonts w:ascii="Times New Roman" w:hAnsi="Times New Roman"/>
          <w:bCs w:val="0"/>
          <w:color w:val="auto"/>
          <w:szCs w:val="20"/>
          <w:highlight w:val="none"/>
        </w:rPr>
      </w:pPr>
      <w:bookmarkStart w:id="719" w:name="_Toc10123"/>
      <w:bookmarkStart w:id="720" w:name="_Toc76134493"/>
      <w:bookmarkStart w:id="721" w:name="_Toc270604839"/>
      <w:bookmarkStart w:id="722" w:name="_Toc462934324"/>
      <w:bookmarkStart w:id="723" w:name="_Toc428351667"/>
      <w:bookmarkStart w:id="724" w:name="_Toc65662053"/>
      <w:bookmarkStart w:id="725" w:name="_Toc24245"/>
      <w:bookmarkStart w:id="726" w:name="_Toc1136"/>
      <w:bookmarkStart w:id="727" w:name="_Toc31806"/>
      <w:bookmarkStart w:id="728" w:name="_Toc13126"/>
      <w:bookmarkStart w:id="729" w:name="_Toc455678150"/>
      <w:bookmarkStart w:id="730" w:name="_Toc428276607"/>
      <w:bookmarkStart w:id="731" w:name="_Toc277149400"/>
      <w:bookmarkStart w:id="732" w:name="_Toc269470340"/>
      <w:bookmarkStart w:id="733" w:name="_Toc463011303"/>
      <w:bookmarkStart w:id="734" w:name="_Toc270604612"/>
      <w:bookmarkStart w:id="735" w:name="_Toc15145"/>
      <w:bookmarkStart w:id="736" w:name="_Toc30206"/>
      <w:bookmarkStart w:id="737" w:name="_Toc454788047"/>
      <w:r>
        <w:rPr>
          <w:rFonts w:hint="eastAsia" w:ascii="Times New Roman" w:hAnsi="Times New Roman"/>
          <w:bCs w:val="0"/>
          <w:color w:val="auto"/>
          <w:szCs w:val="20"/>
          <w:highlight w:val="none"/>
        </w:rPr>
        <w:t>对供应商的纪律要求</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461990E7">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32A3D324">
      <w:pPr>
        <w:pStyle w:val="4"/>
        <w:numPr>
          <w:ilvl w:val="1"/>
          <w:numId w:val="5"/>
        </w:numPr>
        <w:ind w:firstLine="420" w:firstLineChars="200"/>
        <w:jc w:val="left"/>
        <w:rPr>
          <w:rFonts w:ascii="Times New Roman" w:hAnsi="Times New Roman"/>
          <w:bCs w:val="0"/>
          <w:color w:val="auto"/>
          <w:szCs w:val="20"/>
          <w:highlight w:val="none"/>
        </w:rPr>
      </w:pPr>
      <w:bookmarkStart w:id="738" w:name="_Toc32730"/>
      <w:bookmarkStart w:id="739" w:name="_Toc65662054"/>
      <w:bookmarkStart w:id="740" w:name="_Toc15643"/>
      <w:bookmarkStart w:id="741" w:name="_Toc30171"/>
      <w:bookmarkStart w:id="742" w:name="_Toc463011304"/>
      <w:bookmarkStart w:id="743" w:name="_Toc462934325"/>
      <w:bookmarkStart w:id="744" w:name="_Toc454788048"/>
      <w:bookmarkStart w:id="745" w:name="_Toc428351668"/>
      <w:bookmarkStart w:id="746" w:name="_Toc23588"/>
      <w:bookmarkStart w:id="747" w:name="_Toc428276608"/>
      <w:bookmarkStart w:id="748" w:name="_Toc15953"/>
      <w:bookmarkStart w:id="749" w:name="_Toc76134494"/>
      <w:bookmarkStart w:id="750" w:name="_Toc455678151"/>
      <w:bookmarkStart w:id="751" w:name="_Toc277149401"/>
      <w:bookmarkStart w:id="752" w:name="_Toc270604840"/>
      <w:bookmarkStart w:id="753" w:name="_Toc26184"/>
      <w:bookmarkStart w:id="754" w:name="_Toc269470341"/>
      <w:bookmarkStart w:id="755" w:name="_Toc270604613"/>
      <w:bookmarkStart w:id="756" w:name="_Toc14519"/>
      <w:r>
        <w:rPr>
          <w:rFonts w:hint="eastAsia" w:ascii="Times New Roman" w:hAnsi="Times New Roman"/>
          <w:bCs w:val="0"/>
          <w:color w:val="auto"/>
          <w:szCs w:val="20"/>
          <w:highlight w:val="none"/>
        </w:rPr>
        <w:t>对磋商小组成员的纪律要求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7CFD0D5D">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5B31249A">
      <w:pPr>
        <w:pStyle w:val="4"/>
        <w:numPr>
          <w:ilvl w:val="1"/>
          <w:numId w:val="5"/>
        </w:numPr>
        <w:ind w:firstLine="420" w:firstLineChars="200"/>
        <w:jc w:val="left"/>
        <w:rPr>
          <w:rFonts w:ascii="Times New Roman" w:hAnsi="Times New Roman"/>
          <w:bCs w:val="0"/>
          <w:color w:val="auto"/>
          <w:szCs w:val="20"/>
          <w:highlight w:val="none"/>
        </w:rPr>
      </w:pPr>
      <w:bookmarkStart w:id="757" w:name="_Toc4673"/>
      <w:bookmarkStart w:id="758" w:name="_Toc463011305"/>
      <w:bookmarkStart w:id="759" w:name="_Toc428351669"/>
      <w:bookmarkStart w:id="760" w:name="_Toc454788049"/>
      <w:bookmarkStart w:id="761" w:name="_Toc428276609"/>
      <w:bookmarkStart w:id="762" w:name="_Toc14202"/>
      <w:bookmarkStart w:id="763" w:name="_Toc8563"/>
      <w:bookmarkStart w:id="764" w:name="_Toc269470342"/>
      <w:bookmarkStart w:id="765" w:name="_Toc455678152"/>
      <w:bookmarkStart w:id="766" w:name="_Toc19990"/>
      <w:bookmarkStart w:id="767" w:name="_Toc270604614"/>
      <w:bookmarkStart w:id="768" w:name="_Toc2139"/>
      <w:bookmarkStart w:id="769" w:name="_Toc26833"/>
      <w:bookmarkStart w:id="770" w:name="_Toc65662055"/>
      <w:bookmarkStart w:id="771" w:name="_Toc3285"/>
      <w:bookmarkStart w:id="772" w:name="_Toc76134495"/>
      <w:bookmarkStart w:id="773" w:name="_Toc462934326"/>
      <w:bookmarkStart w:id="774" w:name="_Toc270604841"/>
      <w:bookmarkStart w:id="775" w:name="_Toc277149402"/>
      <w:r>
        <w:rPr>
          <w:rFonts w:hint="eastAsia" w:ascii="Times New Roman" w:hAnsi="Times New Roman"/>
          <w:bCs w:val="0"/>
          <w:color w:val="auto"/>
          <w:szCs w:val="20"/>
          <w:highlight w:val="none"/>
        </w:rPr>
        <w:t>对与磋商活动有关的工作人员的纪律要求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69FE906A">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498E747B">
      <w:pPr>
        <w:pStyle w:val="4"/>
        <w:numPr>
          <w:ilvl w:val="1"/>
          <w:numId w:val="5"/>
        </w:numPr>
        <w:ind w:firstLine="420" w:firstLineChars="200"/>
        <w:jc w:val="left"/>
        <w:rPr>
          <w:rFonts w:ascii="Times New Roman" w:hAnsi="Times New Roman"/>
          <w:bCs w:val="0"/>
          <w:color w:val="auto"/>
          <w:szCs w:val="20"/>
          <w:highlight w:val="none"/>
        </w:rPr>
      </w:pPr>
      <w:bookmarkStart w:id="776" w:name="_Toc454788050"/>
      <w:bookmarkStart w:id="777" w:name="_Toc428276610"/>
      <w:bookmarkStart w:id="778" w:name="_Toc31780"/>
      <w:bookmarkStart w:id="779" w:name="_Toc29089"/>
      <w:bookmarkStart w:id="780" w:name="_Toc428351670"/>
      <w:bookmarkStart w:id="781" w:name="_Toc270604615"/>
      <w:bookmarkStart w:id="782" w:name="_Toc277149403"/>
      <w:bookmarkStart w:id="783" w:name="_Toc76134496"/>
      <w:bookmarkStart w:id="784" w:name="_Toc27033"/>
      <w:bookmarkStart w:id="785" w:name="_Toc269470343"/>
      <w:bookmarkStart w:id="786" w:name="_Toc270604842"/>
      <w:bookmarkStart w:id="787" w:name="_Toc11594"/>
      <w:bookmarkStart w:id="788" w:name="_Toc23825"/>
      <w:bookmarkStart w:id="789" w:name="_Toc23745"/>
      <w:bookmarkStart w:id="790" w:name="_Toc65662056"/>
      <w:r>
        <w:rPr>
          <w:rFonts w:hint="eastAsia" w:ascii="Times New Roman" w:hAnsi="Times New Roman"/>
          <w:bCs w:val="0"/>
          <w:color w:val="auto"/>
          <w:szCs w:val="20"/>
          <w:highlight w:val="none"/>
        </w:rPr>
        <w:t>询问、质疑和投诉</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1699B1C7">
      <w:pPr>
        <w:numPr>
          <w:ilvl w:val="2"/>
          <w:numId w:val="5"/>
        </w:numPr>
        <w:wordWrap/>
        <w:topLinePunct w:val="0"/>
        <w:spacing w:line="360" w:lineRule="auto"/>
        <w:ind w:firstLine="420" w:firstLineChars="200"/>
        <w:rPr>
          <w:rFonts w:cs="黑体"/>
          <w:color w:val="auto"/>
          <w:highlight w:val="none"/>
        </w:rPr>
      </w:pPr>
      <w:bookmarkStart w:id="791" w:name="_Toc463011307"/>
      <w:bookmarkStart w:id="792" w:name="_Toc455678154"/>
      <w:bookmarkStart w:id="793" w:name="_Toc11785"/>
      <w:bookmarkStart w:id="794" w:name="_Toc462934328"/>
      <w:bookmarkStart w:id="795" w:name="_Toc17445"/>
      <w:r>
        <w:rPr>
          <w:rFonts w:hint="eastAsia" w:cs="黑体"/>
          <w:color w:val="auto"/>
          <w:highlight w:val="none"/>
        </w:rPr>
        <w:t>供应商或有关当事人对磋商过程、成交结果有异议的，可以向采购人或者采购代理机构提出询问。</w:t>
      </w:r>
      <w:bookmarkEnd w:id="791"/>
      <w:bookmarkEnd w:id="792"/>
      <w:bookmarkEnd w:id="793"/>
      <w:bookmarkEnd w:id="794"/>
      <w:bookmarkEnd w:id="795"/>
    </w:p>
    <w:p w14:paraId="027D2F19">
      <w:pPr>
        <w:numPr>
          <w:ilvl w:val="2"/>
          <w:numId w:val="5"/>
        </w:numPr>
        <w:wordWrap/>
        <w:topLinePunct w:val="0"/>
        <w:spacing w:line="360" w:lineRule="auto"/>
        <w:ind w:firstLine="420" w:firstLineChars="200"/>
        <w:rPr>
          <w:rFonts w:cs="黑体"/>
          <w:color w:val="auto"/>
          <w:highlight w:val="none"/>
        </w:rPr>
      </w:pPr>
      <w:bookmarkStart w:id="796" w:name="_Toc455678155"/>
      <w:bookmarkStart w:id="797" w:name="_Toc463011308"/>
      <w:bookmarkStart w:id="798" w:name="_Toc27421"/>
      <w:bookmarkStart w:id="799" w:name="_Toc462934329"/>
      <w:bookmarkStart w:id="800" w:name="_Toc24621"/>
      <w:r>
        <w:rPr>
          <w:rFonts w:hint="eastAsia" w:cs="黑体"/>
          <w:color w:val="auto"/>
          <w:highlight w:val="none"/>
        </w:rPr>
        <w:t>采购人或者采购代理机构应当在三个工作日内对供应商依法提出的询问作出答复。</w:t>
      </w:r>
      <w:bookmarkEnd w:id="796"/>
      <w:bookmarkEnd w:id="797"/>
      <w:bookmarkEnd w:id="798"/>
      <w:bookmarkEnd w:id="799"/>
      <w:bookmarkEnd w:id="800"/>
    </w:p>
    <w:p w14:paraId="6FF71A00">
      <w:pPr>
        <w:numPr>
          <w:ilvl w:val="2"/>
          <w:numId w:val="5"/>
        </w:numPr>
        <w:wordWrap/>
        <w:topLinePunct w:val="0"/>
        <w:spacing w:line="360" w:lineRule="auto"/>
        <w:ind w:firstLine="420" w:firstLineChars="200"/>
        <w:rPr>
          <w:rFonts w:cs="黑体"/>
          <w:color w:val="auto"/>
          <w:highlight w:val="none"/>
        </w:rPr>
      </w:pPr>
      <w:bookmarkStart w:id="801" w:name="_Toc462934330"/>
      <w:bookmarkStart w:id="802" w:name="_Toc455678156"/>
      <w:bookmarkStart w:id="803" w:name="_Toc463011309"/>
      <w:bookmarkStart w:id="804" w:name="_Toc30298"/>
      <w:bookmarkStart w:id="805" w:name="_Toc28381"/>
      <w:r>
        <w:rPr>
          <w:rFonts w:hint="eastAsia" w:cs="黑体"/>
          <w:color w:val="auto"/>
          <w:highlight w:val="none"/>
        </w:rPr>
        <w:t>供应商认为</w:t>
      </w:r>
      <w:r>
        <w:rPr>
          <w:rFonts w:hint="eastAsia"/>
          <w:color w:val="auto"/>
          <w:highlight w:val="none"/>
        </w:rPr>
        <w:t>竞争性</w:t>
      </w:r>
      <w:r>
        <w:rPr>
          <w:rFonts w:hint="eastAsia" w:cs="黑体"/>
          <w:color w:val="auto"/>
          <w:highlight w:val="none"/>
        </w:rPr>
        <w:t>磋商文件、采购过程使自己的权益受到损害的，可以在知道或者应知其权益受到损害之日起七个工作日内，以书面形式向采购人提出质疑。</w:t>
      </w:r>
      <w:bookmarkEnd w:id="801"/>
      <w:bookmarkEnd w:id="802"/>
      <w:bookmarkEnd w:id="803"/>
      <w:bookmarkEnd w:id="804"/>
      <w:bookmarkEnd w:id="805"/>
    </w:p>
    <w:p w14:paraId="4034052D">
      <w:pPr>
        <w:numPr>
          <w:ilvl w:val="2"/>
          <w:numId w:val="5"/>
        </w:numPr>
        <w:wordWrap/>
        <w:topLinePunct w:val="0"/>
        <w:spacing w:line="360" w:lineRule="auto"/>
        <w:ind w:firstLine="420" w:firstLineChars="200"/>
        <w:rPr>
          <w:rFonts w:cs="黑体"/>
          <w:color w:val="auto"/>
          <w:highlight w:val="none"/>
        </w:rPr>
      </w:pPr>
      <w:bookmarkStart w:id="806" w:name="_Toc16614"/>
      <w:bookmarkStart w:id="807" w:name="_Toc463011310"/>
      <w:bookmarkStart w:id="808" w:name="_Toc288"/>
      <w:bookmarkStart w:id="809" w:name="_Toc462934331"/>
      <w:r>
        <w:rPr>
          <w:rFonts w:hint="eastAsia" w:cs="黑体"/>
          <w:color w:val="auto"/>
          <w:highlight w:val="none"/>
        </w:rPr>
        <w:t>供应商认为成交结果使自己的权益受到损害的，可以在成交结果公告期限届满之日起七个工作日内，以书面形式向采购人提出质疑，</w:t>
      </w:r>
      <w:r>
        <w:rPr>
          <w:rFonts w:hint="eastAsia"/>
          <w:color w:val="auto"/>
          <w:highlight w:val="none"/>
        </w:rPr>
        <w:t>接收质疑函联系部门、电话及地址详见竞争性磋商公告</w:t>
      </w:r>
      <w:r>
        <w:rPr>
          <w:rFonts w:hint="eastAsia" w:cs="黑体"/>
          <w:color w:val="auto"/>
          <w:highlight w:val="none"/>
        </w:rPr>
        <w:t>。</w:t>
      </w:r>
      <w:bookmarkEnd w:id="806"/>
      <w:bookmarkEnd w:id="807"/>
      <w:bookmarkEnd w:id="808"/>
      <w:bookmarkEnd w:id="809"/>
      <w:r>
        <w:rPr>
          <w:rFonts w:hint="eastAsia"/>
          <w:color w:val="auto"/>
          <w:highlight w:val="none"/>
        </w:rPr>
        <w:t>在法定质疑期内供应商针对同一采购程序环节的质疑应当一次性提出。</w:t>
      </w:r>
    </w:p>
    <w:p w14:paraId="04751F44">
      <w:pPr>
        <w:numPr>
          <w:ilvl w:val="2"/>
          <w:numId w:val="5"/>
        </w:numPr>
        <w:wordWrap/>
        <w:topLinePunct w:val="0"/>
        <w:spacing w:line="360" w:lineRule="auto"/>
        <w:ind w:firstLine="420" w:firstLineChars="200"/>
        <w:rPr>
          <w:rFonts w:cs="黑体"/>
          <w:color w:val="auto"/>
          <w:highlight w:val="none"/>
        </w:rPr>
      </w:pPr>
      <w:bookmarkStart w:id="810" w:name="_Toc5258"/>
      <w:bookmarkStart w:id="811" w:name="_Toc455678157"/>
      <w:bookmarkStart w:id="812" w:name="_Toc18478"/>
      <w:bookmarkStart w:id="813" w:name="_Toc463011311"/>
      <w:bookmarkStart w:id="814" w:name="_Toc462934332"/>
      <w:r>
        <w:rPr>
          <w:rFonts w:hint="eastAsia" w:cs="黑体"/>
          <w:color w:val="auto"/>
          <w:highlight w:val="none"/>
        </w:rPr>
        <w:t>采购人或者采购代理机构应当在收到供应商的书面质疑后七个工作日内作出答复，并以书面形式通知质疑供应商和其他有关供应商，但答复的内容不得涉及商业秘密。</w:t>
      </w:r>
      <w:bookmarkEnd w:id="810"/>
      <w:bookmarkEnd w:id="811"/>
      <w:bookmarkEnd w:id="812"/>
      <w:bookmarkEnd w:id="813"/>
      <w:bookmarkEnd w:id="814"/>
    </w:p>
    <w:p w14:paraId="20B29C81">
      <w:pPr>
        <w:numPr>
          <w:ilvl w:val="2"/>
          <w:numId w:val="5"/>
        </w:numPr>
        <w:wordWrap/>
        <w:topLinePunct w:val="0"/>
        <w:spacing w:line="360" w:lineRule="auto"/>
        <w:ind w:firstLine="420" w:firstLineChars="200"/>
        <w:rPr>
          <w:rFonts w:cs="黑体"/>
          <w:color w:val="auto"/>
          <w:highlight w:val="none"/>
        </w:rPr>
      </w:pPr>
      <w:bookmarkStart w:id="815" w:name="_Toc455678158"/>
      <w:bookmarkStart w:id="816" w:name="_Toc21390"/>
      <w:bookmarkStart w:id="817" w:name="_Toc463011312"/>
      <w:bookmarkStart w:id="818" w:name="_Toc462934333"/>
      <w:bookmarkStart w:id="819" w:name="_Toc4898"/>
      <w:r>
        <w:rPr>
          <w:rFonts w:hint="eastAsia" w:cs="黑体"/>
          <w:color w:val="auto"/>
          <w:highlight w:val="none"/>
        </w:rPr>
        <w:t>质疑供应商对采购人、采购代理机构的答复不满意或者采购人、采购代理机构未在规定的时间内作出答复的，可以在答复期满后十五个工作日内向同级政府采购监督管理部门投诉。</w:t>
      </w:r>
      <w:bookmarkEnd w:id="815"/>
      <w:bookmarkEnd w:id="816"/>
      <w:bookmarkEnd w:id="817"/>
      <w:bookmarkEnd w:id="818"/>
      <w:bookmarkEnd w:id="819"/>
    </w:p>
    <w:p w14:paraId="48610559">
      <w:pPr>
        <w:numPr>
          <w:ilvl w:val="2"/>
          <w:numId w:val="5"/>
        </w:numPr>
        <w:wordWrap/>
        <w:topLinePunct w:val="0"/>
        <w:spacing w:line="360" w:lineRule="auto"/>
        <w:ind w:firstLine="420" w:firstLineChars="200"/>
        <w:rPr>
          <w:rFonts w:cs="黑体"/>
          <w:color w:val="auto"/>
          <w:highlight w:val="none"/>
        </w:rPr>
      </w:pPr>
      <w:bookmarkStart w:id="820" w:name="_Toc11631"/>
      <w:bookmarkStart w:id="821" w:name="_Toc455678159"/>
      <w:bookmarkStart w:id="822" w:name="_Toc463011313"/>
      <w:bookmarkStart w:id="823" w:name="_Toc462934334"/>
      <w:bookmarkStart w:id="824" w:name="_Toc17682"/>
      <w:r>
        <w:rPr>
          <w:rFonts w:hint="eastAsia" w:cs="黑体"/>
          <w:color w:val="auto"/>
          <w:highlight w:val="none"/>
        </w:rPr>
        <w:t>供应商质疑、投诉应当有明确的请求和必要的证明材料。供应商投诉的事项不得超出已质疑事项的范围。</w:t>
      </w:r>
      <w:bookmarkEnd w:id="820"/>
      <w:bookmarkEnd w:id="821"/>
      <w:bookmarkEnd w:id="822"/>
      <w:bookmarkEnd w:id="823"/>
      <w:bookmarkEnd w:id="824"/>
    </w:p>
    <w:p w14:paraId="59EB1816">
      <w:pPr>
        <w:pStyle w:val="147"/>
        <w:numPr>
          <w:ilvl w:val="0"/>
          <w:numId w:val="5"/>
        </w:numPr>
        <w:tabs>
          <w:tab w:val="left" w:pos="360"/>
        </w:tabs>
        <w:snapToGrid w:val="0"/>
        <w:spacing w:line="360" w:lineRule="auto"/>
        <w:contextualSpacing/>
        <w:jc w:val="both"/>
        <w:outlineLvl w:val="1"/>
        <w:rPr>
          <w:rStyle w:val="64"/>
          <w:color w:val="auto"/>
          <w:highlight w:val="none"/>
        </w:rPr>
      </w:pPr>
      <w:bookmarkStart w:id="825" w:name="_Toc7852"/>
      <w:bookmarkStart w:id="826" w:name="_Toc10930"/>
      <w:bookmarkStart w:id="827" w:name="_Toc5688"/>
      <w:bookmarkStart w:id="828" w:name="_Toc76134497"/>
      <w:bookmarkStart w:id="829" w:name="_Toc2825"/>
      <w:bookmarkStart w:id="830" w:name="_Toc25517"/>
      <w:bookmarkStart w:id="831" w:name="_Toc65662057"/>
      <w:r>
        <w:rPr>
          <w:rStyle w:val="64"/>
          <w:rFonts w:hint="eastAsia"/>
          <w:color w:val="auto"/>
          <w:highlight w:val="none"/>
        </w:rPr>
        <w:t>政府采购政策</w:t>
      </w:r>
      <w:bookmarkEnd w:id="825"/>
      <w:bookmarkEnd w:id="826"/>
      <w:bookmarkEnd w:id="827"/>
      <w:bookmarkEnd w:id="828"/>
      <w:bookmarkEnd w:id="829"/>
      <w:bookmarkEnd w:id="830"/>
      <w:bookmarkEnd w:id="831"/>
    </w:p>
    <w:p w14:paraId="2A5784B3">
      <w:pPr>
        <w:numPr>
          <w:ilvl w:val="1"/>
          <w:numId w:val="5"/>
        </w:numPr>
        <w:wordWrap/>
        <w:topLinePunct w:val="0"/>
        <w:spacing w:line="360" w:lineRule="auto"/>
        <w:ind w:firstLine="420" w:firstLineChars="200"/>
        <w:rPr>
          <w:color w:val="auto"/>
          <w:highlight w:val="none"/>
        </w:rPr>
      </w:pPr>
      <w:r>
        <w:rPr>
          <w:rFonts w:hint="eastAsia" w:cs="仿宋_GB2312"/>
          <w:color w:val="auto"/>
          <w:kern w:val="0"/>
          <w:highlight w:val="none"/>
        </w:rPr>
        <w:t>政府采购政策：见供应商须知前附表</w:t>
      </w:r>
      <w:r>
        <w:rPr>
          <w:rFonts w:hint="eastAsia"/>
          <w:color w:val="auto"/>
          <w:highlight w:val="none"/>
        </w:rPr>
        <w:t>。</w:t>
      </w:r>
    </w:p>
    <w:p w14:paraId="54E943EB">
      <w:pPr>
        <w:numPr>
          <w:ilvl w:val="1"/>
          <w:numId w:val="5"/>
        </w:numPr>
        <w:wordWrap/>
        <w:topLinePunct w:val="0"/>
        <w:spacing w:line="360" w:lineRule="auto"/>
        <w:ind w:firstLine="420" w:firstLineChars="200"/>
        <w:rPr>
          <w:color w:val="auto"/>
          <w:highlight w:val="none"/>
        </w:rPr>
      </w:pPr>
      <w:r>
        <w:rPr>
          <w:rFonts w:hint="eastAsia"/>
          <w:color w:val="auto"/>
          <w:highlight w:val="none"/>
        </w:rPr>
        <w:t>开源节流，执行低价优先的采购政策规定。</w:t>
      </w:r>
    </w:p>
    <w:p w14:paraId="62DD37C0">
      <w:pPr>
        <w:pStyle w:val="147"/>
        <w:tabs>
          <w:tab w:val="left" w:pos="360"/>
        </w:tabs>
        <w:snapToGrid w:val="0"/>
        <w:spacing w:line="360" w:lineRule="auto"/>
        <w:contextualSpacing/>
        <w:jc w:val="both"/>
        <w:outlineLvl w:val="1"/>
        <w:rPr>
          <w:rStyle w:val="64"/>
          <w:color w:val="auto"/>
          <w:highlight w:val="none"/>
        </w:rPr>
      </w:pPr>
      <w:bookmarkStart w:id="832" w:name="_Toc15491"/>
      <w:bookmarkStart w:id="833" w:name="_Toc65662058"/>
      <w:bookmarkStart w:id="834" w:name="_Toc3811"/>
      <w:bookmarkStart w:id="835" w:name="_Toc11651"/>
      <w:bookmarkStart w:id="836" w:name="_Toc13339"/>
      <w:bookmarkStart w:id="837" w:name="_Toc76134498"/>
      <w:bookmarkStart w:id="838" w:name="_Toc32301"/>
      <w:bookmarkStart w:id="839" w:name="_Toc22472"/>
      <w:r>
        <w:rPr>
          <w:rStyle w:val="64"/>
          <w:rFonts w:hint="eastAsia"/>
          <w:color w:val="auto"/>
          <w:highlight w:val="none"/>
        </w:rPr>
        <w:t>9.信用记录</w:t>
      </w:r>
      <w:bookmarkEnd w:id="832"/>
      <w:bookmarkEnd w:id="833"/>
      <w:bookmarkEnd w:id="834"/>
      <w:bookmarkEnd w:id="835"/>
      <w:bookmarkEnd w:id="836"/>
      <w:bookmarkEnd w:id="837"/>
      <w:bookmarkEnd w:id="838"/>
      <w:bookmarkEnd w:id="839"/>
    </w:p>
    <w:p w14:paraId="08236505">
      <w:pPr>
        <w:spacing w:line="360" w:lineRule="auto"/>
        <w:rPr>
          <w:color w:val="auto"/>
          <w:highlight w:val="none"/>
        </w:rPr>
      </w:pPr>
      <w:r>
        <w:rPr>
          <w:rFonts w:hint="eastAsia"/>
          <w:color w:val="auto"/>
          <w:highlight w:val="none"/>
        </w:rPr>
        <w:t xml:space="preserve">    根据《关于在政府采购活动中查询及使用信用记录有关问题的通知》(财库[2016]125号)的规定，开标结束后至评标结束前采购人或采购代理机构通过“信用中国”网站（www.creditchina.gov.cn）、“中国执行信息公开网”网站（zxgk.court.gov.cn）和“中国政府采购网”网站（www.ccgp.gov.cn）查询企业的信用记录，列入“中国执行信息公开网”网站的“失信被执行人”、“信用中国”网站的“重大税收违法失信主体”和“中国政府采购网”网站的“政府采购严重违法失信行为记录名单”的供应商，将拒绝参与本次政府采购活动。</w:t>
      </w:r>
    </w:p>
    <w:p w14:paraId="31A60667">
      <w:pPr>
        <w:pStyle w:val="147"/>
        <w:tabs>
          <w:tab w:val="left" w:pos="360"/>
        </w:tabs>
        <w:snapToGrid w:val="0"/>
        <w:spacing w:line="360" w:lineRule="auto"/>
        <w:contextualSpacing/>
        <w:jc w:val="both"/>
        <w:outlineLvl w:val="1"/>
        <w:rPr>
          <w:rStyle w:val="64"/>
          <w:color w:val="auto"/>
          <w:highlight w:val="none"/>
        </w:rPr>
      </w:pPr>
      <w:bookmarkStart w:id="840" w:name="_Toc5504"/>
      <w:bookmarkStart w:id="841" w:name="_Toc25289"/>
      <w:bookmarkStart w:id="842" w:name="_Toc76134499"/>
      <w:r>
        <w:rPr>
          <w:rStyle w:val="64"/>
          <w:rFonts w:hint="eastAsia"/>
          <w:color w:val="auto"/>
          <w:highlight w:val="none"/>
        </w:rPr>
        <w:t xml:space="preserve">10. </w:t>
      </w:r>
      <w:bookmarkStart w:id="843" w:name="_Toc21694"/>
      <w:bookmarkStart w:id="844" w:name="_Toc18629"/>
      <w:bookmarkStart w:id="845" w:name="_Toc5729"/>
      <w:bookmarkStart w:id="846" w:name="_Toc65662059"/>
      <w:r>
        <w:rPr>
          <w:rStyle w:val="64"/>
          <w:rFonts w:hint="eastAsia"/>
          <w:color w:val="auto"/>
          <w:highlight w:val="none"/>
        </w:rPr>
        <w:t>需要补充的其他内容</w:t>
      </w:r>
      <w:bookmarkEnd w:id="840"/>
      <w:bookmarkEnd w:id="841"/>
      <w:bookmarkEnd w:id="842"/>
      <w:bookmarkEnd w:id="843"/>
      <w:bookmarkEnd w:id="844"/>
      <w:bookmarkEnd w:id="845"/>
      <w:bookmarkEnd w:id="846"/>
    </w:p>
    <w:p w14:paraId="6074DAF1">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需要补充的其他内容：见供应商须知前附表。</w:t>
      </w:r>
      <w:bookmarkStart w:id="847" w:name="_Toc270604619"/>
      <w:bookmarkStart w:id="848" w:name="_Toc270604617"/>
    </w:p>
    <w:p w14:paraId="461B2F75">
      <w:pPr>
        <w:pStyle w:val="27"/>
        <w:spacing w:beforeLines="100" w:afterLines="100" w:line="600" w:lineRule="exact"/>
        <w:ind w:left="1080"/>
        <w:jc w:val="center"/>
        <w:outlineLvl w:val="0"/>
        <w:rPr>
          <w:b/>
          <w:bCs/>
          <w:color w:val="auto"/>
          <w:sz w:val="32"/>
          <w:szCs w:val="32"/>
          <w:highlight w:val="none"/>
        </w:rPr>
      </w:pPr>
      <w:r>
        <w:rPr>
          <w:rFonts w:hint="eastAsia"/>
          <w:b/>
          <w:bCs/>
          <w:color w:val="auto"/>
          <w:sz w:val="32"/>
          <w:szCs w:val="32"/>
          <w:highlight w:val="none"/>
        </w:rPr>
        <w:br w:type="page"/>
      </w:r>
      <w:bookmarkEnd w:id="847"/>
      <w:bookmarkStart w:id="849" w:name="_Toc22114"/>
      <w:bookmarkStart w:id="850" w:name="_Toc14509"/>
      <w:bookmarkStart w:id="851" w:name="_Toc65662288"/>
      <w:bookmarkStart w:id="852" w:name="_Toc1582"/>
      <w:bookmarkStart w:id="853" w:name="_Toc18892"/>
      <w:bookmarkStart w:id="854" w:name="_Toc65662060"/>
      <w:r>
        <w:rPr>
          <w:rFonts w:hint="eastAsia"/>
          <w:b/>
          <w:bCs/>
          <w:color w:val="auto"/>
          <w:sz w:val="32"/>
          <w:szCs w:val="32"/>
          <w:highlight w:val="none"/>
        </w:rPr>
        <w:t>第三章 评审办法</w:t>
      </w:r>
      <w:bookmarkEnd w:id="849"/>
      <w:bookmarkEnd w:id="850"/>
      <w:bookmarkEnd w:id="851"/>
      <w:bookmarkEnd w:id="852"/>
      <w:bookmarkEnd w:id="853"/>
      <w:bookmarkEnd w:id="854"/>
    </w:p>
    <w:p w14:paraId="46414C63">
      <w:pPr>
        <w:pStyle w:val="4"/>
        <w:ind w:left="482"/>
        <w:jc w:val="center"/>
        <w:rPr>
          <w:color w:val="auto"/>
          <w:sz w:val="24"/>
          <w:szCs w:val="24"/>
          <w:highlight w:val="none"/>
        </w:rPr>
      </w:pPr>
      <w:bookmarkStart w:id="855" w:name="_Toc21398"/>
      <w:bookmarkStart w:id="856" w:name="_Toc23659"/>
      <w:bookmarkStart w:id="857" w:name="_Toc4734"/>
      <w:bookmarkStart w:id="858" w:name="_Toc6860"/>
      <w:bookmarkStart w:id="859" w:name="_Toc16535"/>
      <w:bookmarkStart w:id="860" w:name="_Toc26467"/>
      <w:bookmarkStart w:id="861" w:name="_Toc8605"/>
      <w:bookmarkStart w:id="862" w:name="_Toc30645"/>
      <w:bookmarkStart w:id="863" w:name="_Toc76134501"/>
      <w:bookmarkStart w:id="864" w:name="_Toc22753"/>
      <w:bookmarkStart w:id="865" w:name="_Toc14114"/>
      <w:bookmarkStart w:id="866" w:name="_Toc16950"/>
      <w:bookmarkStart w:id="867" w:name="_Toc65662061"/>
      <w:bookmarkStart w:id="868" w:name="_Toc12415"/>
      <w:bookmarkStart w:id="869" w:name="_Toc1534"/>
      <w:bookmarkStart w:id="870" w:name="_Toc6633"/>
      <w:bookmarkStart w:id="871" w:name="_Toc22649"/>
      <w:r>
        <w:rPr>
          <w:rFonts w:hint="eastAsia"/>
          <w:color w:val="auto"/>
          <w:sz w:val="24"/>
          <w:szCs w:val="24"/>
          <w:highlight w:val="none"/>
        </w:rPr>
        <w:t>评审办法前附表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tbl>
      <w:tblPr>
        <w:tblStyle w:val="47"/>
        <w:tblpPr w:leftFromText="180" w:rightFromText="180" w:vertAnchor="text" w:horzAnchor="page" w:tblpXSpec="center" w:tblpY="480"/>
        <w:tblOverlap w:val="never"/>
        <w:tblW w:w="10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1672"/>
        <w:gridCol w:w="567"/>
        <w:gridCol w:w="6662"/>
      </w:tblGrid>
      <w:tr w14:paraId="5A72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980" w:type="dxa"/>
            <w:gridSpan w:val="2"/>
            <w:noWrap/>
            <w:vAlign w:val="center"/>
          </w:tcPr>
          <w:p w14:paraId="6600B2F3">
            <w:pPr>
              <w:widowControl/>
              <w:jc w:val="center"/>
              <w:rPr>
                <w:color w:val="auto"/>
                <w:kern w:val="0"/>
                <w:highlight w:val="none"/>
              </w:rPr>
            </w:pPr>
            <w:r>
              <w:rPr>
                <w:rFonts w:hint="eastAsia"/>
                <w:color w:val="auto"/>
                <w:kern w:val="0"/>
                <w:highlight w:val="none"/>
              </w:rPr>
              <w:t>条款</w:t>
            </w:r>
          </w:p>
        </w:tc>
        <w:tc>
          <w:tcPr>
            <w:tcW w:w="2239" w:type="dxa"/>
            <w:gridSpan w:val="2"/>
            <w:noWrap/>
            <w:vAlign w:val="center"/>
          </w:tcPr>
          <w:p w14:paraId="5154585F">
            <w:pPr>
              <w:widowControl/>
              <w:jc w:val="center"/>
              <w:rPr>
                <w:color w:val="auto"/>
                <w:kern w:val="0"/>
                <w:highlight w:val="none"/>
              </w:rPr>
            </w:pPr>
            <w:r>
              <w:rPr>
                <w:rFonts w:hint="eastAsia"/>
                <w:color w:val="auto"/>
                <w:kern w:val="0"/>
                <w:highlight w:val="none"/>
              </w:rPr>
              <w:t>评审因素</w:t>
            </w:r>
          </w:p>
        </w:tc>
        <w:tc>
          <w:tcPr>
            <w:tcW w:w="6662" w:type="dxa"/>
            <w:noWrap/>
            <w:vAlign w:val="center"/>
          </w:tcPr>
          <w:p w14:paraId="6C8E8C8C">
            <w:pPr>
              <w:widowControl/>
              <w:jc w:val="center"/>
              <w:rPr>
                <w:color w:val="auto"/>
                <w:kern w:val="0"/>
                <w:highlight w:val="none"/>
              </w:rPr>
            </w:pPr>
            <w:r>
              <w:rPr>
                <w:rFonts w:hint="eastAsia"/>
                <w:color w:val="auto"/>
                <w:kern w:val="0"/>
                <w:highlight w:val="none"/>
              </w:rPr>
              <w:t>评审标准</w:t>
            </w:r>
          </w:p>
        </w:tc>
      </w:tr>
      <w:tr w14:paraId="52A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990" w:type="dxa"/>
            <w:vMerge w:val="restart"/>
            <w:noWrap/>
            <w:vAlign w:val="center"/>
          </w:tcPr>
          <w:p w14:paraId="3CD27458">
            <w:pPr>
              <w:widowControl/>
              <w:jc w:val="center"/>
              <w:rPr>
                <w:color w:val="auto"/>
                <w:kern w:val="0"/>
                <w:highlight w:val="none"/>
              </w:rPr>
            </w:pPr>
            <w:r>
              <w:rPr>
                <w:rFonts w:hint="eastAsia"/>
                <w:color w:val="auto"/>
                <w:kern w:val="0"/>
                <w:highlight w:val="none"/>
              </w:rPr>
              <w:t>2.1.1</w:t>
            </w:r>
          </w:p>
        </w:tc>
        <w:tc>
          <w:tcPr>
            <w:tcW w:w="990" w:type="dxa"/>
            <w:vMerge w:val="restart"/>
            <w:noWrap/>
            <w:vAlign w:val="center"/>
          </w:tcPr>
          <w:p w14:paraId="786C4974">
            <w:pPr>
              <w:widowControl/>
              <w:jc w:val="center"/>
              <w:rPr>
                <w:color w:val="auto"/>
                <w:kern w:val="0"/>
                <w:highlight w:val="none"/>
              </w:rPr>
            </w:pPr>
            <w:r>
              <w:rPr>
                <w:rFonts w:hint="eastAsia"/>
                <w:color w:val="auto"/>
                <w:kern w:val="0"/>
                <w:highlight w:val="none"/>
              </w:rPr>
              <w:t>形式性评审</w:t>
            </w:r>
          </w:p>
        </w:tc>
        <w:tc>
          <w:tcPr>
            <w:tcW w:w="2239" w:type="dxa"/>
            <w:gridSpan w:val="2"/>
            <w:noWrap/>
            <w:vAlign w:val="center"/>
          </w:tcPr>
          <w:p w14:paraId="5F73A892">
            <w:pPr>
              <w:widowControl/>
              <w:jc w:val="center"/>
              <w:rPr>
                <w:color w:val="auto"/>
                <w:kern w:val="0"/>
                <w:highlight w:val="none"/>
              </w:rPr>
            </w:pPr>
            <w:r>
              <w:rPr>
                <w:rFonts w:hint="eastAsia"/>
                <w:color w:val="auto"/>
                <w:kern w:val="0"/>
                <w:highlight w:val="none"/>
              </w:rPr>
              <w:t>报价函及报价函附录签署、盖章</w:t>
            </w:r>
          </w:p>
        </w:tc>
        <w:tc>
          <w:tcPr>
            <w:tcW w:w="6662" w:type="dxa"/>
            <w:noWrap/>
            <w:vAlign w:val="center"/>
          </w:tcPr>
          <w:p w14:paraId="763AC786">
            <w:pPr>
              <w:widowControl/>
              <w:jc w:val="center"/>
              <w:rPr>
                <w:color w:val="auto"/>
                <w:kern w:val="0"/>
                <w:highlight w:val="none"/>
              </w:rPr>
            </w:pPr>
            <w:r>
              <w:rPr>
                <w:rFonts w:hint="eastAsia"/>
                <w:color w:val="auto"/>
                <w:kern w:val="0"/>
                <w:highlight w:val="none"/>
              </w:rPr>
              <w:t>报价函及报价函附录</w:t>
            </w:r>
            <w:r>
              <w:rPr>
                <w:rFonts w:hint="eastAsia"/>
                <w:color w:val="auto"/>
                <w:highlight w:val="none"/>
              </w:rPr>
              <w:t>按竞争性磋商文件要求签署、盖章</w:t>
            </w:r>
          </w:p>
        </w:tc>
      </w:tr>
      <w:tr w14:paraId="600A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990" w:type="dxa"/>
            <w:vMerge w:val="continue"/>
            <w:noWrap/>
            <w:vAlign w:val="center"/>
          </w:tcPr>
          <w:p w14:paraId="538BF107">
            <w:pPr>
              <w:widowControl/>
              <w:jc w:val="center"/>
              <w:rPr>
                <w:color w:val="auto"/>
                <w:kern w:val="0"/>
                <w:highlight w:val="none"/>
              </w:rPr>
            </w:pPr>
          </w:p>
        </w:tc>
        <w:tc>
          <w:tcPr>
            <w:tcW w:w="990" w:type="dxa"/>
            <w:vMerge w:val="continue"/>
            <w:noWrap/>
            <w:vAlign w:val="center"/>
          </w:tcPr>
          <w:p w14:paraId="07854EA3">
            <w:pPr>
              <w:widowControl/>
              <w:jc w:val="center"/>
              <w:rPr>
                <w:color w:val="auto"/>
                <w:kern w:val="0"/>
                <w:highlight w:val="none"/>
              </w:rPr>
            </w:pPr>
          </w:p>
        </w:tc>
        <w:tc>
          <w:tcPr>
            <w:tcW w:w="2239" w:type="dxa"/>
            <w:gridSpan w:val="2"/>
            <w:noWrap/>
            <w:vAlign w:val="center"/>
          </w:tcPr>
          <w:p w14:paraId="6024D953">
            <w:pPr>
              <w:widowControl/>
              <w:jc w:val="center"/>
              <w:rPr>
                <w:color w:val="auto"/>
                <w:kern w:val="0"/>
                <w:highlight w:val="none"/>
              </w:rPr>
            </w:pPr>
            <w:r>
              <w:rPr>
                <w:rFonts w:hint="eastAsia"/>
                <w:color w:val="auto"/>
                <w:kern w:val="0"/>
                <w:highlight w:val="none"/>
              </w:rPr>
              <w:t>供应商名称</w:t>
            </w:r>
          </w:p>
        </w:tc>
        <w:tc>
          <w:tcPr>
            <w:tcW w:w="6662" w:type="dxa"/>
            <w:noWrap/>
            <w:vAlign w:val="center"/>
          </w:tcPr>
          <w:p w14:paraId="68B775E7">
            <w:pPr>
              <w:widowControl/>
              <w:jc w:val="center"/>
              <w:rPr>
                <w:color w:val="auto"/>
                <w:kern w:val="0"/>
                <w:highlight w:val="none"/>
              </w:rPr>
            </w:pPr>
            <w:r>
              <w:rPr>
                <w:rFonts w:hint="eastAsia"/>
                <w:color w:val="auto"/>
                <w:kern w:val="0"/>
                <w:highlight w:val="none"/>
              </w:rPr>
              <w:t>与营业执照（如有）一致</w:t>
            </w:r>
          </w:p>
        </w:tc>
      </w:tr>
      <w:tr w14:paraId="205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990" w:type="dxa"/>
            <w:vMerge w:val="continue"/>
            <w:noWrap/>
            <w:vAlign w:val="center"/>
          </w:tcPr>
          <w:p w14:paraId="64097A7D">
            <w:pPr>
              <w:widowControl/>
              <w:jc w:val="center"/>
              <w:rPr>
                <w:color w:val="auto"/>
                <w:kern w:val="0"/>
                <w:highlight w:val="none"/>
              </w:rPr>
            </w:pPr>
          </w:p>
        </w:tc>
        <w:tc>
          <w:tcPr>
            <w:tcW w:w="990" w:type="dxa"/>
            <w:vMerge w:val="continue"/>
            <w:noWrap/>
            <w:vAlign w:val="center"/>
          </w:tcPr>
          <w:p w14:paraId="4FCF798A">
            <w:pPr>
              <w:widowControl/>
              <w:jc w:val="center"/>
              <w:rPr>
                <w:color w:val="auto"/>
                <w:kern w:val="0"/>
                <w:highlight w:val="none"/>
              </w:rPr>
            </w:pPr>
          </w:p>
        </w:tc>
        <w:tc>
          <w:tcPr>
            <w:tcW w:w="2239" w:type="dxa"/>
            <w:gridSpan w:val="2"/>
            <w:noWrap/>
            <w:vAlign w:val="center"/>
          </w:tcPr>
          <w:p w14:paraId="63FCAA75">
            <w:pPr>
              <w:widowControl/>
              <w:jc w:val="center"/>
              <w:rPr>
                <w:color w:val="auto"/>
                <w:kern w:val="0"/>
                <w:highlight w:val="none"/>
              </w:rPr>
            </w:pPr>
            <w:r>
              <w:rPr>
                <w:rFonts w:hint="eastAsia"/>
                <w:color w:val="auto"/>
                <w:kern w:val="0"/>
                <w:highlight w:val="none"/>
              </w:rPr>
              <w:t>磋商报价</w:t>
            </w:r>
          </w:p>
        </w:tc>
        <w:tc>
          <w:tcPr>
            <w:tcW w:w="6662" w:type="dxa"/>
            <w:noWrap/>
            <w:vAlign w:val="center"/>
          </w:tcPr>
          <w:p w14:paraId="4D045E05">
            <w:pPr>
              <w:widowControl/>
              <w:jc w:val="center"/>
              <w:rPr>
                <w:color w:val="auto"/>
                <w:kern w:val="0"/>
                <w:highlight w:val="none"/>
              </w:rPr>
            </w:pPr>
            <w:r>
              <w:rPr>
                <w:rFonts w:hint="eastAsia"/>
                <w:color w:val="auto"/>
                <w:highlight w:val="none"/>
              </w:rPr>
              <w:t>磋商报价不高于磋商控制价</w:t>
            </w:r>
          </w:p>
        </w:tc>
      </w:tr>
      <w:tr w14:paraId="3F49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990" w:type="dxa"/>
            <w:vMerge w:val="restart"/>
            <w:noWrap/>
            <w:vAlign w:val="center"/>
          </w:tcPr>
          <w:p w14:paraId="5B4077FB">
            <w:pPr>
              <w:widowControl/>
              <w:jc w:val="center"/>
              <w:rPr>
                <w:color w:val="auto"/>
                <w:kern w:val="0"/>
                <w:highlight w:val="none"/>
              </w:rPr>
            </w:pPr>
            <w:r>
              <w:rPr>
                <w:rFonts w:hint="eastAsia"/>
                <w:color w:val="auto"/>
                <w:kern w:val="0"/>
                <w:highlight w:val="none"/>
              </w:rPr>
              <w:t>2.1.2</w:t>
            </w:r>
          </w:p>
        </w:tc>
        <w:tc>
          <w:tcPr>
            <w:tcW w:w="990" w:type="dxa"/>
            <w:vMerge w:val="restart"/>
            <w:noWrap/>
            <w:vAlign w:val="center"/>
          </w:tcPr>
          <w:p w14:paraId="121D4CE2">
            <w:pPr>
              <w:widowControl/>
              <w:jc w:val="center"/>
              <w:rPr>
                <w:color w:val="auto"/>
                <w:highlight w:val="none"/>
              </w:rPr>
            </w:pPr>
            <w:r>
              <w:rPr>
                <w:rFonts w:hint="eastAsia"/>
                <w:color w:val="auto"/>
                <w:highlight w:val="none"/>
              </w:rPr>
              <w:t>资格审查</w:t>
            </w:r>
            <w:r>
              <w:rPr>
                <w:rFonts w:hint="eastAsia"/>
                <w:color w:val="auto"/>
                <w:kern w:val="0"/>
                <w:highlight w:val="none"/>
              </w:rPr>
              <w:t>标准</w:t>
            </w:r>
          </w:p>
        </w:tc>
        <w:tc>
          <w:tcPr>
            <w:tcW w:w="2239" w:type="dxa"/>
            <w:gridSpan w:val="2"/>
            <w:noWrap/>
            <w:vAlign w:val="center"/>
          </w:tcPr>
          <w:p w14:paraId="7709A07B">
            <w:pPr>
              <w:widowControl/>
              <w:jc w:val="center"/>
              <w:rPr>
                <w:color w:val="auto"/>
                <w:kern w:val="0"/>
                <w:highlight w:val="none"/>
              </w:rPr>
            </w:pPr>
            <w:r>
              <w:rPr>
                <w:rFonts w:hint="eastAsia"/>
                <w:color w:val="auto"/>
                <w:kern w:val="0"/>
                <w:highlight w:val="none"/>
              </w:rPr>
              <w:t>营业执照或其他证明材料</w:t>
            </w:r>
          </w:p>
        </w:tc>
        <w:tc>
          <w:tcPr>
            <w:tcW w:w="6662" w:type="dxa"/>
            <w:noWrap/>
            <w:vAlign w:val="center"/>
          </w:tcPr>
          <w:p w14:paraId="7AC37383">
            <w:pPr>
              <w:widowControl/>
              <w:jc w:val="center"/>
              <w:rPr>
                <w:color w:val="auto"/>
                <w:kern w:val="0"/>
                <w:highlight w:val="none"/>
              </w:rPr>
            </w:pPr>
            <w:r>
              <w:rPr>
                <w:rFonts w:hint="eastAsia"/>
                <w:color w:val="auto"/>
                <w:kern w:val="0"/>
                <w:highlight w:val="none"/>
              </w:rPr>
              <w:t>具备有效的营业执照或其他证明材料</w:t>
            </w:r>
          </w:p>
        </w:tc>
      </w:tr>
      <w:tr w14:paraId="079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990" w:type="dxa"/>
            <w:vMerge w:val="continue"/>
            <w:noWrap/>
            <w:vAlign w:val="center"/>
          </w:tcPr>
          <w:p w14:paraId="771C4D6E">
            <w:pPr>
              <w:widowControl/>
              <w:jc w:val="center"/>
              <w:rPr>
                <w:color w:val="auto"/>
                <w:kern w:val="0"/>
                <w:highlight w:val="none"/>
              </w:rPr>
            </w:pPr>
          </w:p>
        </w:tc>
        <w:tc>
          <w:tcPr>
            <w:tcW w:w="990" w:type="dxa"/>
            <w:vMerge w:val="continue"/>
            <w:noWrap/>
            <w:vAlign w:val="center"/>
          </w:tcPr>
          <w:p w14:paraId="1F65AAC7">
            <w:pPr>
              <w:widowControl/>
              <w:jc w:val="center"/>
              <w:rPr>
                <w:color w:val="auto"/>
                <w:kern w:val="0"/>
                <w:highlight w:val="none"/>
              </w:rPr>
            </w:pPr>
          </w:p>
        </w:tc>
        <w:tc>
          <w:tcPr>
            <w:tcW w:w="2239" w:type="dxa"/>
            <w:gridSpan w:val="2"/>
            <w:noWrap/>
            <w:vAlign w:val="center"/>
          </w:tcPr>
          <w:p w14:paraId="4B8DA867">
            <w:pPr>
              <w:widowControl/>
              <w:jc w:val="center"/>
              <w:rPr>
                <w:color w:val="auto"/>
                <w:kern w:val="0"/>
                <w:highlight w:val="none"/>
              </w:rPr>
            </w:pPr>
            <w:r>
              <w:rPr>
                <w:rFonts w:hint="eastAsia"/>
                <w:color w:val="auto"/>
                <w:kern w:val="0"/>
                <w:highlight w:val="none"/>
              </w:rPr>
              <w:t>财务要求</w:t>
            </w:r>
          </w:p>
        </w:tc>
        <w:tc>
          <w:tcPr>
            <w:tcW w:w="6662" w:type="dxa"/>
            <w:noWrap/>
            <w:vAlign w:val="center"/>
          </w:tcPr>
          <w:p w14:paraId="32118DF8">
            <w:pPr>
              <w:jc w:val="center"/>
              <w:rPr>
                <w:color w:val="auto"/>
                <w:highlight w:val="none"/>
              </w:rPr>
            </w:pPr>
            <w:r>
              <w:rPr>
                <w:rFonts w:hint="eastAsia"/>
                <w:color w:val="auto"/>
                <w:kern w:val="0"/>
                <w:highlight w:val="none"/>
              </w:rPr>
              <w:t>提供承诺函，格式自拟</w:t>
            </w:r>
          </w:p>
        </w:tc>
      </w:tr>
      <w:tr w14:paraId="6DF8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990" w:type="dxa"/>
            <w:vMerge w:val="continue"/>
            <w:noWrap/>
            <w:vAlign w:val="center"/>
          </w:tcPr>
          <w:p w14:paraId="5A9F55C5">
            <w:pPr>
              <w:widowControl/>
              <w:jc w:val="center"/>
              <w:rPr>
                <w:color w:val="auto"/>
                <w:kern w:val="0"/>
                <w:highlight w:val="none"/>
              </w:rPr>
            </w:pPr>
          </w:p>
        </w:tc>
        <w:tc>
          <w:tcPr>
            <w:tcW w:w="990" w:type="dxa"/>
            <w:vMerge w:val="continue"/>
            <w:noWrap/>
            <w:vAlign w:val="center"/>
          </w:tcPr>
          <w:p w14:paraId="298300EC">
            <w:pPr>
              <w:widowControl/>
              <w:jc w:val="center"/>
              <w:rPr>
                <w:color w:val="auto"/>
                <w:kern w:val="0"/>
                <w:highlight w:val="none"/>
              </w:rPr>
            </w:pPr>
          </w:p>
        </w:tc>
        <w:tc>
          <w:tcPr>
            <w:tcW w:w="2239" w:type="dxa"/>
            <w:gridSpan w:val="2"/>
            <w:noWrap/>
            <w:vAlign w:val="center"/>
          </w:tcPr>
          <w:p w14:paraId="70E07C4F">
            <w:pPr>
              <w:widowControl/>
              <w:jc w:val="center"/>
              <w:rPr>
                <w:color w:val="auto"/>
                <w:kern w:val="0"/>
                <w:highlight w:val="none"/>
              </w:rPr>
            </w:pPr>
            <w:r>
              <w:rPr>
                <w:rFonts w:hint="eastAsia"/>
                <w:color w:val="auto"/>
                <w:kern w:val="0"/>
                <w:highlight w:val="none"/>
              </w:rPr>
              <w:t>具有履行合同所必需的设备和专业技术能力</w:t>
            </w:r>
          </w:p>
        </w:tc>
        <w:tc>
          <w:tcPr>
            <w:tcW w:w="6662" w:type="dxa"/>
            <w:noWrap/>
            <w:vAlign w:val="center"/>
          </w:tcPr>
          <w:p w14:paraId="49729189">
            <w:pPr>
              <w:jc w:val="center"/>
              <w:rPr>
                <w:color w:val="auto"/>
                <w:highlight w:val="none"/>
              </w:rPr>
            </w:pPr>
            <w:r>
              <w:rPr>
                <w:rFonts w:hint="eastAsia"/>
                <w:color w:val="auto"/>
                <w:kern w:val="0"/>
                <w:highlight w:val="none"/>
              </w:rPr>
              <w:t>提供承诺函，格式自拟</w:t>
            </w:r>
          </w:p>
        </w:tc>
      </w:tr>
      <w:tr w14:paraId="42E7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90" w:type="dxa"/>
            <w:vMerge w:val="continue"/>
            <w:noWrap/>
            <w:vAlign w:val="center"/>
          </w:tcPr>
          <w:p w14:paraId="21369B63">
            <w:pPr>
              <w:widowControl/>
              <w:jc w:val="center"/>
              <w:rPr>
                <w:color w:val="auto"/>
                <w:kern w:val="0"/>
                <w:highlight w:val="none"/>
              </w:rPr>
            </w:pPr>
          </w:p>
        </w:tc>
        <w:tc>
          <w:tcPr>
            <w:tcW w:w="990" w:type="dxa"/>
            <w:vMerge w:val="continue"/>
            <w:noWrap/>
            <w:vAlign w:val="center"/>
          </w:tcPr>
          <w:p w14:paraId="05C0DF6C">
            <w:pPr>
              <w:widowControl/>
              <w:jc w:val="center"/>
              <w:rPr>
                <w:color w:val="auto"/>
                <w:kern w:val="0"/>
                <w:highlight w:val="none"/>
              </w:rPr>
            </w:pPr>
          </w:p>
        </w:tc>
        <w:tc>
          <w:tcPr>
            <w:tcW w:w="2239" w:type="dxa"/>
            <w:gridSpan w:val="2"/>
            <w:noWrap/>
            <w:vAlign w:val="center"/>
          </w:tcPr>
          <w:p w14:paraId="71929A30">
            <w:pPr>
              <w:widowControl/>
              <w:jc w:val="center"/>
              <w:rPr>
                <w:color w:val="auto"/>
                <w:kern w:val="0"/>
                <w:highlight w:val="none"/>
              </w:rPr>
            </w:pPr>
            <w:r>
              <w:rPr>
                <w:rFonts w:hint="eastAsia"/>
                <w:color w:val="auto"/>
                <w:kern w:val="0"/>
                <w:highlight w:val="none"/>
              </w:rPr>
              <w:t>依法缴纳税收和社会保障资金的证明材料</w:t>
            </w:r>
          </w:p>
        </w:tc>
        <w:tc>
          <w:tcPr>
            <w:tcW w:w="6662" w:type="dxa"/>
            <w:noWrap/>
            <w:vAlign w:val="center"/>
          </w:tcPr>
          <w:p w14:paraId="147DA1AD">
            <w:pPr>
              <w:jc w:val="center"/>
              <w:rPr>
                <w:color w:val="auto"/>
                <w:highlight w:val="none"/>
              </w:rPr>
            </w:pPr>
            <w:r>
              <w:rPr>
                <w:rFonts w:hint="eastAsia"/>
                <w:color w:val="auto"/>
                <w:kern w:val="0"/>
                <w:highlight w:val="none"/>
              </w:rPr>
              <w:t>提供承诺函，格式自拟</w:t>
            </w:r>
          </w:p>
        </w:tc>
      </w:tr>
      <w:tr w14:paraId="086F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jc w:val="center"/>
        </w:trPr>
        <w:tc>
          <w:tcPr>
            <w:tcW w:w="990" w:type="dxa"/>
            <w:vMerge w:val="continue"/>
            <w:noWrap/>
            <w:vAlign w:val="center"/>
          </w:tcPr>
          <w:p w14:paraId="6F3DA825">
            <w:pPr>
              <w:widowControl/>
              <w:jc w:val="center"/>
              <w:rPr>
                <w:color w:val="auto"/>
                <w:kern w:val="0"/>
                <w:highlight w:val="none"/>
              </w:rPr>
            </w:pPr>
          </w:p>
        </w:tc>
        <w:tc>
          <w:tcPr>
            <w:tcW w:w="990" w:type="dxa"/>
            <w:vMerge w:val="continue"/>
            <w:noWrap/>
            <w:vAlign w:val="center"/>
          </w:tcPr>
          <w:p w14:paraId="7C0DA650">
            <w:pPr>
              <w:widowControl/>
              <w:jc w:val="center"/>
              <w:rPr>
                <w:color w:val="auto"/>
                <w:kern w:val="0"/>
                <w:highlight w:val="none"/>
              </w:rPr>
            </w:pPr>
          </w:p>
        </w:tc>
        <w:tc>
          <w:tcPr>
            <w:tcW w:w="2239" w:type="dxa"/>
            <w:gridSpan w:val="2"/>
            <w:noWrap/>
            <w:vAlign w:val="center"/>
          </w:tcPr>
          <w:p w14:paraId="538C852B">
            <w:pPr>
              <w:widowControl/>
              <w:jc w:val="center"/>
              <w:rPr>
                <w:color w:val="auto"/>
                <w:kern w:val="0"/>
                <w:highlight w:val="none"/>
              </w:rPr>
            </w:pPr>
            <w:r>
              <w:rPr>
                <w:rFonts w:hint="eastAsia"/>
                <w:color w:val="auto"/>
                <w:kern w:val="0"/>
                <w:highlight w:val="none"/>
              </w:rPr>
              <w:t>参加政府采购活动前三年内，在经营活动中没有重大违法记录</w:t>
            </w:r>
          </w:p>
        </w:tc>
        <w:tc>
          <w:tcPr>
            <w:tcW w:w="6662" w:type="dxa"/>
            <w:noWrap/>
            <w:vAlign w:val="center"/>
          </w:tcPr>
          <w:p w14:paraId="66BE1FDF">
            <w:pPr>
              <w:widowControl/>
              <w:jc w:val="center"/>
              <w:rPr>
                <w:color w:val="auto"/>
                <w:kern w:val="0"/>
                <w:highlight w:val="none"/>
              </w:rPr>
            </w:pPr>
            <w:r>
              <w:rPr>
                <w:rFonts w:hint="eastAsia"/>
                <w:color w:val="auto"/>
                <w:kern w:val="0"/>
                <w:highlight w:val="none"/>
              </w:rPr>
              <w:t>提供承诺函，格式自拟</w:t>
            </w:r>
          </w:p>
        </w:tc>
      </w:tr>
      <w:tr w14:paraId="0B42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exact"/>
          <w:jc w:val="center"/>
        </w:trPr>
        <w:tc>
          <w:tcPr>
            <w:tcW w:w="990" w:type="dxa"/>
            <w:vMerge w:val="continue"/>
            <w:noWrap/>
            <w:vAlign w:val="center"/>
          </w:tcPr>
          <w:p w14:paraId="3021633F">
            <w:pPr>
              <w:widowControl/>
              <w:jc w:val="center"/>
              <w:rPr>
                <w:color w:val="auto"/>
                <w:kern w:val="0"/>
                <w:highlight w:val="none"/>
              </w:rPr>
            </w:pPr>
          </w:p>
        </w:tc>
        <w:tc>
          <w:tcPr>
            <w:tcW w:w="990" w:type="dxa"/>
            <w:vMerge w:val="continue"/>
            <w:noWrap/>
            <w:vAlign w:val="center"/>
          </w:tcPr>
          <w:p w14:paraId="652BA490">
            <w:pPr>
              <w:widowControl/>
              <w:jc w:val="center"/>
              <w:rPr>
                <w:color w:val="auto"/>
                <w:kern w:val="0"/>
                <w:highlight w:val="none"/>
              </w:rPr>
            </w:pPr>
          </w:p>
        </w:tc>
        <w:tc>
          <w:tcPr>
            <w:tcW w:w="2239" w:type="dxa"/>
            <w:gridSpan w:val="2"/>
            <w:noWrap/>
            <w:vAlign w:val="center"/>
          </w:tcPr>
          <w:p w14:paraId="3DDC93F7">
            <w:pPr>
              <w:widowControl/>
              <w:jc w:val="center"/>
              <w:rPr>
                <w:color w:val="auto"/>
                <w:kern w:val="0"/>
                <w:highlight w:val="none"/>
              </w:rPr>
            </w:pPr>
            <w:r>
              <w:rPr>
                <w:rFonts w:hint="eastAsia"/>
                <w:color w:val="auto"/>
                <w:kern w:val="0"/>
                <w:highlight w:val="none"/>
              </w:rPr>
              <w:t>信用记录</w:t>
            </w:r>
          </w:p>
        </w:tc>
        <w:tc>
          <w:tcPr>
            <w:tcW w:w="6662" w:type="dxa"/>
            <w:noWrap/>
            <w:vAlign w:val="center"/>
          </w:tcPr>
          <w:p w14:paraId="2B030143">
            <w:pPr>
              <w:widowControl/>
              <w:jc w:val="left"/>
              <w:rPr>
                <w:color w:val="auto"/>
                <w:kern w:val="0"/>
                <w:highlight w:val="none"/>
              </w:rPr>
            </w:pPr>
            <w:r>
              <w:rPr>
                <w:rFonts w:hint="eastAsia"/>
                <w:color w:val="auto"/>
                <w:kern w:val="0"/>
                <w:highlight w:val="none"/>
              </w:rPr>
              <w:t>根据《关于在政府采购活动中查询及使用信用记录有关问题的通知》(财库[2016]125号)的规定，开标结束后至评标结束前采购人或采购代理机构通过“信用中国”网站（www.creditchina.gov.cn）、“中国执行信息公开网”网站（zxgk.court.gov.cn）和“中国政府采购网”网站（www.ccgp.gov.cn）查询企业的信用记录，列入“中国执行信息公开网”网站的“失信被执行人”、“信用中国”网站的“重大税收违法失信主体”和“中国政府采购网”网站的“政府采购严重违法失信行为记录名单”的供应商，将拒绝参与本次政府采购活动（供应商须提供承诺书，格式自拟</w:t>
            </w:r>
            <w:r>
              <w:rPr>
                <w:rFonts w:hint="eastAsia"/>
                <w:color w:val="auto"/>
                <w:highlight w:val="none"/>
              </w:rPr>
              <w:t>）</w:t>
            </w:r>
          </w:p>
        </w:tc>
      </w:tr>
      <w:tr w14:paraId="3338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990" w:type="dxa"/>
            <w:vMerge w:val="continue"/>
            <w:noWrap/>
            <w:vAlign w:val="center"/>
          </w:tcPr>
          <w:p w14:paraId="7ABCF081">
            <w:pPr>
              <w:widowControl/>
              <w:jc w:val="center"/>
              <w:rPr>
                <w:color w:val="auto"/>
                <w:kern w:val="0"/>
                <w:highlight w:val="none"/>
              </w:rPr>
            </w:pPr>
          </w:p>
        </w:tc>
        <w:tc>
          <w:tcPr>
            <w:tcW w:w="990" w:type="dxa"/>
            <w:vMerge w:val="continue"/>
            <w:noWrap/>
            <w:vAlign w:val="center"/>
          </w:tcPr>
          <w:p w14:paraId="51AF7BDB">
            <w:pPr>
              <w:widowControl/>
              <w:jc w:val="center"/>
              <w:rPr>
                <w:color w:val="auto"/>
                <w:kern w:val="0"/>
                <w:highlight w:val="none"/>
              </w:rPr>
            </w:pPr>
          </w:p>
        </w:tc>
        <w:tc>
          <w:tcPr>
            <w:tcW w:w="2239" w:type="dxa"/>
            <w:gridSpan w:val="2"/>
            <w:vMerge w:val="restart"/>
            <w:noWrap/>
            <w:vAlign w:val="center"/>
          </w:tcPr>
          <w:p w14:paraId="442E1A0D">
            <w:pPr>
              <w:widowControl/>
              <w:jc w:val="center"/>
              <w:rPr>
                <w:color w:val="auto"/>
                <w:kern w:val="0"/>
                <w:highlight w:val="none"/>
              </w:rPr>
            </w:pPr>
            <w:r>
              <w:rPr>
                <w:rFonts w:hint="eastAsia"/>
                <w:color w:val="auto"/>
                <w:kern w:val="0"/>
                <w:highlight w:val="none"/>
              </w:rPr>
              <w:t>其他条件</w:t>
            </w:r>
          </w:p>
        </w:tc>
        <w:tc>
          <w:tcPr>
            <w:tcW w:w="6662" w:type="dxa"/>
            <w:noWrap/>
            <w:vAlign w:val="center"/>
          </w:tcPr>
          <w:p w14:paraId="3E5A2758">
            <w:pPr>
              <w:pStyle w:val="18"/>
              <w:ind w:left="0" w:leftChars="0" w:right="0" w:rightChars="0"/>
              <w:jc w:val="left"/>
              <w:rPr>
                <w:color w:val="auto"/>
                <w:sz w:val="21"/>
                <w:szCs w:val="21"/>
                <w:highlight w:val="none"/>
              </w:rPr>
            </w:pPr>
            <w:r>
              <w:rPr>
                <w:rFonts w:hint="eastAsia"/>
                <w:color w:val="auto"/>
                <w:sz w:val="21"/>
                <w:szCs w:val="21"/>
                <w:highlight w:val="none"/>
              </w:rPr>
              <w:t>单位负责人为同一人或者存在直接控股、管理关系的不同供应商，不得参加同一合同项下的政府采购活动（以国家企业信用信息公示系统的公司信息、股东信息为准，投标时应在响应文件中附此网站截图）。</w:t>
            </w:r>
          </w:p>
        </w:tc>
      </w:tr>
      <w:tr w14:paraId="6210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990" w:type="dxa"/>
            <w:vMerge w:val="continue"/>
            <w:noWrap/>
            <w:vAlign w:val="center"/>
          </w:tcPr>
          <w:p w14:paraId="75280405">
            <w:pPr>
              <w:widowControl/>
              <w:jc w:val="center"/>
              <w:rPr>
                <w:color w:val="auto"/>
                <w:kern w:val="0"/>
                <w:highlight w:val="none"/>
              </w:rPr>
            </w:pPr>
          </w:p>
        </w:tc>
        <w:tc>
          <w:tcPr>
            <w:tcW w:w="990" w:type="dxa"/>
            <w:vMerge w:val="continue"/>
            <w:noWrap/>
            <w:vAlign w:val="center"/>
          </w:tcPr>
          <w:p w14:paraId="0EF89ED8">
            <w:pPr>
              <w:widowControl/>
              <w:jc w:val="center"/>
              <w:rPr>
                <w:color w:val="auto"/>
                <w:kern w:val="0"/>
                <w:highlight w:val="none"/>
              </w:rPr>
            </w:pPr>
          </w:p>
        </w:tc>
        <w:tc>
          <w:tcPr>
            <w:tcW w:w="2239" w:type="dxa"/>
            <w:gridSpan w:val="2"/>
            <w:vMerge w:val="continue"/>
            <w:noWrap/>
            <w:vAlign w:val="center"/>
          </w:tcPr>
          <w:p w14:paraId="6F4E2CFE">
            <w:pPr>
              <w:widowControl/>
              <w:jc w:val="center"/>
              <w:rPr>
                <w:color w:val="auto"/>
                <w:kern w:val="0"/>
                <w:highlight w:val="none"/>
              </w:rPr>
            </w:pPr>
          </w:p>
        </w:tc>
        <w:tc>
          <w:tcPr>
            <w:tcW w:w="6662" w:type="dxa"/>
            <w:noWrap/>
            <w:vAlign w:val="center"/>
          </w:tcPr>
          <w:p w14:paraId="135BC78D">
            <w:pPr>
              <w:pStyle w:val="18"/>
              <w:ind w:left="0" w:leftChars="0" w:right="0" w:rightChars="0"/>
              <w:jc w:val="left"/>
              <w:rPr>
                <w:color w:val="auto"/>
                <w:sz w:val="21"/>
                <w:szCs w:val="21"/>
                <w:highlight w:val="none"/>
              </w:rPr>
            </w:pPr>
            <w:r>
              <w:rPr>
                <w:rFonts w:hint="eastAsia"/>
                <w:color w:val="auto"/>
                <w:sz w:val="21"/>
                <w:szCs w:val="21"/>
                <w:highlight w:val="none"/>
              </w:rPr>
              <w:t>本项目不接受联合体投标。</w:t>
            </w:r>
          </w:p>
        </w:tc>
      </w:tr>
      <w:tr w14:paraId="657C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0" w:type="dxa"/>
            <w:vMerge w:val="restart"/>
            <w:noWrap/>
            <w:vAlign w:val="center"/>
          </w:tcPr>
          <w:p w14:paraId="4E542E48">
            <w:pPr>
              <w:widowControl/>
              <w:jc w:val="center"/>
              <w:rPr>
                <w:color w:val="auto"/>
                <w:kern w:val="0"/>
                <w:highlight w:val="none"/>
              </w:rPr>
            </w:pPr>
            <w:r>
              <w:rPr>
                <w:rFonts w:hint="eastAsia"/>
                <w:color w:val="auto"/>
                <w:kern w:val="0"/>
                <w:highlight w:val="none"/>
              </w:rPr>
              <w:t>2.1.3</w:t>
            </w:r>
          </w:p>
        </w:tc>
        <w:tc>
          <w:tcPr>
            <w:tcW w:w="990" w:type="dxa"/>
            <w:vMerge w:val="restart"/>
            <w:noWrap/>
            <w:vAlign w:val="center"/>
          </w:tcPr>
          <w:p w14:paraId="45166CD6">
            <w:pPr>
              <w:widowControl/>
              <w:jc w:val="center"/>
              <w:rPr>
                <w:color w:val="auto"/>
                <w:kern w:val="0"/>
                <w:highlight w:val="none"/>
              </w:rPr>
            </w:pPr>
            <w:r>
              <w:rPr>
                <w:rFonts w:hint="eastAsia"/>
                <w:color w:val="auto"/>
                <w:highlight w:val="none"/>
              </w:rPr>
              <w:t>响应性审查</w:t>
            </w:r>
            <w:r>
              <w:rPr>
                <w:rFonts w:hint="eastAsia"/>
                <w:color w:val="auto"/>
                <w:kern w:val="0"/>
                <w:highlight w:val="none"/>
              </w:rPr>
              <w:t>标准</w:t>
            </w:r>
          </w:p>
        </w:tc>
        <w:tc>
          <w:tcPr>
            <w:tcW w:w="2239" w:type="dxa"/>
            <w:gridSpan w:val="2"/>
            <w:noWrap/>
            <w:vAlign w:val="center"/>
          </w:tcPr>
          <w:p w14:paraId="3B66A362">
            <w:pPr>
              <w:widowControl/>
              <w:jc w:val="center"/>
              <w:rPr>
                <w:color w:val="auto"/>
                <w:kern w:val="0"/>
                <w:highlight w:val="none"/>
              </w:rPr>
            </w:pPr>
            <w:r>
              <w:rPr>
                <w:rFonts w:hint="eastAsia" w:cs="Times New Roman"/>
                <w:color w:val="auto"/>
                <w:szCs w:val="24"/>
                <w:highlight w:val="none"/>
              </w:rPr>
              <w:t>响应承诺函</w:t>
            </w:r>
          </w:p>
        </w:tc>
        <w:tc>
          <w:tcPr>
            <w:tcW w:w="6662" w:type="dxa"/>
            <w:noWrap/>
            <w:vAlign w:val="center"/>
          </w:tcPr>
          <w:p w14:paraId="54068A49">
            <w:pPr>
              <w:widowControl/>
              <w:jc w:val="center"/>
              <w:rPr>
                <w:color w:val="auto"/>
                <w:kern w:val="0"/>
                <w:highlight w:val="none"/>
              </w:rPr>
            </w:pPr>
            <w:r>
              <w:rPr>
                <w:rFonts w:hint="eastAsia"/>
                <w:color w:val="auto"/>
                <w:kern w:val="0"/>
                <w:highlight w:val="none"/>
              </w:rPr>
              <w:t>按照竞争性磋商文件的规定提交响应承诺函的</w:t>
            </w:r>
          </w:p>
        </w:tc>
      </w:tr>
      <w:tr w14:paraId="04C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990" w:type="dxa"/>
            <w:vMerge w:val="continue"/>
            <w:noWrap/>
            <w:vAlign w:val="center"/>
          </w:tcPr>
          <w:p w14:paraId="54A64BD6">
            <w:pPr>
              <w:widowControl/>
              <w:jc w:val="center"/>
              <w:rPr>
                <w:color w:val="auto"/>
                <w:kern w:val="0"/>
                <w:highlight w:val="none"/>
              </w:rPr>
            </w:pPr>
          </w:p>
        </w:tc>
        <w:tc>
          <w:tcPr>
            <w:tcW w:w="990" w:type="dxa"/>
            <w:vMerge w:val="continue"/>
            <w:noWrap/>
            <w:vAlign w:val="center"/>
          </w:tcPr>
          <w:p w14:paraId="35E5B4BE">
            <w:pPr>
              <w:widowControl/>
              <w:jc w:val="center"/>
              <w:rPr>
                <w:color w:val="auto"/>
                <w:kern w:val="0"/>
                <w:highlight w:val="none"/>
              </w:rPr>
            </w:pPr>
          </w:p>
        </w:tc>
        <w:tc>
          <w:tcPr>
            <w:tcW w:w="2239" w:type="dxa"/>
            <w:gridSpan w:val="2"/>
            <w:noWrap/>
            <w:vAlign w:val="center"/>
          </w:tcPr>
          <w:p w14:paraId="009CAFEA">
            <w:pPr>
              <w:widowControl/>
              <w:jc w:val="center"/>
              <w:rPr>
                <w:color w:val="auto"/>
                <w:kern w:val="0"/>
                <w:highlight w:val="none"/>
              </w:rPr>
            </w:pPr>
            <w:r>
              <w:rPr>
                <w:rFonts w:hint="eastAsia" w:cs="黑体"/>
                <w:color w:val="auto"/>
                <w:highlight w:val="none"/>
              </w:rPr>
              <w:t>交货及安装期</w:t>
            </w:r>
          </w:p>
        </w:tc>
        <w:tc>
          <w:tcPr>
            <w:tcW w:w="6662" w:type="dxa"/>
            <w:noWrap/>
            <w:vAlign w:val="center"/>
          </w:tcPr>
          <w:p w14:paraId="68D5F5D8">
            <w:pPr>
              <w:widowControl/>
              <w:jc w:val="center"/>
              <w:rPr>
                <w:color w:val="auto"/>
                <w:kern w:val="0"/>
                <w:highlight w:val="none"/>
              </w:rPr>
            </w:pPr>
            <w:r>
              <w:rPr>
                <w:rFonts w:hint="eastAsia"/>
                <w:color w:val="auto"/>
                <w:kern w:val="0"/>
                <w:highlight w:val="none"/>
              </w:rPr>
              <w:t>符合第二章“供应商须知前附表”第1.3.</w:t>
            </w:r>
            <w:r>
              <w:rPr>
                <w:rFonts w:hint="eastAsia"/>
                <w:color w:val="auto"/>
                <w:kern w:val="0"/>
                <w:highlight w:val="none"/>
                <w:lang w:val="en-US" w:eastAsia="zh-CN"/>
              </w:rPr>
              <w:t>1</w:t>
            </w:r>
            <w:r>
              <w:rPr>
                <w:rFonts w:hint="eastAsia"/>
                <w:color w:val="auto"/>
                <w:kern w:val="0"/>
                <w:highlight w:val="none"/>
              </w:rPr>
              <w:t>项规定</w:t>
            </w:r>
          </w:p>
        </w:tc>
      </w:tr>
      <w:tr w14:paraId="04BC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90" w:type="dxa"/>
            <w:vMerge w:val="continue"/>
            <w:noWrap/>
            <w:vAlign w:val="center"/>
          </w:tcPr>
          <w:p w14:paraId="063FFC5E">
            <w:pPr>
              <w:widowControl/>
              <w:jc w:val="center"/>
              <w:rPr>
                <w:color w:val="auto"/>
                <w:kern w:val="0"/>
                <w:highlight w:val="none"/>
              </w:rPr>
            </w:pPr>
          </w:p>
        </w:tc>
        <w:tc>
          <w:tcPr>
            <w:tcW w:w="990" w:type="dxa"/>
            <w:vMerge w:val="continue"/>
            <w:noWrap/>
            <w:vAlign w:val="center"/>
          </w:tcPr>
          <w:p w14:paraId="5BD1AB79">
            <w:pPr>
              <w:widowControl/>
              <w:jc w:val="center"/>
              <w:rPr>
                <w:color w:val="auto"/>
                <w:kern w:val="0"/>
                <w:highlight w:val="none"/>
              </w:rPr>
            </w:pPr>
          </w:p>
        </w:tc>
        <w:tc>
          <w:tcPr>
            <w:tcW w:w="2239" w:type="dxa"/>
            <w:gridSpan w:val="2"/>
            <w:noWrap/>
            <w:vAlign w:val="center"/>
          </w:tcPr>
          <w:p w14:paraId="47DACD61">
            <w:pPr>
              <w:widowControl/>
              <w:jc w:val="center"/>
              <w:rPr>
                <w:color w:val="auto"/>
                <w:kern w:val="0"/>
                <w:highlight w:val="none"/>
              </w:rPr>
            </w:pPr>
            <w:r>
              <w:rPr>
                <w:rFonts w:hint="eastAsia"/>
                <w:color w:val="auto"/>
                <w:kern w:val="0"/>
                <w:highlight w:val="none"/>
              </w:rPr>
              <w:t>服务地点</w:t>
            </w:r>
          </w:p>
        </w:tc>
        <w:tc>
          <w:tcPr>
            <w:tcW w:w="6662" w:type="dxa"/>
            <w:noWrap/>
            <w:vAlign w:val="center"/>
          </w:tcPr>
          <w:p w14:paraId="533E3F1A">
            <w:pPr>
              <w:widowControl/>
              <w:jc w:val="center"/>
              <w:rPr>
                <w:color w:val="auto"/>
                <w:kern w:val="0"/>
                <w:highlight w:val="none"/>
              </w:rPr>
            </w:pPr>
            <w:r>
              <w:rPr>
                <w:rFonts w:hint="eastAsia"/>
                <w:color w:val="auto"/>
                <w:kern w:val="0"/>
                <w:highlight w:val="none"/>
              </w:rPr>
              <w:t>符合第二章“供应商须知前附表”第1.3.</w:t>
            </w:r>
            <w:r>
              <w:rPr>
                <w:rFonts w:hint="eastAsia"/>
                <w:color w:val="auto"/>
                <w:kern w:val="0"/>
                <w:highlight w:val="none"/>
                <w:lang w:val="en-US" w:eastAsia="zh-CN"/>
              </w:rPr>
              <w:t>2</w:t>
            </w:r>
            <w:r>
              <w:rPr>
                <w:rFonts w:hint="eastAsia"/>
                <w:color w:val="auto"/>
                <w:kern w:val="0"/>
                <w:highlight w:val="none"/>
              </w:rPr>
              <w:t>项规定</w:t>
            </w:r>
          </w:p>
        </w:tc>
      </w:tr>
      <w:tr w14:paraId="56E2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90" w:type="dxa"/>
            <w:vMerge w:val="continue"/>
            <w:noWrap/>
            <w:vAlign w:val="center"/>
          </w:tcPr>
          <w:p w14:paraId="1C5ACCAA">
            <w:pPr>
              <w:widowControl/>
              <w:jc w:val="center"/>
              <w:rPr>
                <w:color w:val="auto"/>
                <w:kern w:val="0"/>
                <w:highlight w:val="none"/>
              </w:rPr>
            </w:pPr>
          </w:p>
        </w:tc>
        <w:tc>
          <w:tcPr>
            <w:tcW w:w="990" w:type="dxa"/>
            <w:vMerge w:val="continue"/>
            <w:noWrap/>
            <w:vAlign w:val="center"/>
          </w:tcPr>
          <w:p w14:paraId="437F6E8C">
            <w:pPr>
              <w:widowControl/>
              <w:jc w:val="center"/>
              <w:rPr>
                <w:color w:val="auto"/>
                <w:kern w:val="0"/>
                <w:highlight w:val="none"/>
              </w:rPr>
            </w:pPr>
          </w:p>
        </w:tc>
        <w:tc>
          <w:tcPr>
            <w:tcW w:w="2239" w:type="dxa"/>
            <w:gridSpan w:val="2"/>
            <w:noWrap/>
            <w:vAlign w:val="center"/>
          </w:tcPr>
          <w:p w14:paraId="481B9338">
            <w:pPr>
              <w:widowControl/>
              <w:jc w:val="center"/>
              <w:rPr>
                <w:color w:val="auto"/>
                <w:kern w:val="0"/>
                <w:highlight w:val="none"/>
              </w:rPr>
            </w:pPr>
            <w:r>
              <w:rPr>
                <w:rFonts w:hint="eastAsia"/>
                <w:color w:val="auto"/>
                <w:kern w:val="0"/>
                <w:highlight w:val="none"/>
              </w:rPr>
              <w:t>质量要求</w:t>
            </w:r>
          </w:p>
        </w:tc>
        <w:tc>
          <w:tcPr>
            <w:tcW w:w="6662" w:type="dxa"/>
            <w:noWrap/>
            <w:vAlign w:val="center"/>
          </w:tcPr>
          <w:p w14:paraId="6B96D59D">
            <w:pPr>
              <w:widowControl/>
              <w:jc w:val="center"/>
              <w:rPr>
                <w:color w:val="auto"/>
                <w:kern w:val="0"/>
                <w:highlight w:val="none"/>
              </w:rPr>
            </w:pPr>
            <w:r>
              <w:rPr>
                <w:rFonts w:hint="eastAsia"/>
                <w:color w:val="auto"/>
                <w:kern w:val="0"/>
                <w:highlight w:val="none"/>
              </w:rPr>
              <w:t>符合第二章“供应商须知前附表”第1.3.</w:t>
            </w:r>
            <w:r>
              <w:rPr>
                <w:rFonts w:hint="eastAsia"/>
                <w:color w:val="auto"/>
                <w:kern w:val="0"/>
                <w:highlight w:val="none"/>
                <w:lang w:val="en-US" w:eastAsia="zh-CN"/>
              </w:rPr>
              <w:t>3</w:t>
            </w:r>
            <w:r>
              <w:rPr>
                <w:rFonts w:hint="eastAsia"/>
                <w:color w:val="auto"/>
                <w:kern w:val="0"/>
                <w:highlight w:val="none"/>
              </w:rPr>
              <w:t>项规定</w:t>
            </w:r>
          </w:p>
        </w:tc>
      </w:tr>
      <w:tr w14:paraId="37D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90" w:type="dxa"/>
            <w:vMerge w:val="continue"/>
            <w:noWrap/>
            <w:vAlign w:val="center"/>
          </w:tcPr>
          <w:p w14:paraId="7DE8EA52">
            <w:pPr>
              <w:widowControl/>
              <w:jc w:val="center"/>
              <w:rPr>
                <w:color w:val="auto"/>
                <w:kern w:val="0"/>
                <w:highlight w:val="none"/>
              </w:rPr>
            </w:pPr>
          </w:p>
        </w:tc>
        <w:tc>
          <w:tcPr>
            <w:tcW w:w="990" w:type="dxa"/>
            <w:vMerge w:val="continue"/>
            <w:noWrap/>
            <w:vAlign w:val="center"/>
          </w:tcPr>
          <w:p w14:paraId="6CA51A86">
            <w:pPr>
              <w:widowControl/>
              <w:jc w:val="center"/>
              <w:rPr>
                <w:color w:val="auto"/>
                <w:kern w:val="0"/>
                <w:highlight w:val="none"/>
              </w:rPr>
            </w:pPr>
          </w:p>
        </w:tc>
        <w:tc>
          <w:tcPr>
            <w:tcW w:w="2239" w:type="dxa"/>
            <w:gridSpan w:val="2"/>
            <w:noWrap/>
            <w:vAlign w:val="center"/>
          </w:tcPr>
          <w:p w14:paraId="4733A23E">
            <w:pPr>
              <w:widowControl/>
              <w:jc w:val="center"/>
              <w:rPr>
                <w:color w:val="auto"/>
                <w:kern w:val="0"/>
                <w:highlight w:val="none"/>
              </w:rPr>
            </w:pPr>
            <w:r>
              <w:rPr>
                <w:rFonts w:hint="eastAsia"/>
                <w:color w:val="auto"/>
                <w:highlight w:val="none"/>
              </w:rPr>
              <w:t>磋商有效期</w:t>
            </w:r>
          </w:p>
        </w:tc>
        <w:tc>
          <w:tcPr>
            <w:tcW w:w="6662" w:type="dxa"/>
            <w:noWrap/>
            <w:vAlign w:val="center"/>
          </w:tcPr>
          <w:p w14:paraId="57AE1491">
            <w:pPr>
              <w:widowControl/>
              <w:jc w:val="center"/>
              <w:rPr>
                <w:color w:val="auto"/>
                <w:kern w:val="0"/>
                <w:highlight w:val="none"/>
              </w:rPr>
            </w:pPr>
            <w:r>
              <w:rPr>
                <w:rFonts w:hint="eastAsia"/>
                <w:color w:val="auto"/>
                <w:kern w:val="0"/>
                <w:highlight w:val="none"/>
              </w:rPr>
              <w:t>符合第二章“供应商须知前附表”第3.3.1项规定</w:t>
            </w:r>
          </w:p>
        </w:tc>
      </w:tr>
      <w:tr w14:paraId="7B5B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ign w:val="center"/>
          </w:tcPr>
          <w:p w14:paraId="532B7F22">
            <w:pPr>
              <w:autoSpaceDE w:val="0"/>
              <w:autoSpaceDN w:val="0"/>
              <w:adjustRightInd w:val="0"/>
              <w:spacing w:line="400" w:lineRule="exact"/>
              <w:ind w:left="37" w:leftChars="18"/>
              <w:jc w:val="center"/>
              <w:rPr>
                <w:color w:val="auto"/>
                <w:kern w:val="0"/>
                <w:highlight w:val="none"/>
              </w:rPr>
            </w:pPr>
            <w:r>
              <w:rPr>
                <w:rFonts w:hint="eastAsia"/>
                <w:color w:val="auto"/>
                <w:highlight w:val="none"/>
              </w:rPr>
              <w:t>详细磋商</w:t>
            </w:r>
          </w:p>
        </w:tc>
        <w:tc>
          <w:tcPr>
            <w:tcW w:w="8901" w:type="dxa"/>
            <w:gridSpan w:val="3"/>
            <w:noWrap/>
            <w:vAlign w:val="center"/>
          </w:tcPr>
          <w:p w14:paraId="59005C06">
            <w:pPr>
              <w:numPr>
                <w:ilvl w:val="0"/>
                <w:numId w:val="13"/>
              </w:numPr>
              <w:autoSpaceDE w:val="0"/>
              <w:autoSpaceDN w:val="0"/>
              <w:adjustRightInd w:val="0"/>
              <w:spacing w:line="360" w:lineRule="auto"/>
              <w:jc w:val="left"/>
              <w:rPr>
                <w:color w:val="auto"/>
                <w:highlight w:val="none"/>
              </w:rPr>
            </w:pPr>
            <w:r>
              <w:rPr>
                <w:rFonts w:hint="eastAsia"/>
                <w:color w:val="auto"/>
                <w:kern w:val="0"/>
                <w:highlight w:val="none"/>
              </w:rPr>
              <w:t>磋商小组根据本章第3.2款内容</w:t>
            </w:r>
            <w:r>
              <w:rPr>
                <w:rFonts w:hint="eastAsia"/>
                <w:bCs/>
                <w:color w:val="auto"/>
                <w:kern w:val="0"/>
                <w:highlight w:val="none"/>
              </w:rPr>
              <w:t>集中与单一供应商分别进行磋商，</w:t>
            </w:r>
            <w:r>
              <w:rPr>
                <w:rFonts w:hint="eastAsia"/>
                <w:color w:val="auto"/>
                <w:highlight w:val="none"/>
              </w:rPr>
              <w:t>磋商结束后，并要求其在规定时间内提交最后报价。</w:t>
            </w:r>
          </w:p>
          <w:p w14:paraId="555576E5">
            <w:pPr>
              <w:numPr>
                <w:ilvl w:val="0"/>
                <w:numId w:val="13"/>
              </w:numPr>
              <w:autoSpaceDE w:val="0"/>
              <w:autoSpaceDN w:val="0"/>
              <w:adjustRightInd w:val="0"/>
              <w:spacing w:line="360" w:lineRule="auto"/>
              <w:jc w:val="left"/>
              <w:rPr>
                <w:color w:val="auto"/>
                <w:highlight w:val="none"/>
              </w:rPr>
            </w:pPr>
            <w:r>
              <w:rPr>
                <w:rFonts w:hint="eastAsia"/>
                <w:color w:val="auto"/>
                <w:kern w:val="0"/>
                <w:highlight w:val="none"/>
              </w:rPr>
              <w:t>供应商对所参加磋商项目根据市场行情自主报价，分二次报价（情况特殊,经磋商小组根据磋商现场情况，可以要求供应商适当进行多轮报价），一次报价须按照磋商文件的报价格式填报，第二次报价在磋商中填报</w:t>
            </w:r>
            <w:r>
              <w:rPr>
                <w:rFonts w:hint="eastAsia"/>
                <w:b/>
                <w:bCs/>
                <w:color w:val="auto"/>
                <w:kern w:val="0"/>
                <w:highlight w:val="none"/>
              </w:rPr>
              <w:t>（</w:t>
            </w:r>
            <w:r>
              <w:rPr>
                <w:rFonts w:hint="eastAsia"/>
                <w:b/>
                <w:bCs/>
                <w:color w:val="auto"/>
                <w:highlight w:val="none"/>
              </w:rPr>
              <w:t>注：最后报价明显低于成本价的，供应商需做出合理说明，否则将承担不被接受的风险</w:t>
            </w:r>
            <w:r>
              <w:rPr>
                <w:rFonts w:hint="eastAsia"/>
                <w:b/>
                <w:bCs/>
                <w:color w:val="auto"/>
                <w:kern w:val="0"/>
                <w:highlight w:val="none"/>
              </w:rPr>
              <w:t>）。</w:t>
            </w:r>
          </w:p>
          <w:p w14:paraId="14B47345">
            <w:pPr>
              <w:numPr>
                <w:ilvl w:val="0"/>
                <w:numId w:val="13"/>
              </w:numPr>
              <w:autoSpaceDE w:val="0"/>
              <w:autoSpaceDN w:val="0"/>
              <w:adjustRightInd w:val="0"/>
              <w:spacing w:line="360" w:lineRule="auto"/>
              <w:jc w:val="left"/>
              <w:rPr>
                <w:color w:val="auto"/>
                <w:kern w:val="0"/>
                <w:highlight w:val="none"/>
              </w:rPr>
            </w:pPr>
            <w:r>
              <w:rPr>
                <w:rFonts w:hint="eastAsia"/>
                <w:bCs/>
                <w:color w:val="auto"/>
                <w:kern w:val="0"/>
                <w:highlight w:val="none"/>
              </w:rPr>
              <w:t>经磋商确定最终采购需求和提交最后报价的供应商后，由磋商小组采用综合评分法对提交最后报价的供应商的响应文件和最后报价按照本章第2.2款内容进行详细性评审。</w:t>
            </w:r>
          </w:p>
        </w:tc>
      </w:tr>
      <w:tr w14:paraId="4EA7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2"/>
            <w:noWrap/>
            <w:vAlign w:val="center"/>
          </w:tcPr>
          <w:p w14:paraId="57D112C9">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条款号</w:t>
            </w:r>
          </w:p>
        </w:tc>
        <w:tc>
          <w:tcPr>
            <w:tcW w:w="1672" w:type="dxa"/>
            <w:noWrap/>
            <w:vAlign w:val="center"/>
          </w:tcPr>
          <w:p w14:paraId="24997145">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条款内容</w:t>
            </w:r>
          </w:p>
        </w:tc>
        <w:tc>
          <w:tcPr>
            <w:tcW w:w="7229" w:type="dxa"/>
            <w:gridSpan w:val="2"/>
            <w:noWrap/>
            <w:vAlign w:val="center"/>
          </w:tcPr>
          <w:p w14:paraId="7B6EB58F">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编列内容</w:t>
            </w:r>
          </w:p>
        </w:tc>
      </w:tr>
      <w:tr w14:paraId="1B80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ign w:val="center"/>
          </w:tcPr>
          <w:p w14:paraId="3B84F9E4">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2.2.1</w:t>
            </w:r>
          </w:p>
        </w:tc>
        <w:tc>
          <w:tcPr>
            <w:tcW w:w="1672" w:type="dxa"/>
            <w:noWrap/>
            <w:vAlign w:val="center"/>
          </w:tcPr>
          <w:p w14:paraId="7AD51203">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分值构成(总分100分)</w:t>
            </w:r>
          </w:p>
        </w:tc>
        <w:tc>
          <w:tcPr>
            <w:tcW w:w="7229" w:type="dxa"/>
            <w:gridSpan w:val="2"/>
            <w:noWrap/>
            <w:vAlign w:val="center"/>
          </w:tcPr>
          <w:p w14:paraId="24419160">
            <w:pPr>
              <w:autoSpaceDE w:val="0"/>
              <w:autoSpaceDN w:val="0"/>
              <w:adjustRightInd w:val="0"/>
              <w:spacing w:line="400" w:lineRule="exact"/>
              <w:ind w:left="37" w:leftChars="18"/>
              <w:jc w:val="left"/>
              <w:rPr>
                <w:b/>
                <w:bCs/>
                <w:color w:val="auto"/>
                <w:kern w:val="0"/>
                <w:highlight w:val="none"/>
              </w:rPr>
            </w:pPr>
            <w:r>
              <w:rPr>
                <w:rFonts w:hint="eastAsia"/>
                <w:b/>
                <w:bCs/>
                <w:color w:val="auto"/>
                <w:kern w:val="0"/>
                <w:highlight w:val="none"/>
              </w:rPr>
              <w:t>报价得分：30分</w:t>
            </w:r>
          </w:p>
          <w:p w14:paraId="6EDFCD85">
            <w:pPr>
              <w:autoSpaceDE w:val="0"/>
              <w:autoSpaceDN w:val="0"/>
              <w:adjustRightInd w:val="0"/>
              <w:spacing w:line="400" w:lineRule="exact"/>
              <w:ind w:left="37" w:leftChars="18"/>
              <w:jc w:val="left"/>
              <w:rPr>
                <w:b/>
                <w:color w:val="auto"/>
                <w:highlight w:val="none"/>
              </w:rPr>
            </w:pPr>
            <w:r>
              <w:rPr>
                <w:rFonts w:hint="eastAsia"/>
                <w:b/>
                <w:color w:val="auto"/>
                <w:highlight w:val="none"/>
              </w:rPr>
              <w:t>技术部分：50分</w:t>
            </w:r>
          </w:p>
          <w:p w14:paraId="68D844D1">
            <w:pPr>
              <w:autoSpaceDE w:val="0"/>
              <w:autoSpaceDN w:val="0"/>
              <w:adjustRightInd w:val="0"/>
              <w:spacing w:line="400" w:lineRule="exact"/>
              <w:ind w:left="37" w:leftChars="18"/>
              <w:jc w:val="left"/>
              <w:rPr>
                <w:b/>
                <w:color w:val="auto"/>
                <w:highlight w:val="none"/>
              </w:rPr>
            </w:pPr>
            <w:r>
              <w:rPr>
                <w:rFonts w:hint="eastAsia"/>
                <w:b/>
                <w:color w:val="auto"/>
                <w:highlight w:val="none"/>
              </w:rPr>
              <w:t>商务部分：20分</w:t>
            </w:r>
          </w:p>
        </w:tc>
      </w:tr>
      <w:tr w14:paraId="14A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ign w:val="center"/>
          </w:tcPr>
          <w:p w14:paraId="1AF4F513">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条款号</w:t>
            </w:r>
          </w:p>
        </w:tc>
        <w:tc>
          <w:tcPr>
            <w:tcW w:w="1672" w:type="dxa"/>
            <w:noWrap/>
            <w:vAlign w:val="center"/>
          </w:tcPr>
          <w:p w14:paraId="21A2DF1A">
            <w:pPr>
              <w:autoSpaceDE w:val="0"/>
              <w:autoSpaceDN w:val="0"/>
              <w:adjustRightInd w:val="0"/>
              <w:spacing w:line="400" w:lineRule="exact"/>
              <w:ind w:left="37" w:leftChars="18"/>
              <w:jc w:val="center"/>
              <w:rPr>
                <w:color w:val="auto"/>
                <w:kern w:val="0"/>
                <w:highlight w:val="none"/>
              </w:rPr>
            </w:pPr>
            <w:r>
              <w:rPr>
                <w:rFonts w:hint="eastAsia"/>
                <w:color w:val="auto"/>
                <w:kern w:val="0"/>
                <w:highlight w:val="none"/>
              </w:rPr>
              <w:t>评分因素</w:t>
            </w:r>
          </w:p>
        </w:tc>
        <w:tc>
          <w:tcPr>
            <w:tcW w:w="7229" w:type="dxa"/>
            <w:gridSpan w:val="2"/>
            <w:noWrap/>
            <w:vAlign w:val="center"/>
          </w:tcPr>
          <w:p w14:paraId="654C71F4">
            <w:pPr>
              <w:autoSpaceDE w:val="0"/>
              <w:autoSpaceDN w:val="0"/>
              <w:adjustRightInd w:val="0"/>
              <w:spacing w:line="400" w:lineRule="exact"/>
              <w:ind w:left="37" w:leftChars="18"/>
              <w:jc w:val="center"/>
              <w:rPr>
                <w:b/>
                <w:color w:val="auto"/>
                <w:highlight w:val="none"/>
              </w:rPr>
            </w:pPr>
            <w:r>
              <w:rPr>
                <w:rFonts w:hint="eastAsia"/>
                <w:color w:val="auto"/>
                <w:kern w:val="0"/>
                <w:highlight w:val="none"/>
              </w:rPr>
              <w:t>评分标准</w:t>
            </w:r>
          </w:p>
        </w:tc>
      </w:tr>
      <w:tr w14:paraId="0EBE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9" w:hRule="atLeast"/>
          <w:jc w:val="center"/>
        </w:trPr>
        <w:tc>
          <w:tcPr>
            <w:tcW w:w="990" w:type="dxa"/>
            <w:noWrap/>
            <w:vAlign w:val="center"/>
          </w:tcPr>
          <w:p w14:paraId="0BB33A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990" w:type="dxa"/>
            <w:noWrap/>
            <w:vAlign w:val="center"/>
          </w:tcPr>
          <w:p w14:paraId="57C27B8D">
            <w:pPr>
              <w:widowControl/>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报价得分（30分）</w:t>
            </w:r>
          </w:p>
        </w:tc>
        <w:tc>
          <w:tcPr>
            <w:tcW w:w="1672" w:type="dxa"/>
            <w:noWrap/>
            <w:vAlign w:val="center"/>
          </w:tcPr>
          <w:p w14:paraId="650181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磋商报价评分标准</w:t>
            </w:r>
          </w:p>
        </w:tc>
        <w:tc>
          <w:tcPr>
            <w:tcW w:w="7229" w:type="dxa"/>
            <w:gridSpan w:val="2"/>
            <w:noWrap/>
            <w:vAlign w:val="center"/>
          </w:tcPr>
          <w:p w14:paraId="374561EE">
            <w:pPr>
              <w:wordWrap/>
              <w:topLinePunct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供应商所投标的产品为小型和微型企业制造的，则给予该产品报价</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的扣除，用扣除后的价格参与评审。参加竞争性磋商的小微企业，应当按照《政府采购促进中小企业发展管理办法》(财库〔2020〕46号)的规定。 供应商所投产品为大型和中型企业制造的不适用本款规定。</w:t>
            </w:r>
          </w:p>
          <w:p w14:paraId="77753E06">
            <w:pPr>
              <w:wordWrap/>
              <w:topLinePunct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所提供的本企业生产的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的扣除。</w:t>
            </w:r>
          </w:p>
          <w:p w14:paraId="4AFC3976">
            <w:pPr>
              <w:wordWrap/>
              <w:topLinePunct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同一供应商，小微企业、监狱、残疾人福利性企业同一产品价格扣除优惠只享受一次，不得重复享受。</w:t>
            </w:r>
          </w:p>
          <w:p w14:paraId="57DD2E45">
            <w:pPr>
              <w:numPr>
                <w:ilvl w:val="0"/>
                <w:numId w:val="0"/>
              </w:numPr>
              <w:tabs>
                <w:tab w:val="left" w:pos="840"/>
              </w:tabs>
              <w:spacing w:line="360" w:lineRule="auto"/>
              <w:ind w:leftChars="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注：供应商所投全部产品均为小型、微型企业生产的产品，则给予评审价格扣除计算。部分为小型、微型企业生产的产品，不予扣除计算。</w:t>
            </w:r>
          </w:p>
          <w:p w14:paraId="7D11F3A4">
            <w:pPr>
              <w:wordWrap/>
              <w:topLinePunct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价格分采用低价优先法计算，</w:t>
            </w:r>
            <w:r>
              <w:rPr>
                <w:rFonts w:hint="eastAsia" w:ascii="宋体" w:hAnsi="宋体" w:eastAsia="宋体" w:cs="宋体"/>
                <w:color w:val="auto"/>
                <w:sz w:val="21"/>
                <w:szCs w:val="21"/>
                <w:highlight w:val="none"/>
              </w:rPr>
              <w:t>即满足竞争性磋商文件要求且评审报价最低的为评审基准价，其价格分为满分。其他供应商的价格分统一按照下列公式计算：</w:t>
            </w:r>
          </w:p>
          <w:p w14:paraId="0DAFCAEA">
            <w:pPr>
              <w:wordWrap/>
              <w:topLinePunct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最后磋商报价得分=(评审基准价／评审报价)×30</w:t>
            </w:r>
          </w:p>
          <w:p w14:paraId="6081CA33">
            <w:pPr>
              <w:wordWrap/>
              <w:topLinePunct w:val="0"/>
              <w:spacing w:line="400" w:lineRule="exact"/>
              <w:ind w:firstLine="420" w:firstLineChars="200"/>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磋商小组</w:t>
            </w:r>
            <w:r>
              <w:rPr>
                <w:rFonts w:hint="eastAsia" w:ascii="宋体" w:hAnsi="宋体" w:eastAsia="宋体" w:cs="宋体"/>
                <w:b/>
                <w:color w:val="auto"/>
                <w:sz w:val="21"/>
                <w:szCs w:val="21"/>
                <w:highlight w:val="none"/>
              </w:rPr>
              <w:t>认为供应商的报价明显低于其他通过初步审查供应商的报价，有可能影响货物质量或者不能诚信履约的，应当要求其在评标合理的时间内提供书面说明，必要时提交相关证明材料；供应商不能证明其报价合理性的，</w:t>
            </w:r>
            <w:r>
              <w:rPr>
                <w:rFonts w:hint="eastAsia" w:cs="宋体"/>
                <w:b/>
                <w:color w:val="auto"/>
                <w:sz w:val="21"/>
                <w:szCs w:val="21"/>
                <w:highlight w:val="none"/>
                <w:lang w:eastAsia="zh-CN"/>
              </w:rPr>
              <w:t>磋商小组</w:t>
            </w:r>
            <w:r>
              <w:rPr>
                <w:rFonts w:hint="eastAsia" w:ascii="宋体" w:hAnsi="宋体" w:eastAsia="宋体" w:cs="宋体"/>
                <w:b/>
                <w:color w:val="auto"/>
                <w:sz w:val="21"/>
                <w:szCs w:val="21"/>
                <w:highlight w:val="none"/>
              </w:rPr>
              <w:t>应当将其作为无效投标处理。</w:t>
            </w:r>
          </w:p>
        </w:tc>
      </w:tr>
      <w:tr w14:paraId="0662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exact"/>
          <w:jc w:val="center"/>
        </w:trPr>
        <w:tc>
          <w:tcPr>
            <w:tcW w:w="990" w:type="dxa"/>
            <w:vMerge w:val="restart"/>
            <w:noWrap/>
            <w:vAlign w:val="center"/>
          </w:tcPr>
          <w:p w14:paraId="6CD640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tc>
        <w:tc>
          <w:tcPr>
            <w:tcW w:w="990" w:type="dxa"/>
            <w:vMerge w:val="restart"/>
            <w:noWrap/>
            <w:vAlign w:val="center"/>
          </w:tcPr>
          <w:p w14:paraId="78E351E9">
            <w:pPr>
              <w:widowControl/>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技术部分（50分）</w:t>
            </w:r>
          </w:p>
        </w:tc>
        <w:tc>
          <w:tcPr>
            <w:tcW w:w="1672" w:type="dxa"/>
            <w:shd w:val="clear" w:color="auto" w:fill="auto"/>
            <w:noWrap/>
            <w:vAlign w:val="center"/>
          </w:tcPr>
          <w:p w14:paraId="0BA444A8">
            <w:pPr>
              <w:spacing w:line="360" w:lineRule="auto"/>
              <w:ind w:left="21" w:leftChars="10" w:right="21" w:rightChars="1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设备配置及技术指标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40分</w:t>
            </w:r>
            <w:r>
              <w:rPr>
                <w:rFonts w:hint="eastAsia" w:ascii="宋体" w:hAnsi="宋体" w:eastAsia="宋体" w:cs="宋体"/>
                <w:color w:val="auto"/>
                <w:sz w:val="21"/>
                <w:szCs w:val="21"/>
                <w:highlight w:val="none"/>
                <w:lang w:eastAsia="zh-CN"/>
              </w:rPr>
              <w:t>）</w:t>
            </w:r>
          </w:p>
        </w:tc>
        <w:tc>
          <w:tcPr>
            <w:tcW w:w="7229" w:type="dxa"/>
            <w:gridSpan w:val="2"/>
            <w:shd w:val="clear" w:color="auto" w:fill="auto"/>
            <w:noWrap/>
            <w:vAlign w:val="center"/>
          </w:tcPr>
          <w:p w14:paraId="61B396CB">
            <w:pPr>
              <w:spacing w:line="360"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文件对</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文件的响应情况，对照判断所投设备是否满足采购内容及技术参数中的招标要求。“★”号指标为必须满足项，带★号的技术参数及功能要求如有负偏离，做无效标处理。</w:t>
            </w:r>
          </w:p>
          <w:p w14:paraId="4A60A68C">
            <w:pPr>
              <w:spacing w:line="360"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全部参数满足招标文件要求的得40分；</w:t>
            </w:r>
          </w:p>
          <w:p w14:paraId="2D1BEA5C">
            <w:pPr>
              <w:spacing w:line="360" w:lineRule="auto"/>
              <w:ind w:left="21" w:leftChars="10" w:right="21" w:rightChars="1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非*号的技术参数及功能要求每有一项不满足的扣3分，扣完为止。</w:t>
            </w:r>
          </w:p>
        </w:tc>
      </w:tr>
      <w:tr w14:paraId="4873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exact"/>
          <w:jc w:val="center"/>
        </w:trPr>
        <w:tc>
          <w:tcPr>
            <w:tcW w:w="990" w:type="dxa"/>
            <w:vMerge w:val="continue"/>
            <w:noWrap/>
            <w:vAlign w:val="center"/>
          </w:tcPr>
          <w:p w14:paraId="44631D00">
            <w:pPr>
              <w:widowControl/>
              <w:jc w:val="center"/>
              <w:rPr>
                <w:rFonts w:hint="eastAsia" w:ascii="宋体" w:hAnsi="宋体" w:eastAsia="宋体" w:cs="宋体"/>
                <w:color w:val="auto"/>
                <w:kern w:val="0"/>
                <w:sz w:val="21"/>
                <w:szCs w:val="21"/>
                <w:highlight w:val="none"/>
              </w:rPr>
            </w:pPr>
          </w:p>
        </w:tc>
        <w:tc>
          <w:tcPr>
            <w:tcW w:w="990" w:type="dxa"/>
            <w:vMerge w:val="continue"/>
            <w:noWrap/>
            <w:vAlign w:val="center"/>
          </w:tcPr>
          <w:p w14:paraId="5AA56CB8">
            <w:pPr>
              <w:widowControl/>
              <w:jc w:val="center"/>
              <w:rPr>
                <w:rFonts w:hint="eastAsia" w:ascii="宋体" w:hAnsi="宋体" w:eastAsia="宋体" w:cs="宋体"/>
                <w:b/>
                <w:color w:val="auto"/>
                <w:sz w:val="21"/>
                <w:szCs w:val="21"/>
                <w:highlight w:val="none"/>
              </w:rPr>
            </w:pPr>
          </w:p>
        </w:tc>
        <w:tc>
          <w:tcPr>
            <w:tcW w:w="1672" w:type="dxa"/>
            <w:shd w:val="clear" w:color="auto" w:fill="auto"/>
            <w:noWrap/>
            <w:vAlign w:val="center"/>
          </w:tcPr>
          <w:p w14:paraId="10EA3F3D">
            <w:pPr>
              <w:spacing w:line="360" w:lineRule="auto"/>
              <w:ind w:left="21" w:leftChars="10" w:right="21" w:rightChars="1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设备配置及</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7229" w:type="dxa"/>
            <w:gridSpan w:val="2"/>
            <w:shd w:val="clear" w:color="auto" w:fill="auto"/>
            <w:noWrap/>
            <w:vAlign w:val="center"/>
          </w:tcPr>
          <w:p w14:paraId="5D9D92F4">
            <w:pPr>
              <w:spacing w:line="360" w:lineRule="auto"/>
              <w:ind w:left="21" w:leftChars="10" w:right="21" w:rightChars="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采购内容中的多媒体智能主机设备为项目运用中的核心产品，</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提供产品</w:t>
            </w:r>
            <w:r>
              <w:rPr>
                <w:rFonts w:hint="eastAsia" w:ascii="宋体" w:hAnsi="宋体" w:eastAsia="宋体" w:cs="宋体"/>
                <w:color w:val="auto"/>
                <w:sz w:val="21"/>
                <w:szCs w:val="21"/>
                <w:highlight w:val="none"/>
                <w:lang w:val="en-US" w:eastAsia="zh-CN"/>
              </w:rPr>
              <w:t>机型标准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此项产品的</w:t>
            </w:r>
            <w:r>
              <w:rPr>
                <w:rFonts w:hint="eastAsia" w:ascii="宋体" w:hAnsi="宋体" w:eastAsia="宋体" w:cs="宋体"/>
                <w:color w:val="auto"/>
                <w:sz w:val="21"/>
                <w:szCs w:val="21"/>
                <w:highlight w:val="none"/>
              </w:rPr>
              <w:t>技术参数</w:t>
            </w:r>
            <w:r>
              <w:rPr>
                <w:rFonts w:hint="eastAsia" w:ascii="宋体" w:hAnsi="宋体" w:eastAsia="宋体" w:cs="宋体"/>
                <w:color w:val="auto"/>
                <w:sz w:val="21"/>
                <w:szCs w:val="21"/>
                <w:highlight w:val="none"/>
                <w:lang w:val="en-US" w:eastAsia="zh-CN"/>
              </w:rPr>
              <w:t>对</w:t>
            </w:r>
            <w:r>
              <w:rPr>
                <w:rFonts w:hint="eastAsia"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的符合性</w:t>
            </w:r>
            <w:r>
              <w:rPr>
                <w:rFonts w:hint="eastAsia" w:ascii="宋体" w:hAnsi="宋体" w:eastAsia="宋体" w:cs="宋体"/>
                <w:color w:val="auto"/>
                <w:sz w:val="21"/>
                <w:szCs w:val="21"/>
                <w:highlight w:val="none"/>
              </w:rPr>
              <w:t>进行评分。技术参数</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分；技术参数要求每有一项不满足的扣3分，扣完为止。</w:t>
            </w:r>
          </w:p>
        </w:tc>
      </w:tr>
      <w:tr w14:paraId="5E9E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exact"/>
          <w:jc w:val="center"/>
        </w:trPr>
        <w:tc>
          <w:tcPr>
            <w:tcW w:w="990" w:type="dxa"/>
            <w:vMerge w:val="continue"/>
            <w:noWrap/>
            <w:vAlign w:val="center"/>
          </w:tcPr>
          <w:p w14:paraId="678A5300">
            <w:pPr>
              <w:widowControl/>
              <w:jc w:val="center"/>
              <w:rPr>
                <w:rFonts w:hint="eastAsia" w:ascii="宋体" w:hAnsi="宋体" w:eastAsia="宋体" w:cs="宋体"/>
                <w:color w:val="auto"/>
                <w:kern w:val="0"/>
                <w:sz w:val="21"/>
                <w:szCs w:val="21"/>
                <w:highlight w:val="none"/>
              </w:rPr>
            </w:pPr>
          </w:p>
        </w:tc>
        <w:tc>
          <w:tcPr>
            <w:tcW w:w="990" w:type="dxa"/>
            <w:vMerge w:val="continue"/>
            <w:noWrap/>
            <w:vAlign w:val="center"/>
          </w:tcPr>
          <w:p w14:paraId="1EE61921">
            <w:pPr>
              <w:widowControl/>
              <w:jc w:val="center"/>
              <w:rPr>
                <w:rFonts w:hint="eastAsia" w:ascii="宋体" w:hAnsi="宋体" w:eastAsia="宋体" w:cs="宋体"/>
                <w:b/>
                <w:color w:val="auto"/>
                <w:sz w:val="21"/>
                <w:szCs w:val="21"/>
                <w:highlight w:val="none"/>
              </w:rPr>
            </w:pPr>
          </w:p>
        </w:tc>
        <w:tc>
          <w:tcPr>
            <w:tcW w:w="1672" w:type="dxa"/>
            <w:shd w:val="clear" w:color="auto" w:fill="auto"/>
            <w:noWrap/>
            <w:vAlign w:val="center"/>
          </w:tcPr>
          <w:p w14:paraId="54427787">
            <w:pPr>
              <w:spacing w:line="360" w:lineRule="auto"/>
              <w:ind w:left="21" w:leftChars="10" w:right="21" w:rightChars="1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深化设计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7229" w:type="dxa"/>
            <w:gridSpan w:val="2"/>
            <w:shd w:val="clear" w:color="auto" w:fill="auto"/>
            <w:noWrap/>
            <w:vAlign w:val="center"/>
          </w:tcPr>
          <w:p w14:paraId="2AB894D7">
            <w:pPr>
              <w:spacing w:line="360" w:lineRule="auto"/>
              <w:ind w:left="21" w:leftChars="10" w:right="21" w:rightChars="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采购内容中的装饰效果图设计，作为项目采购的重要组成部分，根据装饰设计方案的整体性、合理性及创新性等情况进行综合评价。</w:t>
            </w:r>
          </w:p>
          <w:p w14:paraId="17218336">
            <w:pPr>
              <w:spacing w:line="360" w:lineRule="auto"/>
              <w:ind w:left="21" w:leftChars="10" w:right="21" w:rightChars="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效果图齐全完整契合，设计合理，得5分</w:t>
            </w:r>
          </w:p>
          <w:p w14:paraId="1A4A7556">
            <w:pPr>
              <w:spacing w:line="360" w:lineRule="auto"/>
              <w:ind w:left="21" w:leftChars="10" w:right="21" w:rightChars="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效果图齐全完整契合，设计基本合理，得3分</w:t>
            </w:r>
          </w:p>
          <w:p w14:paraId="1213E25E">
            <w:pPr>
              <w:spacing w:line="360" w:lineRule="auto"/>
              <w:ind w:left="21" w:leftChars="10" w:right="21" w:rightChars="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效果图不完整不契合，缺乏合理性，得1分</w:t>
            </w:r>
          </w:p>
          <w:p w14:paraId="018C235B">
            <w:pPr>
              <w:spacing w:line="360" w:lineRule="auto"/>
              <w:ind w:left="21" w:leftChars="10" w:right="21" w:rightChars="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（没有深化设计的按零分计）</w:t>
            </w:r>
          </w:p>
        </w:tc>
      </w:tr>
      <w:tr w14:paraId="4493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90" w:type="dxa"/>
            <w:vMerge w:val="restart"/>
            <w:noWrap/>
            <w:vAlign w:val="center"/>
          </w:tcPr>
          <w:p w14:paraId="7EDE78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990" w:type="dxa"/>
            <w:vMerge w:val="restart"/>
            <w:noWrap/>
            <w:vAlign w:val="center"/>
          </w:tcPr>
          <w:p w14:paraId="45F5B2CB">
            <w:pPr>
              <w:widowControl/>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商务部分（20分）</w:t>
            </w:r>
          </w:p>
          <w:p w14:paraId="2BD0E58F">
            <w:pPr>
              <w:widowControl/>
              <w:jc w:val="center"/>
              <w:rPr>
                <w:rFonts w:hint="eastAsia" w:ascii="宋体" w:hAnsi="宋体" w:eastAsia="宋体" w:cs="宋体"/>
                <w:b/>
                <w:color w:val="auto"/>
                <w:sz w:val="21"/>
                <w:szCs w:val="21"/>
                <w:highlight w:val="none"/>
              </w:rPr>
            </w:pPr>
          </w:p>
        </w:tc>
        <w:tc>
          <w:tcPr>
            <w:tcW w:w="1672" w:type="dxa"/>
            <w:shd w:val="clear" w:color="auto" w:fill="auto"/>
            <w:noWrap/>
            <w:vAlign w:val="center"/>
          </w:tcPr>
          <w:p w14:paraId="3FFB8B20">
            <w:pPr>
              <w:spacing w:line="360" w:lineRule="auto"/>
              <w:ind w:left="21" w:leftChars="10" w:right="21" w:rightChars="1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供应商合同业绩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w:t>
            </w:r>
          </w:p>
        </w:tc>
        <w:tc>
          <w:tcPr>
            <w:tcW w:w="7229" w:type="dxa"/>
            <w:gridSpan w:val="2"/>
            <w:shd w:val="clear" w:color="auto" w:fill="auto"/>
            <w:noWrap/>
            <w:vAlign w:val="center"/>
          </w:tcPr>
          <w:p w14:paraId="003DAC56">
            <w:pPr>
              <w:spacing w:line="360" w:lineRule="auto"/>
              <w:ind w:left="21" w:leftChars="10" w:right="21" w:rightChars="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 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年 1 月 1 日（合同签订日期）以来的同类合同案例，每提供一份完整业绩得 2 分(完整业绩：中标（成交）通知书+中标公告截图+合同+验收报告)，提供资料不完整的不得分；最多得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187E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Merge w:val="continue"/>
            <w:noWrap/>
            <w:vAlign w:val="center"/>
          </w:tcPr>
          <w:p w14:paraId="2B72E8B9">
            <w:pPr>
              <w:widowControl/>
              <w:jc w:val="center"/>
              <w:rPr>
                <w:rFonts w:hint="eastAsia" w:ascii="宋体" w:hAnsi="宋体" w:eastAsia="宋体" w:cs="宋体"/>
                <w:color w:val="auto"/>
                <w:kern w:val="0"/>
                <w:sz w:val="21"/>
                <w:szCs w:val="21"/>
                <w:highlight w:val="none"/>
              </w:rPr>
            </w:pPr>
          </w:p>
        </w:tc>
        <w:tc>
          <w:tcPr>
            <w:tcW w:w="990" w:type="dxa"/>
            <w:vMerge w:val="continue"/>
            <w:noWrap/>
            <w:vAlign w:val="center"/>
          </w:tcPr>
          <w:p w14:paraId="729B7AFD">
            <w:pPr>
              <w:widowControl/>
              <w:jc w:val="center"/>
              <w:rPr>
                <w:rFonts w:hint="eastAsia" w:ascii="宋体" w:hAnsi="宋体" w:eastAsia="宋体" w:cs="宋体"/>
                <w:b/>
                <w:color w:val="auto"/>
                <w:sz w:val="21"/>
                <w:szCs w:val="21"/>
                <w:highlight w:val="none"/>
              </w:rPr>
            </w:pPr>
          </w:p>
        </w:tc>
        <w:tc>
          <w:tcPr>
            <w:tcW w:w="1672" w:type="dxa"/>
            <w:shd w:val="clear" w:color="auto" w:fill="auto"/>
            <w:noWrap/>
            <w:vAlign w:val="center"/>
          </w:tcPr>
          <w:p w14:paraId="16CEE19C">
            <w:pPr>
              <w:spacing w:line="360" w:lineRule="auto"/>
              <w:ind w:left="21" w:leftChars="10" w:right="21" w:rightChars="1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w:t>
            </w:r>
          </w:p>
        </w:tc>
        <w:tc>
          <w:tcPr>
            <w:tcW w:w="7229" w:type="dxa"/>
            <w:gridSpan w:val="2"/>
            <w:shd w:val="clear" w:color="auto" w:fill="auto"/>
            <w:noWrap/>
            <w:vAlign w:val="center"/>
          </w:tcPr>
          <w:p w14:paraId="10F9AA1A">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详细说明售后服务的内容、形式、含维修人员组成、免费维修时间、解决质量或操作问题的响应时间、解决问题时间、维修单位名称、地点。</w:t>
            </w:r>
          </w:p>
          <w:p w14:paraId="4F82BB9D">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（1）售后服务方案有针对性，服务内容详尽，形式、人员、维修时间、响应时间等服务保障措施适用本项目特性，切实可行的，得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37D1EB6">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（2）售后服务方案有针对性，服务内容完整，服务内容详尽，形式、人员、维修时间、响应时间等服务保障措施一般，得4分；</w:t>
            </w:r>
          </w:p>
          <w:p w14:paraId="5F61FAC2">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（3）售后服务方案有针对性，服务内容较差、服务保障工作较差，整体方案较差，得2分；</w:t>
            </w:r>
          </w:p>
          <w:p w14:paraId="6C0F7175">
            <w:pPr>
              <w:spacing w:line="360" w:lineRule="auto"/>
              <w:ind w:left="21" w:leftChars="10" w:right="21" w:rightChars="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（4）缺项或者服务内容缺失、不全，服务保障工作缺失不全，不适用本项目，得0分。</w:t>
            </w:r>
          </w:p>
        </w:tc>
      </w:tr>
      <w:tr w14:paraId="34E5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Merge w:val="continue"/>
            <w:noWrap/>
            <w:vAlign w:val="center"/>
          </w:tcPr>
          <w:p w14:paraId="3C014E31">
            <w:pPr>
              <w:widowControl/>
              <w:jc w:val="center"/>
              <w:rPr>
                <w:rFonts w:hint="eastAsia" w:ascii="宋体" w:hAnsi="宋体" w:eastAsia="宋体" w:cs="宋体"/>
                <w:color w:val="auto"/>
                <w:kern w:val="0"/>
                <w:sz w:val="21"/>
                <w:szCs w:val="21"/>
                <w:highlight w:val="none"/>
              </w:rPr>
            </w:pPr>
          </w:p>
        </w:tc>
        <w:tc>
          <w:tcPr>
            <w:tcW w:w="990" w:type="dxa"/>
            <w:vMerge w:val="continue"/>
            <w:noWrap/>
            <w:vAlign w:val="center"/>
          </w:tcPr>
          <w:p w14:paraId="51E0AD9B">
            <w:pPr>
              <w:widowControl/>
              <w:jc w:val="center"/>
              <w:rPr>
                <w:rFonts w:hint="eastAsia" w:ascii="宋体" w:hAnsi="宋体" w:eastAsia="宋体" w:cs="宋体"/>
                <w:b/>
                <w:color w:val="auto"/>
                <w:sz w:val="21"/>
                <w:szCs w:val="21"/>
                <w:highlight w:val="none"/>
              </w:rPr>
            </w:pPr>
          </w:p>
        </w:tc>
        <w:tc>
          <w:tcPr>
            <w:tcW w:w="1672" w:type="dxa"/>
            <w:shd w:val="clear" w:color="auto" w:fill="auto"/>
            <w:noWrap/>
            <w:vAlign w:val="center"/>
          </w:tcPr>
          <w:p w14:paraId="28D31C5D">
            <w:pPr>
              <w:spacing w:line="360" w:lineRule="auto"/>
              <w:ind w:left="21" w:leftChars="10" w:right="21" w:rightChars="1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w:t>
            </w:r>
          </w:p>
        </w:tc>
        <w:tc>
          <w:tcPr>
            <w:tcW w:w="7229" w:type="dxa"/>
            <w:gridSpan w:val="2"/>
            <w:shd w:val="clear" w:color="auto" w:fill="auto"/>
            <w:noWrap/>
            <w:vAlign w:val="center"/>
          </w:tcPr>
          <w:p w14:paraId="65AE9986">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根据项目管理、项目实施计划、项目进度和质量保证措施的合理性、高效性等情况进行综合评价 </w:t>
            </w:r>
          </w:p>
          <w:p w14:paraId="28B9D30B">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（1）供应商提供的项目实施方案内容完整详尽、方案的科学性、合理性较强的得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E28D0A5">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（2）供应商提供的项目实施方案内容较为完整详细、方案有一定的科学性、合理性的得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42E8BA5">
            <w:pPr>
              <w:spacing w:line="360"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（3）有项目实施方案，但方案的科学性、合理性一般的得2分；</w:t>
            </w:r>
          </w:p>
          <w:p w14:paraId="7999C57D">
            <w:pPr>
              <w:spacing w:line="360" w:lineRule="auto"/>
              <w:ind w:left="21" w:leftChars="10" w:right="21" w:rightChars="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（4）未提供实施方案或方案较差的得0分</w:t>
            </w:r>
          </w:p>
        </w:tc>
      </w:tr>
      <w:tr w14:paraId="28E1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0881" w:type="dxa"/>
            <w:gridSpan w:val="5"/>
            <w:noWrap/>
            <w:vAlign w:val="center"/>
          </w:tcPr>
          <w:p w14:paraId="6BD15F77">
            <w:pPr>
              <w:pStyle w:val="147"/>
              <w:spacing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1、n 为各评分项的评分值，各分项内容如缺项，相应项目得分为 0 分；</w:t>
            </w:r>
          </w:p>
          <w:p w14:paraId="0DA708C2">
            <w:pPr>
              <w:pStyle w:val="147"/>
              <w:spacing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2、评委进行独立打分，每位评委打分＝∑各项评分标准得分；</w:t>
            </w:r>
          </w:p>
          <w:p w14:paraId="4285571A">
            <w:pPr>
              <w:pStyle w:val="147"/>
              <w:spacing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3、计算供应商平均得分时，该供应商平均得分＝评委打分分数之和÷评委个数；</w:t>
            </w:r>
          </w:p>
          <w:p w14:paraId="29A1A6AC">
            <w:pPr>
              <w:pStyle w:val="147"/>
              <w:spacing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4、所有分值计算保留小数点后二位，小数点后三位四舍五入。</w:t>
            </w:r>
          </w:p>
        </w:tc>
      </w:tr>
    </w:tbl>
    <w:p w14:paraId="218D7666">
      <w:pPr>
        <w:rPr>
          <w:rFonts w:hint="eastAsia" w:ascii="宋体" w:hAnsi="宋体" w:eastAsia="宋体" w:cs="宋体"/>
          <w:color w:val="auto"/>
          <w:sz w:val="21"/>
          <w:szCs w:val="21"/>
          <w:highlight w:val="none"/>
        </w:rPr>
      </w:pPr>
      <w:bookmarkStart w:id="872" w:name="_Toc13027"/>
    </w:p>
    <w:p w14:paraId="32B38B4D">
      <w:pPr>
        <w:rPr>
          <w:color w:val="auto"/>
          <w:sz w:val="24"/>
          <w:szCs w:val="24"/>
          <w:highlight w:val="none"/>
        </w:rPr>
      </w:pPr>
      <w:r>
        <w:rPr>
          <w:rFonts w:hint="eastAsia" w:ascii="宋体" w:hAnsi="宋体" w:eastAsia="宋体" w:cs="宋体"/>
          <w:color w:val="auto"/>
          <w:sz w:val="21"/>
          <w:szCs w:val="21"/>
          <w:highlight w:val="none"/>
        </w:rPr>
        <w:br w:type="page"/>
      </w:r>
      <w:bookmarkStart w:id="873" w:name="_Toc26587"/>
      <w:bookmarkStart w:id="874" w:name="_Toc65662062"/>
      <w:bookmarkStart w:id="875" w:name="_Toc28378"/>
      <w:bookmarkStart w:id="876" w:name="_Toc76134502"/>
      <w:bookmarkStart w:id="877" w:name="_Toc26817"/>
      <w:bookmarkStart w:id="878" w:name="_Toc24239"/>
      <w:r>
        <w:rPr>
          <w:rFonts w:hint="eastAsia"/>
          <w:color w:val="auto"/>
          <w:sz w:val="24"/>
          <w:szCs w:val="24"/>
          <w:highlight w:val="none"/>
        </w:rPr>
        <w:t>评审办法</w:t>
      </w:r>
      <w:bookmarkEnd w:id="872"/>
      <w:bookmarkEnd w:id="873"/>
      <w:bookmarkEnd w:id="874"/>
      <w:bookmarkEnd w:id="875"/>
      <w:bookmarkEnd w:id="876"/>
      <w:bookmarkEnd w:id="877"/>
      <w:bookmarkEnd w:id="878"/>
    </w:p>
    <w:p w14:paraId="34AE956F">
      <w:pPr>
        <w:wordWrap/>
        <w:topLinePunct w:val="0"/>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本次竞争性磋商采用综合评分法评审，磋商小组对满</w:t>
      </w:r>
      <w:r>
        <w:rPr>
          <w:rFonts w:hint="eastAsia"/>
          <w:color w:val="auto"/>
          <w:spacing w:val="-2"/>
          <w:kern w:val="0"/>
          <w:highlight w:val="none"/>
        </w:rPr>
        <w:t>足</w:t>
      </w:r>
      <w:r>
        <w:rPr>
          <w:rFonts w:hint="eastAsia"/>
          <w:color w:val="auto"/>
          <w:kern w:val="0"/>
          <w:highlight w:val="none"/>
        </w:rPr>
        <w:t>竞争性磋商文件实质性要求且最终确定采购需求和在规定时间提交最后报价的</w:t>
      </w:r>
      <w:r>
        <w:rPr>
          <w:rFonts w:hint="eastAsia"/>
          <w:color w:val="auto"/>
          <w:spacing w:val="-2"/>
          <w:kern w:val="0"/>
          <w:highlight w:val="none"/>
        </w:rPr>
        <w:t>响应文</w:t>
      </w:r>
      <w:r>
        <w:rPr>
          <w:rFonts w:hint="eastAsia"/>
          <w:color w:val="auto"/>
          <w:kern w:val="0"/>
          <w:highlight w:val="none"/>
        </w:rPr>
        <w:t>件，且按照评审因素的量化指标评审得分最高的供应商为成交候选人的评审方法。</w:t>
      </w:r>
    </w:p>
    <w:p w14:paraId="5B3C204A">
      <w:pPr>
        <w:pStyle w:val="4"/>
        <w:numPr>
          <w:ilvl w:val="0"/>
          <w:numId w:val="14"/>
        </w:numPr>
        <w:rPr>
          <w:rFonts w:cs="宋体"/>
          <w:bCs w:val="0"/>
          <w:color w:val="auto"/>
          <w:sz w:val="24"/>
          <w:szCs w:val="24"/>
          <w:highlight w:val="none"/>
        </w:rPr>
      </w:pPr>
      <w:bookmarkStart w:id="879" w:name="_Toc16633"/>
      <w:bookmarkStart w:id="880" w:name="_Toc17219"/>
      <w:bookmarkStart w:id="881" w:name="_Toc30234"/>
      <w:bookmarkStart w:id="882" w:name="_Toc4003"/>
      <w:bookmarkStart w:id="883" w:name="_Toc26533"/>
      <w:bookmarkStart w:id="884" w:name="_Toc3406"/>
      <w:bookmarkStart w:id="885" w:name="_Toc27802"/>
      <w:bookmarkStart w:id="886" w:name="_Toc6135"/>
      <w:bookmarkStart w:id="887" w:name="_Toc9376"/>
      <w:bookmarkStart w:id="888" w:name="_Toc30895"/>
      <w:bookmarkStart w:id="889" w:name="_Toc13454"/>
      <w:bookmarkStart w:id="890" w:name="_Toc417"/>
      <w:bookmarkStart w:id="891" w:name="_Toc1973"/>
      <w:bookmarkStart w:id="892" w:name="_Toc65662063"/>
      <w:bookmarkStart w:id="893" w:name="_Toc76134503"/>
      <w:bookmarkStart w:id="894" w:name="_Toc5920"/>
      <w:r>
        <w:rPr>
          <w:rFonts w:hint="eastAsia" w:cs="宋体"/>
          <w:bCs w:val="0"/>
          <w:color w:val="auto"/>
          <w:sz w:val="24"/>
          <w:szCs w:val="24"/>
          <w:highlight w:val="none"/>
        </w:rPr>
        <w:t>评审标准</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3D34AC32">
      <w:pPr>
        <w:pStyle w:val="4"/>
        <w:numPr>
          <w:ilvl w:val="1"/>
          <w:numId w:val="14"/>
        </w:numPr>
        <w:rPr>
          <w:color w:val="auto"/>
          <w:highlight w:val="none"/>
        </w:rPr>
      </w:pPr>
      <w:bookmarkStart w:id="895" w:name="_Toc25181"/>
      <w:bookmarkStart w:id="896" w:name="_Toc30525"/>
      <w:bookmarkStart w:id="897" w:name="_Toc17241"/>
      <w:bookmarkStart w:id="898" w:name="_Toc65662064"/>
      <w:bookmarkStart w:id="899" w:name="_Toc7017"/>
      <w:bookmarkStart w:id="900" w:name="_Toc76134504"/>
      <w:bookmarkStart w:id="901" w:name="_Toc11754"/>
      <w:bookmarkStart w:id="902" w:name="_Toc16652"/>
      <w:bookmarkStart w:id="903" w:name="_Toc29139"/>
      <w:bookmarkStart w:id="904" w:name="_Toc17735"/>
      <w:bookmarkStart w:id="905" w:name="_Toc7259"/>
      <w:bookmarkStart w:id="906" w:name="_Toc10856"/>
      <w:bookmarkStart w:id="907" w:name="_Toc6724"/>
      <w:bookmarkStart w:id="908" w:name="_Toc31651"/>
      <w:bookmarkStart w:id="909" w:name="_Toc5467"/>
      <w:bookmarkStart w:id="910" w:name="_Toc27094"/>
      <w:bookmarkStart w:id="911" w:name="_Toc28336"/>
      <w:r>
        <w:rPr>
          <w:rFonts w:hint="eastAsia" w:cs="宋体"/>
          <w:color w:val="auto"/>
          <w:highlight w:val="none"/>
        </w:rPr>
        <w:t>初步评审标准</w:t>
      </w:r>
      <w:bookmarkEnd w:id="895"/>
      <w:bookmarkEnd w:id="896"/>
      <w:bookmarkEnd w:id="897"/>
      <w:bookmarkEnd w:id="898"/>
      <w:bookmarkEnd w:id="899"/>
      <w:bookmarkEnd w:id="900"/>
      <w:bookmarkEnd w:id="901"/>
      <w:bookmarkEnd w:id="902"/>
    </w:p>
    <w:p w14:paraId="679048F3">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形</w:t>
      </w:r>
      <w:r>
        <w:rPr>
          <w:rFonts w:hint="eastAsia"/>
          <w:color w:val="auto"/>
          <w:spacing w:val="-2"/>
          <w:kern w:val="0"/>
          <w:highlight w:val="none"/>
        </w:rPr>
        <w:t>式</w:t>
      </w:r>
      <w:r>
        <w:rPr>
          <w:rFonts w:hint="eastAsia"/>
          <w:color w:val="auto"/>
          <w:kern w:val="0"/>
          <w:highlight w:val="none"/>
        </w:rPr>
        <w:t>评</w:t>
      </w:r>
      <w:r>
        <w:rPr>
          <w:rFonts w:hint="eastAsia"/>
          <w:color w:val="auto"/>
          <w:spacing w:val="-2"/>
          <w:kern w:val="0"/>
          <w:highlight w:val="none"/>
        </w:rPr>
        <w:t>审</w:t>
      </w:r>
      <w:r>
        <w:rPr>
          <w:rFonts w:hint="eastAsia"/>
          <w:color w:val="auto"/>
          <w:kern w:val="0"/>
          <w:highlight w:val="none"/>
        </w:rPr>
        <w:t>标</w:t>
      </w:r>
      <w:r>
        <w:rPr>
          <w:rFonts w:hint="eastAsia"/>
          <w:color w:val="auto"/>
          <w:spacing w:val="-2"/>
          <w:kern w:val="0"/>
          <w:highlight w:val="none"/>
        </w:rPr>
        <w:t>准</w:t>
      </w:r>
      <w:r>
        <w:rPr>
          <w:rFonts w:hint="eastAsia"/>
          <w:color w:val="auto"/>
          <w:kern w:val="0"/>
          <w:highlight w:val="none"/>
        </w:rPr>
        <w:t>：</w:t>
      </w:r>
      <w:r>
        <w:rPr>
          <w:rFonts w:hint="eastAsia"/>
          <w:color w:val="auto"/>
          <w:spacing w:val="-2"/>
          <w:kern w:val="0"/>
          <w:highlight w:val="none"/>
        </w:rPr>
        <w:t>见评审办法</w:t>
      </w:r>
      <w:r>
        <w:rPr>
          <w:rFonts w:hint="eastAsia"/>
          <w:color w:val="auto"/>
          <w:kern w:val="0"/>
          <w:highlight w:val="none"/>
        </w:rPr>
        <w:t>前</w:t>
      </w:r>
      <w:r>
        <w:rPr>
          <w:rFonts w:hint="eastAsia"/>
          <w:color w:val="auto"/>
          <w:spacing w:val="-2"/>
          <w:kern w:val="0"/>
          <w:highlight w:val="none"/>
        </w:rPr>
        <w:t>附</w:t>
      </w:r>
      <w:r>
        <w:rPr>
          <w:rFonts w:hint="eastAsia"/>
          <w:color w:val="auto"/>
          <w:kern w:val="0"/>
          <w:highlight w:val="none"/>
        </w:rPr>
        <w:t>表。</w:t>
      </w:r>
    </w:p>
    <w:p w14:paraId="2257A67F">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资</w:t>
      </w:r>
      <w:r>
        <w:rPr>
          <w:rFonts w:hint="eastAsia"/>
          <w:color w:val="auto"/>
          <w:spacing w:val="-2"/>
          <w:kern w:val="0"/>
          <w:highlight w:val="none"/>
        </w:rPr>
        <w:t>格</w:t>
      </w:r>
      <w:r>
        <w:rPr>
          <w:rFonts w:hint="eastAsia"/>
          <w:color w:val="auto"/>
          <w:kern w:val="0"/>
          <w:highlight w:val="none"/>
        </w:rPr>
        <w:t>评</w:t>
      </w:r>
      <w:r>
        <w:rPr>
          <w:rFonts w:hint="eastAsia"/>
          <w:color w:val="auto"/>
          <w:spacing w:val="-2"/>
          <w:kern w:val="0"/>
          <w:highlight w:val="none"/>
        </w:rPr>
        <w:t>审</w:t>
      </w:r>
      <w:r>
        <w:rPr>
          <w:rFonts w:hint="eastAsia"/>
          <w:color w:val="auto"/>
          <w:kern w:val="0"/>
          <w:highlight w:val="none"/>
        </w:rPr>
        <w:t>标</w:t>
      </w:r>
      <w:r>
        <w:rPr>
          <w:rFonts w:hint="eastAsia"/>
          <w:color w:val="auto"/>
          <w:spacing w:val="-2"/>
          <w:kern w:val="0"/>
          <w:highlight w:val="none"/>
        </w:rPr>
        <w:t>准</w:t>
      </w:r>
      <w:r>
        <w:rPr>
          <w:rFonts w:hint="eastAsia"/>
          <w:color w:val="auto"/>
          <w:kern w:val="0"/>
          <w:highlight w:val="none"/>
        </w:rPr>
        <w:t>：</w:t>
      </w:r>
      <w:r>
        <w:rPr>
          <w:rFonts w:hint="eastAsia"/>
          <w:color w:val="auto"/>
          <w:spacing w:val="-2"/>
          <w:kern w:val="0"/>
          <w:highlight w:val="none"/>
        </w:rPr>
        <w:t>见评审办法</w:t>
      </w:r>
      <w:r>
        <w:rPr>
          <w:rFonts w:hint="eastAsia"/>
          <w:color w:val="auto"/>
          <w:kern w:val="0"/>
          <w:highlight w:val="none"/>
        </w:rPr>
        <w:t>前</w:t>
      </w:r>
      <w:r>
        <w:rPr>
          <w:rFonts w:hint="eastAsia"/>
          <w:color w:val="auto"/>
          <w:spacing w:val="-2"/>
          <w:kern w:val="0"/>
          <w:highlight w:val="none"/>
        </w:rPr>
        <w:t>附</w:t>
      </w:r>
      <w:r>
        <w:rPr>
          <w:rFonts w:hint="eastAsia"/>
          <w:color w:val="auto"/>
          <w:kern w:val="0"/>
          <w:highlight w:val="none"/>
        </w:rPr>
        <w:t>表。</w:t>
      </w:r>
    </w:p>
    <w:p w14:paraId="02D8285B">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响</w:t>
      </w:r>
      <w:r>
        <w:rPr>
          <w:rFonts w:hint="eastAsia"/>
          <w:color w:val="auto"/>
          <w:spacing w:val="-2"/>
          <w:kern w:val="0"/>
          <w:highlight w:val="none"/>
        </w:rPr>
        <w:t>应</w:t>
      </w:r>
      <w:r>
        <w:rPr>
          <w:rFonts w:hint="eastAsia"/>
          <w:color w:val="auto"/>
          <w:kern w:val="0"/>
          <w:highlight w:val="none"/>
        </w:rPr>
        <w:t>性</w:t>
      </w:r>
      <w:r>
        <w:rPr>
          <w:rFonts w:hint="eastAsia"/>
          <w:color w:val="auto"/>
          <w:spacing w:val="-2"/>
          <w:kern w:val="0"/>
          <w:highlight w:val="none"/>
        </w:rPr>
        <w:t>评</w:t>
      </w:r>
      <w:r>
        <w:rPr>
          <w:rFonts w:hint="eastAsia"/>
          <w:color w:val="auto"/>
          <w:kern w:val="0"/>
          <w:highlight w:val="none"/>
        </w:rPr>
        <w:t>审</w:t>
      </w:r>
      <w:r>
        <w:rPr>
          <w:rFonts w:hint="eastAsia"/>
          <w:color w:val="auto"/>
          <w:spacing w:val="-2"/>
          <w:kern w:val="0"/>
          <w:highlight w:val="none"/>
        </w:rPr>
        <w:t>标</w:t>
      </w:r>
      <w:r>
        <w:rPr>
          <w:rFonts w:hint="eastAsia"/>
          <w:color w:val="auto"/>
          <w:kern w:val="0"/>
          <w:highlight w:val="none"/>
        </w:rPr>
        <w:t>准</w:t>
      </w:r>
      <w:r>
        <w:rPr>
          <w:rFonts w:hint="eastAsia"/>
          <w:color w:val="auto"/>
          <w:spacing w:val="-2"/>
          <w:kern w:val="0"/>
          <w:highlight w:val="none"/>
        </w:rPr>
        <w:t>：见</w:t>
      </w:r>
      <w:r>
        <w:rPr>
          <w:rFonts w:hint="eastAsia"/>
          <w:color w:val="auto"/>
          <w:kern w:val="0"/>
          <w:highlight w:val="none"/>
        </w:rPr>
        <w:t>评审办法</w:t>
      </w:r>
      <w:r>
        <w:rPr>
          <w:rFonts w:hint="eastAsia"/>
          <w:color w:val="auto"/>
          <w:spacing w:val="-2"/>
          <w:kern w:val="0"/>
          <w:highlight w:val="none"/>
        </w:rPr>
        <w:t>前</w:t>
      </w:r>
      <w:r>
        <w:rPr>
          <w:rFonts w:hint="eastAsia"/>
          <w:color w:val="auto"/>
          <w:kern w:val="0"/>
          <w:highlight w:val="none"/>
        </w:rPr>
        <w:t>附</w:t>
      </w:r>
      <w:r>
        <w:rPr>
          <w:rFonts w:hint="eastAsia"/>
          <w:color w:val="auto"/>
          <w:spacing w:val="-2"/>
          <w:kern w:val="0"/>
          <w:highlight w:val="none"/>
        </w:rPr>
        <w:t>表</w:t>
      </w:r>
      <w:r>
        <w:rPr>
          <w:rFonts w:hint="eastAsia"/>
          <w:color w:val="auto"/>
          <w:kern w:val="0"/>
          <w:highlight w:val="none"/>
        </w:rPr>
        <w:t>。</w:t>
      </w:r>
    </w:p>
    <w:p w14:paraId="36F565D3">
      <w:pPr>
        <w:pStyle w:val="4"/>
        <w:numPr>
          <w:ilvl w:val="1"/>
          <w:numId w:val="14"/>
        </w:numPr>
        <w:rPr>
          <w:rFonts w:cs="宋体"/>
          <w:color w:val="auto"/>
          <w:highlight w:val="none"/>
        </w:rPr>
      </w:pPr>
      <w:bookmarkStart w:id="912" w:name="_Toc6370"/>
      <w:bookmarkStart w:id="913" w:name="_Toc76134505"/>
      <w:bookmarkStart w:id="914" w:name="_Toc65662065"/>
      <w:bookmarkStart w:id="915" w:name="_Toc3639"/>
      <w:bookmarkStart w:id="916" w:name="_Toc4059"/>
      <w:bookmarkStart w:id="917" w:name="_Toc96"/>
      <w:bookmarkStart w:id="918" w:name="_Toc8909"/>
      <w:bookmarkStart w:id="919" w:name="_Toc10247"/>
      <w:r>
        <w:rPr>
          <w:rFonts w:hint="eastAsia" w:cs="宋体"/>
          <w:color w:val="auto"/>
          <w:highlight w:val="none"/>
        </w:rPr>
        <w:t>分值构成与评分标准</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5F570305">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分值构成</w:t>
      </w:r>
    </w:p>
    <w:p w14:paraId="1E394FAA">
      <w:pPr>
        <w:numPr>
          <w:ilvl w:val="0"/>
          <w:numId w:val="15"/>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报价得分：见评审办法前附表；</w:t>
      </w:r>
    </w:p>
    <w:p w14:paraId="07740EE9">
      <w:pPr>
        <w:numPr>
          <w:ilvl w:val="0"/>
          <w:numId w:val="15"/>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技术部分：见评审办法前附表；</w:t>
      </w:r>
    </w:p>
    <w:p w14:paraId="74D03049">
      <w:pPr>
        <w:numPr>
          <w:ilvl w:val="0"/>
          <w:numId w:val="15"/>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商务部分：见评审办法前附表；</w:t>
      </w:r>
    </w:p>
    <w:p w14:paraId="5D28301E">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评分标准</w:t>
      </w:r>
    </w:p>
    <w:p w14:paraId="01F1B3B9">
      <w:pPr>
        <w:numPr>
          <w:ilvl w:val="0"/>
          <w:numId w:val="16"/>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报价得分标准：见评审办法前附表；</w:t>
      </w:r>
    </w:p>
    <w:p w14:paraId="681E311E">
      <w:pPr>
        <w:numPr>
          <w:ilvl w:val="0"/>
          <w:numId w:val="16"/>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技术部分标准：见评审办法前附表；</w:t>
      </w:r>
    </w:p>
    <w:p w14:paraId="36167B98">
      <w:pPr>
        <w:numPr>
          <w:ilvl w:val="0"/>
          <w:numId w:val="16"/>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商务部分标准：见评审办法前附表；</w:t>
      </w:r>
    </w:p>
    <w:p w14:paraId="3C434F65">
      <w:pPr>
        <w:pStyle w:val="4"/>
        <w:numPr>
          <w:ilvl w:val="0"/>
          <w:numId w:val="14"/>
        </w:numPr>
        <w:rPr>
          <w:color w:val="auto"/>
          <w:highlight w:val="none"/>
        </w:rPr>
      </w:pPr>
      <w:bookmarkStart w:id="920" w:name="_Toc28724"/>
      <w:bookmarkStart w:id="921" w:name="_Toc14252"/>
      <w:bookmarkStart w:id="922" w:name="_Toc26726"/>
      <w:bookmarkStart w:id="923" w:name="_Toc13964"/>
      <w:bookmarkStart w:id="924" w:name="_Toc5149"/>
      <w:bookmarkStart w:id="925" w:name="_Toc5605"/>
      <w:bookmarkStart w:id="926" w:name="_Toc65662066"/>
      <w:bookmarkStart w:id="927" w:name="_Toc4338"/>
      <w:bookmarkStart w:id="928" w:name="_Toc2057"/>
      <w:bookmarkStart w:id="929" w:name="_Toc76134506"/>
      <w:bookmarkStart w:id="930" w:name="_Toc1740"/>
      <w:bookmarkStart w:id="931" w:name="_Toc29125"/>
      <w:bookmarkStart w:id="932" w:name="_Toc4064"/>
      <w:bookmarkStart w:id="933" w:name="_Toc22175"/>
      <w:bookmarkStart w:id="934" w:name="_Toc16356"/>
      <w:bookmarkStart w:id="935" w:name="_Toc21732"/>
      <w:r>
        <w:rPr>
          <w:rFonts w:hint="eastAsia" w:cs="宋体"/>
          <w:color w:val="auto"/>
          <w:sz w:val="24"/>
          <w:szCs w:val="24"/>
          <w:highlight w:val="none"/>
        </w:rPr>
        <w:t>评审程序</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448066F7">
      <w:pPr>
        <w:pStyle w:val="4"/>
        <w:numPr>
          <w:ilvl w:val="1"/>
          <w:numId w:val="14"/>
        </w:numPr>
        <w:rPr>
          <w:rFonts w:cs="宋体"/>
          <w:color w:val="auto"/>
          <w:highlight w:val="none"/>
        </w:rPr>
      </w:pPr>
      <w:bookmarkStart w:id="936" w:name="_Toc6676"/>
      <w:bookmarkStart w:id="937" w:name="_Toc17957"/>
      <w:bookmarkStart w:id="938" w:name="_Toc3824"/>
      <w:bookmarkStart w:id="939" w:name="_Toc76134507"/>
      <w:bookmarkStart w:id="940" w:name="_Toc5708"/>
      <w:bookmarkStart w:id="941" w:name="_Toc6120"/>
      <w:bookmarkStart w:id="942" w:name="_Toc7036"/>
      <w:bookmarkStart w:id="943" w:name="_Toc1654"/>
      <w:bookmarkStart w:id="944" w:name="_Toc26056"/>
      <w:bookmarkStart w:id="945" w:name="_Toc21759"/>
      <w:bookmarkStart w:id="946" w:name="_Toc18983"/>
      <w:bookmarkStart w:id="947" w:name="_Toc10682"/>
      <w:bookmarkStart w:id="948" w:name="_Toc9443"/>
      <w:bookmarkStart w:id="949" w:name="_Toc9613"/>
      <w:bookmarkStart w:id="950" w:name="_Toc65662067"/>
      <w:bookmarkStart w:id="951" w:name="_Toc32083"/>
      <w:bookmarkStart w:id="952" w:name="_Toc32615"/>
      <w:r>
        <w:rPr>
          <w:rFonts w:hint="eastAsia" w:cs="宋体"/>
          <w:color w:val="auto"/>
          <w:highlight w:val="none"/>
        </w:rPr>
        <w:t>初步评审</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658C2044">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磋商小组依据本章评审办法前附表规定的标准，对响应人的响应文件进行初步评审，以确定其是否满足竞争性磋商文件的实质性要求，有一项不符合评审标准的，磋商小组应当认定其响应文件无效。</w:t>
      </w:r>
    </w:p>
    <w:p w14:paraId="22ECAC94">
      <w:pPr>
        <w:numPr>
          <w:ilvl w:val="2"/>
          <w:numId w:val="14"/>
        </w:numPr>
        <w:autoSpaceDE w:val="0"/>
        <w:autoSpaceDN w:val="0"/>
        <w:adjustRightInd w:val="0"/>
        <w:spacing w:line="360" w:lineRule="auto"/>
        <w:ind w:right="-23" w:firstLine="420" w:firstLineChars="200"/>
        <w:jc w:val="left"/>
        <w:rPr>
          <w:color w:val="auto"/>
          <w:kern w:val="0"/>
          <w:highlight w:val="none"/>
        </w:rPr>
      </w:pPr>
      <w:r>
        <w:rPr>
          <w:rFonts w:hint="eastAsia"/>
          <w:color w:val="auto"/>
          <w:kern w:val="0"/>
          <w:highlight w:val="none"/>
        </w:rPr>
        <w:t>磋商报价有算术错误及其他错误的，磋商小组按以下原则要求供应商对磋商报价进行修正</w:t>
      </w:r>
    </w:p>
    <w:p w14:paraId="5F5BB3B1">
      <w:pPr>
        <w:numPr>
          <w:ilvl w:val="0"/>
          <w:numId w:val="17"/>
        </w:numPr>
        <w:wordWrap/>
        <w:topLinePunct w:val="0"/>
        <w:autoSpaceDE w:val="0"/>
        <w:autoSpaceDN w:val="0"/>
        <w:adjustRightInd w:val="0"/>
        <w:spacing w:line="360" w:lineRule="auto"/>
        <w:ind w:left="0" w:right="40" w:firstLine="420" w:firstLineChars="200"/>
        <w:jc w:val="left"/>
        <w:rPr>
          <w:color w:val="auto"/>
          <w:highlight w:val="none"/>
        </w:rPr>
      </w:pPr>
      <w:r>
        <w:rPr>
          <w:rFonts w:hint="eastAsia"/>
          <w:color w:val="auto"/>
          <w:highlight w:val="none"/>
        </w:rPr>
        <w:t>大写金额和小写金额不一致的，以大写金额为准，但大写金额文字存在错误的，应当先对大写金额的文字错误进行澄清、说明或者更正，再行修正。</w:t>
      </w:r>
    </w:p>
    <w:p w14:paraId="4B35B1A3">
      <w:pPr>
        <w:numPr>
          <w:ilvl w:val="0"/>
          <w:numId w:val="17"/>
        </w:numPr>
        <w:wordWrap/>
        <w:topLinePunct w:val="0"/>
        <w:autoSpaceDE w:val="0"/>
        <w:autoSpaceDN w:val="0"/>
        <w:adjustRightInd w:val="0"/>
        <w:spacing w:line="360" w:lineRule="auto"/>
        <w:ind w:left="0" w:right="40" w:firstLine="420" w:firstLineChars="200"/>
        <w:jc w:val="left"/>
        <w:rPr>
          <w:color w:val="auto"/>
          <w:highlight w:val="none"/>
        </w:rPr>
      </w:pPr>
      <w:r>
        <w:rPr>
          <w:rFonts w:hint="eastAsia"/>
          <w:color w:val="auto"/>
          <w:highlight w:val="none"/>
        </w:rPr>
        <w:t>总价金额与按单价汇总金额不一致的，以单价金额计算结果为准，但单价或者单价汇总金额存在数字或者文字错误的，应当先对数字或者文字错误进行澄清、说明或者更正，再行修正。</w:t>
      </w:r>
    </w:p>
    <w:p w14:paraId="11E849CE">
      <w:pPr>
        <w:numPr>
          <w:ilvl w:val="0"/>
          <w:numId w:val="17"/>
        </w:numPr>
        <w:wordWrap/>
        <w:topLinePunct w:val="0"/>
        <w:autoSpaceDE w:val="0"/>
        <w:autoSpaceDN w:val="0"/>
        <w:adjustRightInd w:val="0"/>
        <w:spacing w:line="360" w:lineRule="auto"/>
        <w:ind w:left="0" w:right="40" w:firstLine="420" w:firstLineChars="200"/>
        <w:jc w:val="left"/>
        <w:rPr>
          <w:color w:val="auto"/>
          <w:highlight w:val="none"/>
        </w:rPr>
      </w:pPr>
      <w:r>
        <w:rPr>
          <w:rFonts w:hint="eastAsia"/>
          <w:color w:val="auto"/>
          <w:highlight w:val="none"/>
        </w:rPr>
        <w:t>单价金额小数点或者百分比有明显错位的，以总价为准，修正单价。</w:t>
      </w:r>
    </w:p>
    <w:p w14:paraId="7D015E6E">
      <w:pPr>
        <w:numPr>
          <w:ilvl w:val="0"/>
          <w:numId w:val="17"/>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highlight w:val="none"/>
        </w:rPr>
        <w:t>同时出现两种以上不一致的，按照上述规定的顺序修正。</w:t>
      </w:r>
      <w:r>
        <w:rPr>
          <w:rFonts w:hint="eastAsia"/>
          <w:color w:val="auto"/>
          <w:kern w:val="0"/>
          <w:highlight w:val="none"/>
        </w:rPr>
        <w:t>修正后的报价应当采用书面形式，并加盖公章或者由法定代表人或其授权的代表签字，供应商不确认的，其投标无效。</w:t>
      </w:r>
    </w:p>
    <w:p w14:paraId="17C10136">
      <w:pPr>
        <w:pStyle w:val="4"/>
        <w:numPr>
          <w:ilvl w:val="1"/>
          <w:numId w:val="14"/>
        </w:numPr>
        <w:rPr>
          <w:rFonts w:cs="宋体"/>
          <w:color w:val="auto"/>
          <w:highlight w:val="none"/>
        </w:rPr>
      </w:pPr>
      <w:bookmarkStart w:id="953" w:name="_Toc17122"/>
      <w:bookmarkStart w:id="954" w:name="_Toc76134508"/>
      <w:bookmarkStart w:id="955" w:name="_Toc7794"/>
      <w:bookmarkStart w:id="956" w:name="_Toc65662068"/>
      <w:bookmarkStart w:id="957" w:name="_Toc24491"/>
      <w:bookmarkStart w:id="958" w:name="_Toc30329"/>
      <w:r>
        <w:rPr>
          <w:rFonts w:hint="eastAsia" w:cs="宋体"/>
          <w:color w:val="auto"/>
          <w:highlight w:val="none"/>
        </w:rPr>
        <w:t>详细磋商</w:t>
      </w:r>
      <w:bookmarkEnd w:id="953"/>
      <w:bookmarkEnd w:id="954"/>
      <w:bookmarkEnd w:id="955"/>
      <w:bookmarkEnd w:id="956"/>
      <w:bookmarkEnd w:id="957"/>
      <w:bookmarkEnd w:id="958"/>
    </w:p>
    <w:p w14:paraId="6BC86182">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磋商小组集中与单一供应商分别进行磋商。磋商顺序为电子评标系统中的顺序，在磋商中，磋商双方可以就磋商项目所涉及的价格、技术、服务、合同草案条款等进行实质性磋商，但磋商的任何一方不得透露与磋商有关的其他供应商的商业秘密、技术资料、价格和其他信息。</w:t>
      </w:r>
    </w:p>
    <w:p w14:paraId="6A9F59B3">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在磋商过程中，磋商小组可以根据</w:t>
      </w:r>
      <w:r>
        <w:rPr>
          <w:rFonts w:hint="eastAsia"/>
          <w:color w:val="auto"/>
          <w:highlight w:val="none"/>
        </w:rPr>
        <w:t>竞争性</w:t>
      </w:r>
      <w:r>
        <w:rPr>
          <w:rFonts w:hint="eastAsia"/>
          <w:bCs/>
          <w:color w:val="auto"/>
          <w:kern w:val="0"/>
          <w:highlight w:val="none"/>
        </w:rPr>
        <w:t>磋商文件和磋商情况实质性变动采购需求中的技术、服务要求以及合同草案条款，但不得变动</w:t>
      </w:r>
      <w:r>
        <w:rPr>
          <w:rFonts w:hint="eastAsia"/>
          <w:color w:val="auto"/>
          <w:highlight w:val="none"/>
        </w:rPr>
        <w:t>竞争性</w:t>
      </w:r>
      <w:r>
        <w:rPr>
          <w:rFonts w:hint="eastAsia"/>
          <w:bCs/>
          <w:color w:val="auto"/>
          <w:kern w:val="0"/>
          <w:highlight w:val="none"/>
        </w:rPr>
        <w:t>磋商文件中的其他内容。实质性变动的内容，须经采购人代表确认。</w:t>
      </w:r>
    </w:p>
    <w:p w14:paraId="3DF3575F">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对</w:t>
      </w:r>
      <w:r>
        <w:rPr>
          <w:rFonts w:hint="eastAsia"/>
          <w:color w:val="auto"/>
          <w:highlight w:val="none"/>
        </w:rPr>
        <w:t>竞争性</w:t>
      </w:r>
      <w:r>
        <w:rPr>
          <w:rFonts w:hint="eastAsia"/>
          <w:bCs/>
          <w:color w:val="auto"/>
          <w:kern w:val="0"/>
          <w:highlight w:val="none"/>
        </w:rPr>
        <w:t>磋商文件作出的实质性变动是</w:t>
      </w:r>
      <w:r>
        <w:rPr>
          <w:rFonts w:hint="eastAsia"/>
          <w:color w:val="auto"/>
          <w:highlight w:val="none"/>
        </w:rPr>
        <w:t>竞争性</w:t>
      </w:r>
      <w:r>
        <w:rPr>
          <w:rFonts w:hint="eastAsia"/>
          <w:bCs/>
          <w:color w:val="auto"/>
          <w:kern w:val="0"/>
          <w:highlight w:val="none"/>
        </w:rPr>
        <w:t>磋商文件的有效组成部分，磋商小组应当以书面形式同时通知所有参加磋商的供应商。</w:t>
      </w:r>
    </w:p>
    <w:p w14:paraId="03F52AB0">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color w:val="auto"/>
          <w:highlight w:val="none"/>
        </w:rPr>
        <w:t>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bCs/>
          <w:color w:val="auto"/>
          <w:kern w:val="0"/>
          <w:highlight w:val="none"/>
        </w:rPr>
        <w:t>。</w:t>
      </w:r>
    </w:p>
    <w:p w14:paraId="18802353">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color w:val="auto"/>
          <w:highlight w:val="none"/>
        </w:rPr>
        <w:t>竞争性磋商文件能够详细列明采购标的的技术、服务要求的，磋商结束后，磋商小组应当要求所有实质性响应的供应商在规定时间内提交最后报价，提交最后报价的供应商不得少于2家</w:t>
      </w:r>
      <w:r>
        <w:rPr>
          <w:rFonts w:hint="eastAsia"/>
          <w:bCs/>
          <w:color w:val="auto"/>
          <w:kern w:val="0"/>
          <w:highlight w:val="none"/>
        </w:rPr>
        <w:t>。</w:t>
      </w:r>
    </w:p>
    <w:p w14:paraId="652EE354">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最后报价（二轮报价）是供应商响应文件的有效组成部分【</w:t>
      </w:r>
      <w:r>
        <w:rPr>
          <w:rFonts w:hint="eastAsia"/>
          <w:b/>
          <w:bCs/>
          <w:color w:val="auto"/>
          <w:highlight w:val="none"/>
        </w:rPr>
        <w:t>注：最后报价明显低于成本价的，供应商需做出合理说明，否则将承担不被接受的风险</w:t>
      </w:r>
      <w:r>
        <w:rPr>
          <w:rFonts w:hint="eastAsia"/>
          <w:bCs/>
          <w:color w:val="auto"/>
          <w:kern w:val="0"/>
          <w:highlight w:val="none"/>
        </w:rPr>
        <w:t>】。</w:t>
      </w:r>
    </w:p>
    <w:p w14:paraId="285A70C2">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情况特殊,经磋商小组根据磋商现场情况，可以要求供应商适当进行多轮报价。</w:t>
      </w:r>
    </w:p>
    <w:p w14:paraId="78E6BD32">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经磋商确定最终采购需求和提交最后报价的供应商后，由磋商小组采用综合评分法对提交最后报价的供应商的响应文件和最后报价进行综合评分。</w:t>
      </w:r>
    </w:p>
    <w:p w14:paraId="104E5592">
      <w:pPr>
        <w:pStyle w:val="4"/>
        <w:numPr>
          <w:ilvl w:val="1"/>
          <w:numId w:val="14"/>
        </w:numPr>
        <w:rPr>
          <w:rFonts w:cs="宋体"/>
          <w:color w:val="auto"/>
          <w:highlight w:val="none"/>
        </w:rPr>
      </w:pPr>
      <w:bookmarkStart w:id="959" w:name="_Toc76134509"/>
      <w:bookmarkStart w:id="960" w:name="_Toc29533"/>
      <w:bookmarkStart w:id="961" w:name="_Toc13336"/>
      <w:bookmarkStart w:id="962" w:name="_Toc22449"/>
      <w:bookmarkStart w:id="963" w:name="_Toc11414"/>
      <w:bookmarkStart w:id="964" w:name="_Toc18705"/>
      <w:bookmarkStart w:id="965" w:name="_Toc8285"/>
      <w:bookmarkStart w:id="966" w:name="_Toc24391"/>
      <w:bookmarkStart w:id="967" w:name="_Toc18430"/>
      <w:bookmarkStart w:id="968" w:name="_Toc10132"/>
      <w:bookmarkStart w:id="969" w:name="_Toc2549"/>
      <w:bookmarkStart w:id="970" w:name="_Toc1221"/>
      <w:bookmarkStart w:id="971" w:name="_Toc23713"/>
      <w:bookmarkStart w:id="972" w:name="_Toc30428"/>
      <w:bookmarkStart w:id="973" w:name="_Toc65662069"/>
      <w:bookmarkStart w:id="974" w:name="_Toc26213"/>
      <w:bookmarkStart w:id="975" w:name="_Toc12089"/>
      <w:r>
        <w:rPr>
          <w:rFonts w:hint="eastAsia" w:cs="宋体"/>
          <w:color w:val="auto"/>
          <w:highlight w:val="none"/>
        </w:rPr>
        <w:t>详细评审</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37CE9910">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磋商小组按本章评审方法规定的量化因素和分值进行打分，并计算出综合得分。</w:t>
      </w:r>
    </w:p>
    <w:p w14:paraId="43346A5B">
      <w:pPr>
        <w:numPr>
          <w:ilvl w:val="0"/>
          <w:numId w:val="18"/>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按本章第2.2.2（1）目规定的评审因素和分值对报价得分计算出得分A；</w:t>
      </w:r>
    </w:p>
    <w:p w14:paraId="67DFD1E4">
      <w:pPr>
        <w:numPr>
          <w:ilvl w:val="0"/>
          <w:numId w:val="18"/>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按本章第2.2.2（2）目规定的评审因素和分值对技术部分计算出得分B；</w:t>
      </w:r>
    </w:p>
    <w:p w14:paraId="765B26B5">
      <w:pPr>
        <w:numPr>
          <w:ilvl w:val="0"/>
          <w:numId w:val="18"/>
        </w:numPr>
        <w:wordWrap/>
        <w:topLinePunct w:val="0"/>
        <w:autoSpaceDE w:val="0"/>
        <w:autoSpaceDN w:val="0"/>
        <w:adjustRightInd w:val="0"/>
        <w:spacing w:line="360" w:lineRule="auto"/>
        <w:ind w:left="0" w:right="40" w:firstLine="420" w:firstLineChars="200"/>
        <w:jc w:val="left"/>
        <w:rPr>
          <w:color w:val="auto"/>
          <w:kern w:val="0"/>
          <w:highlight w:val="none"/>
        </w:rPr>
      </w:pPr>
      <w:r>
        <w:rPr>
          <w:rFonts w:hint="eastAsia"/>
          <w:color w:val="auto"/>
          <w:kern w:val="0"/>
          <w:highlight w:val="none"/>
        </w:rPr>
        <w:t>按本章第2.2.2（3）目规定的评审因素和分值对商务部分计算出得分C。</w:t>
      </w:r>
    </w:p>
    <w:p w14:paraId="1D7BFE5D">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评分分值计算保留小数点后两位，小数点后第三位“四舍五入”。</w:t>
      </w:r>
    </w:p>
    <w:p w14:paraId="183C1631">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供应商得分=A+B+C。</w:t>
      </w:r>
    </w:p>
    <w:p w14:paraId="4E85FDFF">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22969672">
      <w:pPr>
        <w:pStyle w:val="4"/>
        <w:numPr>
          <w:ilvl w:val="1"/>
          <w:numId w:val="14"/>
        </w:numPr>
        <w:rPr>
          <w:rFonts w:cs="宋体"/>
          <w:color w:val="auto"/>
          <w:highlight w:val="none"/>
        </w:rPr>
      </w:pPr>
      <w:bookmarkStart w:id="976" w:name="_Toc3619"/>
      <w:bookmarkStart w:id="977" w:name="_Toc76134510"/>
      <w:bookmarkStart w:id="978" w:name="_Toc12279"/>
      <w:bookmarkStart w:id="979" w:name="_Toc7845"/>
      <w:bookmarkStart w:id="980" w:name="_Toc30364"/>
      <w:bookmarkStart w:id="981" w:name="_Toc18083"/>
      <w:bookmarkStart w:id="982" w:name="_Toc5640"/>
      <w:bookmarkStart w:id="983" w:name="_Toc2162"/>
      <w:bookmarkStart w:id="984" w:name="_Toc30639"/>
      <w:bookmarkStart w:id="985" w:name="_Toc18987"/>
      <w:bookmarkStart w:id="986" w:name="_Toc9150"/>
      <w:bookmarkStart w:id="987" w:name="_Toc11722"/>
      <w:bookmarkStart w:id="988" w:name="_Toc18532"/>
      <w:bookmarkStart w:id="989" w:name="_Toc65662070"/>
      <w:bookmarkStart w:id="990" w:name="_Toc18381"/>
      <w:bookmarkStart w:id="991" w:name="_Toc6048"/>
      <w:r>
        <w:rPr>
          <w:rFonts w:hint="eastAsia" w:cs="宋体"/>
          <w:color w:val="auto"/>
          <w:highlight w:val="none"/>
        </w:rPr>
        <w:t>响应文件的澄清</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7C05770B">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在评审过程中，磋商小组可以书面形式要求供应商对响应文件中含义不明确、对同类问题表述不一致或者有明显文字和计算错误的内容作必要的澄清、说明或补正。澄清、说明或补正应以书面方式进行，并加盖公章，或者由法定代表人或其授权的代表签字。磋商小组不接受供应商主动提出的澄清、说明或补正。</w:t>
      </w:r>
    </w:p>
    <w:p w14:paraId="76FF86F1">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澄清、说明或补正不得超出响应文件的范围且不得改变响应文件的实质性内容，并构成响应文件的组成部分。</w:t>
      </w:r>
    </w:p>
    <w:p w14:paraId="348169F8">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磋商小组对供应商提交的澄清、说明或补正有疑问的，可以要求供应商进一步澄清、说明或补正，直至满足磋商小组的要求。</w:t>
      </w:r>
    </w:p>
    <w:p w14:paraId="5DC61DD7">
      <w:pPr>
        <w:pStyle w:val="4"/>
        <w:numPr>
          <w:ilvl w:val="1"/>
          <w:numId w:val="14"/>
        </w:numPr>
        <w:wordWrap/>
        <w:rPr>
          <w:rFonts w:cs="宋体"/>
          <w:color w:val="auto"/>
          <w:highlight w:val="none"/>
        </w:rPr>
      </w:pPr>
      <w:bookmarkStart w:id="992" w:name="_Toc7232"/>
      <w:bookmarkStart w:id="993" w:name="_Toc65662071"/>
      <w:bookmarkStart w:id="994" w:name="_Toc30249"/>
      <w:bookmarkStart w:id="995" w:name="_Toc76134511"/>
      <w:bookmarkStart w:id="996" w:name="_Toc4657"/>
      <w:bookmarkStart w:id="997" w:name="_Toc20253"/>
      <w:r>
        <w:rPr>
          <w:rFonts w:hint="eastAsia" w:cs="宋体"/>
          <w:color w:val="auto"/>
          <w:highlight w:val="none"/>
        </w:rPr>
        <w:t>评审结果</w:t>
      </w:r>
      <w:bookmarkEnd w:id="992"/>
      <w:bookmarkEnd w:id="993"/>
      <w:bookmarkEnd w:id="994"/>
      <w:bookmarkEnd w:id="995"/>
      <w:bookmarkEnd w:id="996"/>
      <w:bookmarkEnd w:id="997"/>
    </w:p>
    <w:p w14:paraId="371A9A53">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bCs/>
          <w:color w:val="auto"/>
          <w:kern w:val="0"/>
          <w:highlight w:val="none"/>
        </w:rPr>
        <w:t>除采购人授权直接确定成交人外，</w:t>
      </w:r>
      <w:bookmarkStart w:id="998" w:name="_Toc10297"/>
      <w:r>
        <w:rPr>
          <w:rFonts w:hint="eastAsia"/>
          <w:bCs/>
          <w:color w:val="auto"/>
          <w:kern w:val="0"/>
          <w:highlight w:val="none"/>
        </w:rPr>
        <w:t>按照评审得分由高到低顺序推荐3名成交候选供应商，评审得分相同的，按照最后报价由低到高的顺序推荐。评审得分相同且最后报价相同的并列。</w:t>
      </w:r>
    </w:p>
    <w:p w14:paraId="02C9B17A">
      <w:pPr>
        <w:numPr>
          <w:ilvl w:val="2"/>
          <w:numId w:val="14"/>
        </w:numPr>
        <w:wordWrap/>
        <w:topLinePunct w:val="0"/>
        <w:autoSpaceDE w:val="0"/>
        <w:autoSpaceDN w:val="0"/>
        <w:adjustRightInd w:val="0"/>
        <w:spacing w:before="40" w:line="360" w:lineRule="auto"/>
        <w:ind w:right="142" w:firstLine="420" w:firstLineChars="200"/>
        <w:jc w:val="left"/>
        <w:rPr>
          <w:bCs/>
          <w:color w:val="auto"/>
          <w:kern w:val="0"/>
          <w:highlight w:val="none"/>
        </w:rPr>
      </w:pPr>
      <w:r>
        <w:rPr>
          <w:rFonts w:hint="eastAsia"/>
          <w:color w:val="auto"/>
          <w:highlight w:val="none"/>
        </w:rPr>
        <w:t xml:space="preserve"> 磋商小组完成评审后，应当向采购人提交书面评审报告和成交候选人名单</w:t>
      </w:r>
      <w:r>
        <w:rPr>
          <w:rFonts w:hint="eastAsia"/>
          <w:bCs/>
          <w:color w:val="auto"/>
          <w:kern w:val="0"/>
          <w:highlight w:val="none"/>
        </w:rPr>
        <w:t>并编写评审报告。</w:t>
      </w:r>
    </w:p>
    <w:p w14:paraId="16A97991">
      <w:pPr>
        <w:pStyle w:val="27"/>
        <w:numPr>
          <w:ilvl w:val="0"/>
          <w:numId w:val="19"/>
        </w:numPr>
        <w:spacing w:beforeLines="100" w:afterLines="100" w:line="600" w:lineRule="exact"/>
        <w:jc w:val="center"/>
        <w:outlineLvl w:val="0"/>
        <w:rPr>
          <w:rFonts w:hint="eastAsia"/>
          <w:b/>
          <w:bCs/>
          <w:color w:val="auto"/>
          <w:sz w:val="32"/>
          <w:szCs w:val="32"/>
          <w:highlight w:val="none"/>
        </w:rPr>
      </w:pPr>
      <w:r>
        <w:rPr>
          <w:rFonts w:hint="eastAsia"/>
          <w:b/>
          <w:bCs/>
          <w:color w:val="auto"/>
          <w:sz w:val="32"/>
          <w:szCs w:val="32"/>
          <w:highlight w:val="none"/>
        </w:rPr>
        <w:br w:type="page"/>
      </w:r>
      <w:bookmarkEnd w:id="998"/>
      <w:bookmarkStart w:id="999" w:name="_Toc23166"/>
      <w:bookmarkStart w:id="1000" w:name="_Toc21637"/>
      <w:bookmarkStart w:id="1001" w:name="_Toc1338"/>
      <w:bookmarkStart w:id="1002" w:name="_Toc65662289"/>
      <w:bookmarkStart w:id="1003" w:name="_Toc65662072"/>
      <w:r>
        <w:rPr>
          <w:rFonts w:hint="eastAsia"/>
          <w:b/>
          <w:bCs/>
          <w:color w:val="auto"/>
          <w:sz w:val="32"/>
          <w:szCs w:val="32"/>
          <w:highlight w:val="none"/>
        </w:rPr>
        <w:t>合同</w:t>
      </w:r>
      <w:bookmarkEnd w:id="999"/>
      <w:bookmarkEnd w:id="1000"/>
      <w:bookmarkEnd w:id="1001"/>
      <w:bookmarkEnd w:id="1002"/>
      <w:bookmarkEnd w:id="1003"/>
      <w:bookmarkStart w:id="1004" w:name="_Toc65662290"/>
      <w:bookmarkStart w:id="1005" w:name="_Toc23967"/>
      <w:bookmarkStart w:id="1006" w:name="_Toc14435"/>
      <w:bookmarkStart w:id="1007" w:name="_Toc65662073"/>
    </w:p>
    <w:p w14:paraId="0E474963">
      <w:pPr>
        <w:pStyle w:val="27"/>
        <w:keepNext w:val="0"/>
        <w:keepLines w:val="0"/>
        <w:pageBreakBefore w:val="0"/>
        <w:widowControl w:val="0"/>
        <w:numPr>
          <w:ilvl w:val="0"/>
          <w:numId w:val="0"/>
        </w:numPr>
        <w:kinsoku/>
        <w:wordWrap w:val="0"/>
        <w:overflowPunct/>
        <w:topLinePunct/>
        <w:autoSpaceDE/>
        <w:autoSpaceDN/>
        <w:bidi w:val="0"/>
        <w:adjustRightInd/>
        <w:snapToGrid/>
        <w:spacing w:beforeLines="100" w:afterLines="100" w:line="600" w:lineRule="exact"/>
        <w:jc w:val="center"/>
        <w:textAlignment w:val="auto"/>
        <w:outlineLvl w:val="9"/>
        <w:rPr>
          <w:rFonts w:hint="default" w:eastAsia="宋体"/>
          <w:b/>
          <w:bCs/>
          <w:color w:val="auto"/>
          <w:sz w:val="32"/>
          <w:szCs w:val="32"/>
          <w:highlight w:val="none"/>
          <w:lang w:val="en-US" w:eastAsia="zh-CN"/>
        </w:rPr>
        <w:sectPr>
          <w:headerReference r:id="rId10" w:type="default"/>
          <w:footerReference r:id="rId11" w:type="default"/>
          <w:pgSz w:w="11907" w:h="16840"/>
          <w:pgMar w:top="1417" w:right="1417" w:bottom="1417" w:left="1417" w:header="777" w:footer="641" w:gutter="0"/>
          <w:cols w:space="720" w:num="1"/>
          <w:docGrid w:type="linesAndChars" w:linePitch="312" w:charSpace="0"/>
        </w:sectPr>
      </w:pPr>
      <w:r>
        <w:rPr>
          <w:rFonts w:hint="eastAsia"/>
          <w:b w:val="0"/>
          <w:bCs w:val="0"/>
          <w:color w:val="auto"/>
          <w:sz w:val="28"/>
          <w:szCs w:val="28"/>
          <w:highlight w:val="none"/>
          <w:lang w:val="en-US" w:eastAsia="zh-CN"/>
        </w:rPr>
        <w:t>（以实际签订为准）</w:t>
      </w:r>
    </w:p>
    <w:p w14:paraId="12D68DA8">
      <w:pPr>
        <w:pStyle w:val="27"/>
        <w:spacing w:beforeLines="100" w:afterLines="100" w:line="600" w:lineRule="exact"/>
        <w:jc w:val="center"/>
        <w:outlineLvl w:val="0"/>
        <w:rPr>
          <w:rStyle w:val="66"/>
          <w:rFonts w:hint="eastAsia"/>
          <w:color w:val="auto"/>
          <w:highlight w:val="none"/>
        </w:rPr>
      </w:pPr>
      <w:bookmarkStart w:id="1008" w:name="_Toc31100"/>
      <w:r>
        <w:rPr>
          <w:rStyle w:val="66"/>
          <w:rFonts w:hint="eastAsia"/>
          <w:color w:val="auto"/>
          <w:highlight w:val="none"/>
        </w:rPr>
        <w:t>第五章 采购需求</w:t>
      </w:r>
      <w:bookmarkEnd w:id="1008"/>
    </w:p>
    <w:p w14:paraId="6110BF49">
      <w:pPr>
        <w:pStyle w:val="27"/>
        <w:keepNext w:val="0"/>
        <w:keepLines w:val="0"/>
        <w:pageBreakBefore w:val="0"/>
        <w:widowControl w:val="0"/>
        <w:kinsoku/>
        <w:wordWrap w:val="0"/>
        <w:overflowPunct/>
        <w:topLinePunct/>
        <w:autoSpaceDE/>
        <w:autoSpaceDN/>
        <w:bidi w:val="0"/>
        <w:adjustRightInd/>
        <w:snapToGrid/>
        <w:spacing w:beforeLines="100" w:afterLines="100" w:line="600" w:lineRule="exact"/>
        <w:jc w:val="center"/>
        <w:textAlignment w:val="auto"/>
        <w:outlineLvl w:val="9"/>
        <w:rPr>
          <w:rStyle w:val="66"/>
          <w:rFonts w:hint="eastAsia"/>
          <w:color w:val="auto"/>
          <w:highlight w:val="none"/>
        </w:rPr>
      </w:pPr>
      <w:r>
        <w:rPr>
          <w:rFonts w:hint="eastAsia" w:ascii="宋体" w:hAnsi="宋体"/>
          <w:b/>
          <w:color w:val="auto"/>
          <w:sz w:val="28"/>
          <w:szCs w:val="28"/>
          <w:highlight w:val="none"/>
        </w:rPr>
        <w:t>项目</w:t>
      </w:r>
      <w:r>
        <w:rPr>
          <w:rFonts w:hint="eastAsia" w:ascii="宋体" w:hAnsi="宋体"/>
          <w:b/>
          <w:bCs/>
          <w:color w:val="auto"/>
          <w:sz w:val="28"/>
          <w:szCs w:val="28"/>
          <w:highlight w:val="none"/>
          <w:lang w:val="en-US" w:eastAsia="zh-CN"/>
        </w:rPr>
        <w:t>货物</w:t>
      </w:r>
      <w:r>
        <w:rPr>
          <w:rFonts w:hint="eastAsia" w:ascii="宋体" w:hAnsi="宋体"/>
          <w:b/>
          <w:bCs/>
          <w:color w:val="auto"/>
          <w:sz w:val="28"/>
          <w:szCs w:val="28"/>
          <w:highlight w:val="none"/>
        </w:rPr>
        <w:t>技术功能要求一览表</w:t>
      </w:r>
    </w:p>
    <w:tbl>
      <w:tblPr>
        <w:tblStyle w:val="47"/>
        <w:tblW w:w="13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421"/>
        <w:gridCol w:w="7410"/>
        <w:gridCol w:w="687"/>
        <w:gridCol w:w="713"/>
        <w:gridCol w:w="1300"/>
      </w:tblGrid>
      <w:tr w14:paraId="37C4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389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7D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D7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技术要求及功能描述</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598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AB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6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160F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3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80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大会议室（105㎡）多媒体设备</w:t>
            </w:r>
          </w:p>
        </w:tc>
      </w:tr>
      <w:tr w14:paraId="2EE8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31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53E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全频会议扬声器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284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1、类型：双5.5寸全频音箱;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2、频率响应：不窄于60Hz-20KHz;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3、灵敏度（1W/1M）：≥88dB;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4、指向性：60°×60°;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5、功率：≥100W/≥200W;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6、最大声压级：≥113dB;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7、额定定阻：8Ω;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8、配置：LF：不少于2×5.5"，HF：不少于1×3/4"钛质圆顶罩;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9、分频点：2.3KHz;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10、安装方式：可独立、可堆叠组合；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★11、提供CNAS出具的产品检验报告证书复印件，并加盖厂商公章；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★12、为确保扬声器的稳定性，投标时需提供带“消声室校准证书”的技术文件，加盖厂家公章。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9E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63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93BE">
            <w:pPr>
              <w:jc w:val="center"/>
              <w:rPr>
                <w:rFonts w:hint="eastAsia" w:ascii="宋体" w:hAnsi="宋体" w:eastAsia="宋体" w:cs="宋体"/>
                <w:i w:val="0"/>
                <w:iCs w:val="0"/>
                <w:color w:val="auto"/>
                <w:sz w:val="18"/>
                <w:szCs w:val="18"/>
                <w:highlight w:val="none"/>
                <w:u w:val="none"/>
              </w:rPr>
            </w:pPr>
          </w:p>
        </w:tc>
      </w:tr>
      <w:tr w14:paraId="0705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0F7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4A5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辅助吸顶扬声器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FB9D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1、类型：不小于8寸圆形镶嵌式音箱；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2、频率响应：不窄于45Hz-20kHz；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3、灵敏度（1W/1M）：≥90dB；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4、指向性：110°×90°；3.10（Q值）；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5、功率：持续≥75W，节目≥150W，峰值≥300W；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6、最大声压级：≥115dB；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7、连接特性：支持定阻或定压两种连接方式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8、定阻16Ω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9、定压60-30-15-7.5W @ 70V和60-30-15W@100V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10、配置：LF：不少于1×8"两段式、双阻抗线圈锥形驱动器，HF：不少于1×1"软球顶驱动器；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11、分频点：2.5kHz；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★12、提供CNAS出具的产品检验报告证书复印件，并加盖厂商公章；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★13、为确保扬声器的稳定性，投标时需提供带“消声室校准证书”的技术文件，加盖厂家公章。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5E3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EF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7E88D">
            <w:pPr>
              <w:jc w:val="center"/>
              <w:rPr>
                <w:rFonts w:hint="eastAsia" w:ascii="宋体" w:hAnsi="宋体" w:eastAsia="宋体" w:cs="宋体"/>
                <w:i w:val="0"/>
                <w:iCs w:val="0"/>
                <w:color w:val="auto"/>
                <w:sz w:val="18"/>
                <w:szCs w:val="18"/>
                <w:highlight w:val="none"/>
                <w:u w:val="none"/>
              </w:rPr>
            </w:pPr>
          </w:p>
        </w:tc>
      </w:tr>
      <w:tr w14:paraId="7823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676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5C1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扬声器功放</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A9FC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1、立体声功率4Ω：750W/立体声功率8Ω：500W/桥接模式8Ω：1000W;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2、频率响应(1 W)：20Hz-20kHz, +0/-1dB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3、总谐波失真 (THD)：&lt;0.5%, 20 Hz - 20 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4、互调失真(IMD)：≤0.35%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5、转换速率：&gt;10V/us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6、电压增益：31dB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7、阻尼系数 (8Ω), 10Hz - 400Hz：&gt;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8、信噪比：&gt;100 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9、串扰：-75 dB（1kHz），-59 dB（20kHz）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10、输入灵敏度(额定功率8Ω)：0.775V or 1.4V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11、输入阻抗(额定)：20KΩ（平衡）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★12、保护：防止短路、空载、开/关机噪音、无线电干扰保护电路，(提供设备电气原理图加盖厂家公章佐证，并提供带有CMA、ILAC-MRA、CNAS标识的第三方检测报告，加盖厂家公章，必要时官网可查询);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13、通风：由前往后的空气对流机制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14、冷却：内部空气强排散热，风扇冷却，快速调节，温度保护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★15、为保证扩声系统的兼容性，扬声器需与功放为同一品牌。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60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1AB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A269">
            <w:pPr>
              <w:jc w:val="center"/>
              <w:rPr>
                <w:rFonts w:hint="eastAsia" w:ascii="宋体" w:hAnsi="宋体" w:eastAsia="宋体" w:cs="宋体"/>
                <w:i w:val="0"/>
                <w:iCs w:val="0"/>
                <w:color w:val="auto"/>
                <w:sz w:val="18"/>
                <w:szCs w:val="18"/>
                <w:highlight w:val="none"/>
                <w:u w:val="none"/>
              </w:rPr>
            </w:pPr>
          </w:p>
        </w:tc>
      </w:tr>
      <w:tr w14:paraId="4C6F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75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79EE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调音台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A79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1.8路单声道话筒输入，2路立体声输入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2.每分路设有单独电平显示分路输出信号大小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3.每分路输入信号一键衰减功能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4.带48V幻象电源,每分路设有48V独立开关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5.每分路均衡带中音扫频功能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6.3路AUX辅助输出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7.内置双效果器，分别使用24种DSP人声效果和8种DSP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乐器效果，且每种效果参数单独可调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8.每分路设有独立静音按键并且带LED灯双色显示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9.每路监听按键带LED灯显示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10.100mm行程高精度推子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11.MP3通道有独立的增益控制输入信号大小以及设有高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中低三段均衡可调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12.带声卡功能，可连接电脑/手机信号播录功能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13.带蓝牙和USB录音功能的MP3播放器</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040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2EC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6F98">
            <w:pPr>
              <w:jc w:val="center"/>
              <w:rPr>
                <w:rFonts w:hint="eastAsia" w:ascii="宋体" w:hAnsi="宋体" w:eastAsia="宋体" w:cs="宋体"/>
                <w:i w:val="0"/>
                <w:iCs w:val="0"/>
                <w:color w:val="auto"/>
                <w:sz w:val="18"/>
                <w:szCs w:val="18"/>
                <w:highlight w:val="none"/>
                <w:u w:val="none"/>
              </w:rPr>
            </w:pPr>
          </w:p>
        </w:tc>
      </w:tr>
      <w:tr w14:paraId="3CA8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4C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D77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网络音频媒体处理中心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CCE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1.DSP芯片：Ti 450MHz FLOPS双核；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2.支持USB2.0 录制/播放；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3.支持中控指令集生成器；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4.核心算法：反馈消除（AFC），回声消除 (AEC)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5.输入处理：前级放大、信号发生器、扩展器、压缩器、5段参量均衡、反相、自动增益、自动混音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6.输出处理：31段图示均衡器、延时器、分频器、高低通滤波器、限幅器、反相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7.矩阵混音：输入和输出信号矩阵式混音，混音分量控制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8.支持自动摄像跟踪功能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★9.场景预设：100组自定义设置(提供带有CMA、ILAC-MRA、CNAS标识的第三方检测报告，加盖厂家公章，必要时官网可查询)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10.端口配置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不少于8路模拟输入通道，不少于8路模拟输出通道；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不少于1个Ethernet控制端口；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不少于1个RS232和1个RS485；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不少于8路GPIO；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11.支持WIFI联机；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★12.输入增益放大不少于-24～27dB，3dB共17级；(提供带有CMA、ILAC-MRA、CNAS标识的第三方检测报告，加盖厂家公章，必要时官网可查询)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13.支持平衡/非平衡,输入/输出；支持MIC\LINE,输入/输出；每路独立48V幻象供电开关；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14.软件及操作系统：控制处理软件及APP/Windows32位/Windows64位/IOS/android/机器内置客户端，支持联机下载.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★15.为保证系统的稳定性及兼容性，生产厂家须提供两化融合管理体系评定证书，加盖厂家公章。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577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080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ED5EF">
            <w:pPr>
              <w:jc w:val="center"/>
              <w:rPr>
                <w:rFonts w:hint="eastAsia" w:ascii="宋体" w:hAnsi="宋体" w:eastAsia="宋体" w:cs="宋体"/>
                <w:i w:val="0"/>
                <w:iCs w:val="0"/>
                <w:color w:val="auto"/>
                <w:sz w:val="18"/>
                <w:szCs w:val="18"/>
                <w:highlight w:val="none"/>
                <w:u w:val="none"/>
              </w:rPr>
            </w:pPr>
          </w:p>
        </w:tc>
      </w:tr>
      <w:tr w14:paraId="47D5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6DB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B27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智能电源时序器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C98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1、彩屏显示：2寸彩色TFT屏幕，系统支持中英文显示，可实时显示当前电压、日期时间、通道开关状态、场景模式与级联状态，让时序器工作状态更加清晰直观。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2、快捷导航键：通过转动EDIT键可对参数进行设置，一键操作，方便快捷。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3、八路通道：每通道延时开启/关闭（时间可设置为0-999秒），防止电流冲击，捍卫设备安全。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4、定时器：内置时钟芯片，可根据时间定时设置智能自动开关机。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5、智能保护：过压/欠压保护，可自定义保护值，能够避免电压不稳定造成的设备损坏。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6、场景调用：保存/调用模式，可以设置10组场景模式。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7、外接控制：外接无锁I/O开关，轻松实现远程开关。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8、级联/中控：通过RS485接口可以将多台时序器级联并自动编号，通过RS232接口与中控设备连接，实现统一管理、控制。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9、万用插座：纯铜万用插口设计，满足不同标准的插头，电流传输稳定。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10、纯铜电缆：电流负载强，不容易过热、软化。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11、输入电压：AC220V/50Hz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12、额定功率：6000W   3*4.0平方交流电源线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13、单路输出最大电流：16A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14、USB DC 5V 800mA供电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15、显示方式：320*240 TFT屏幕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16、输入方式：3*4.0平方交流电源线，不带插头，可与空气开关连接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17、输出方式：8路电源输出，标准通用三芯插座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18、欠压过压保护：欠压（120-190V） 过压（240-290V）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19、定时设置：每日/每周重复开关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★20、提供带有CMA、ILAC-MRA、CNAS标识的第三方检测报告，加盖厂家公章，必要时官网可查询</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48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91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8B7F9">
            <w:pPr>
              <w:jc w:val="center"/>
              <w:rPr>
                <w:rFonts w:hint="eastAsia" w:ascii="宋体" w:hAnsi="宋体" w:eastAsia="宋体" w:cs="宋体"/>
                <w:i w:val="0"/>
                <w:iCs w:val="0"/>
                <w:color w:val="auto"/>
                <w:sz w:val="18"/>
                <w:szCs w:val="18"/>
                <w:highlight w:val="none"/>
                <w:u w:val="none"/>
              </w:rPr>
            </w:pPr>
          </w:p>
        </w:tc>
      </w:tr>
      <w:tr w14:paraId="7041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5E2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A43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双通道无线手持话筒</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C8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1、本系列是一款双通道真分集无线麦克风，真分集的接收方式更稳定，自动选讯，消除接收死角，避免断频现象发生；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2、专业支持演讲以及室外演唱机型，UHF真分集，确保远距离有效接收，可视距离约300M左右，配合天线分配器、放大器使用，距离可达400M左右；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3、IRA红外线自动锁频功能和手动备份功能，操作简单、快捷并有安全保证；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4、调制方式： 宽带调频；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5、频率范围： 600-900MHZ；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6、信道数目：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7、频率稳定度： ±0.005%；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8、动态范围： 100dB；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9、最大偏差： ±48KHZ，水平限度；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10、音频频率响应： 40HZ-18KHZ(±3dB)；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11、信噪比： 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12、接收方式：  自动调频；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13、震荡方式： PLL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14、手持麦克风内置螺旋天线，腰挂发射器采用1/4波长鞭状天线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15、拾音头： 动圈式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16、工作时间： 高功率不低于6小时，低功率不低于10个小时；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A76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03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C145">
            <w:pPr>
              <w:jc w:val="center"/>
              <w:rPr>
                <w:rFonts w:hint="eastAsia" w:ascii="宋体" w:hAnsi="宋体" w:eastAsia="宋体" w:cs="宋体"/>
                <w:i w:val="0"/>
                <w:iCs w:val="0"/>
                <w:color w:val="auto"/>
                <w:sz w:val="18"/>
                <w:szCs w:val="18"/>
                <w:highlight w:val="none"/>
                <w:u w:val="none"/>
              </w:rPr>
            </w:pPr>
          </w:p>
        </w:tc>
      </w:tr>
      <w:tr w14:paraId="5618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1C5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80A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数字无线会议系统主机</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B49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1.基于全数字网络技术方案开发，具备时钟同步与传输技术、WIFI无线通讯技术，音频传输延时≤5ms，支持全数字有线会议单元与5G WIFI加密无线会议单元同时使用。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6种会议发言模式：FIFO（先进先出模式）、NORMAL（轮流发言模式）、FREE（自由发言模式）、APPLY（申请发言模式）、VOICE（声控发言模式）、LIMIT（限时发言模式），最大同时发言人数可设置26支，支持16支有线会议单元与10支无线会议单元同时发言，发言人数在预设范围内可任意设定，有线单元发言人数可设置为1至16之间的任意数量，无线单元发言人数可设置为1至10之间的任意数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3.系统具有65535支会议单元ID容量，可任意搭配全数字有线会议单元、翻译单元或5G WIFI加密无线会议单元接入使用。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4.具有AP信道扫描功能，可扫描查看现场在线AP名称与无线信道的使用情况，支持手动选择或自动配置优质信道。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★5.音频输出接口：1组RCA座、1路卡侬头、2路LINE-OUT凤凰座，每个音频输出通道均具备独立的10段EQ调节、30级音量dB值调节、200级延时器调节功能。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6.具有1路TCP/IP网络控制接口、1路KEYBOARD摄像机键盘控制接口、1路ALARM消防报警联动触发接口，1路RS485摄像机控制接口，1路RS232-COM控制接口、1路RS232-PC控制接口。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ALARM消防报警联动触发接口，可对接火灾自动报警系统或连接烟雾报警器，当消防联动信号或报警器信号触发时，系统立即自动终止会议的功能操作，会议主机、会议单元与翻译单元界面同步显示消防警报提示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8.具有RS485摄像机控制接口，主机具备预置位发言跟踪功能，支持PELCO-D、PELCO-P、VISCA控制协议，最大支持同时连接16台摄像机进行预置位发言跟踪。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5寸全彩触控屏，提供会议模式、签到表决、无线控制、USB录播、主题风格、云球控制、音频控制、ID配置、系统设置、系统状态功能控制菜单；可通过主机触控屏实现选择会议模式、有线单元与无线单元开启数量，发起与结束签到、表决进程，一键关闭全部WIFI无线会议单元功能，控制USB录音与USB播放功能，切换单元主题风格界面，配置会议摄像机预置位与关联会议单元ID设置，调节LINE-OUT音频输出接口的音量大小，配置会议单元ID，切换系统语言、设置系统时间、调节显示亮度、查看本机IP信息、设置双机备份功能、查看主机注册状态，查询在线单元的类型与数量信息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10.系统预设4种语言：中、英、俄、法，可根据会议需求进行切换。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11.具有主机注册功能，可通过触控屏或PC软件输入注册码进行主机注册，可查看主机注册状态。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★12.系统具备有线同声传译功能，支持同时传输69+1通道同声传译音频，可通过有线会议单元进行选择收听。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13.具有双机热备份功能，会议主机可设置为主用机或备用机，当主用机出现故障时，系统可自动切换至备用机运行。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14.工作电源：AC 100-120V/200-240V 50-60Hz by switch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15.会议单元容量：65535支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16.USB接口：USB*1，支持U盘录音与音频播放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17.显示屏：5寸，IPS全彩触控屏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18.频率响应：20Hz-20KHz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19.总谐波失真：≤0.05%@1KHz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066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78E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16C9">
            <w:pPr>
              <w:jc w:val="center"/>
              <w:rPr>
                <w:rFonts w:hint="eastAsia" w:ascii="宋体" w:hAnsi="宋体" w:eastAsia="宋体" w:cs="宋体"/>
                <w:i w:val="0"/>
                <w:iCs w:val="0"/>
                <w:color w:val="auto"/>
                <w:sz w:val="18"/>
                <w:szCs w:val="18"/>
                <w:highlight w:val="none"/>
                <w:u w:val="none"/>
              </w:rPr>
            </w:pPr>
          </w:p>
        </w:tc>
      </w:tr>
      <w:tr w14:paraId="6D27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7D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840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数字会议主席单元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326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34.主席单元具有优先发言与会议控制功能，发言不受发言模式与发言人数限制，可批准代表单元发言申请，可关闭正在发言的代表单元，可发起与结束会议签到进程，可发起与结束三键表决进程。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D45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7AA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4E1F">
            <w:pPr>
              <w:jc w:val="center"/>
              <w:rPr>
                <w:rFonts w:hint="eastAsia" w:ascii="宋体" w:hAnsi="宋体" w:eastAsia="宋体" w:cs="宋体"/>
                <w:i w:val="0"/>
                <w:iCs w:val="0"/>
                <w:color w:val="auto"/>
                <w:sz w:val="18"/>
                <w:szCs w:val="18"/>
                <w:highlight w:val="none"/>
                <w:u w:val="none"/>
              </w:rPr>
            </w:pPr>
          </w:p>
        </w:tc>
      </w:tr>
      <w:tr w14:paraId="4695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9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F79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数字会议代表单元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B87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947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9C5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FD550">
            <w:pPr>
              <w:jc w:val="center"/>
              <w:rPr>
                <w:rFonts w:hint="eastAsia" w:ascii="宋体" w:hAnsi="宋体" w:eastAsia="宋体" w:cs="宋体"/>
                <w:i w:val="0"/>
                <w:iCs w:val="0"/>
                <w:color w:val="auto"/>
                <w:sz w:val="18"/>
                <w:szCs w:val="18"/>
                <w:highlight w:val="none"/>
                <w:u w:val="none"/>
              </w:rPr>
            </w:pPr>
          </w:p>
        </w:tc>
      </w:tr>
      <w:tr w14:paraId="6DF3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F8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689B0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智能反馈抑制器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12DB8E8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1、具有一键全自动检测现场啸叫点功能,通过DSP系统对声音进行过滤，低音补偿自动混音、智能高速反馈处理；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2、全数字化最大限度消除回输，同时使用多个话筒时，自动适应声学环境，无需调试，快速校正功能，保证音质，减少延时；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3、四通道信号输入，满足更大的需求；高中低三档输入电平选择，防止峰值输入失真，有效增加话筒拾音距离。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4、额定电压：220V~10%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5、幻像供电：48V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6、取样频率：32KHz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7、频率响应：125Hz~15KHz(语音模式)   20Hz~15KHz(音乐模式)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8、失真度：&lt;0.1%@1KHz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9、信噪比：&gt;90dB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10、信号延迟：7ms(音乐模式)    11ms(语音模式)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11、输入阻抗：20K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12、输出阻抗（平衡）：200Ω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74B7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64C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247A3E2">
            <w:pPr>
              <w:jc w:val="center"/>
              <w:rPr>
                <w:rFonts w:hint="eastAsia" w:ascii="宋体" w:hAnsi="宋体" w:eastAsia="宋体" w:cs="宋体"/>
                <w:i w:val="0"/>
                <w:iCs w:val="0"/>
                <w:color w:val="auto"/>
                <w:sz w:val="18"/>
                <w:szCs w:val="18"/>
                <w:highlight w:val="none"/>
                <w:u w:val="none"/>
              </w:rPr>
            </w:pPr>
          </w:p>
        </w:tc>
      </w:tr>
      <w:tr w14:paraId="4DE5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D63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4EE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会议专用充电箱</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33FE5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1.具有20路5V USB充电接口，单路输出电流峰值：2.4A，可根据设备电量自动调整电流，输出总电流峰值：40A，支持同时插满全部USB接口，供设备批量充电。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2.具有数码屏可显示设备输出电压，每路USB接口配置独立的LED充电状态指示灯，充电时亮红灯，充满时亮蓝灯，空载时不亮灯，可直观显示每个USB接口的充电状态。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3.内置PWM电源管理芯片，自动检测充电状态，充满后自动断电。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4.支持PD快充协议，智能识别、智能分流、智能快充，自动调整输出电流，支持无线会议单元快速充电。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5.具有自动检测过压保护、过流保护、过充保护、短路保护、自动恢复等多种智能安全防护，支持无线会议单元安全充电。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6.电源输入：AC 200-240V 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7.输出接口：USB*20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8.单口输出电压：DC 5V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9.单口输出电流峰值：2.4A</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5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A4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A4230">
            <w:pPr>
              <w:jc w:val="center"/>
              <w:rPr>
                <w:rFonts w:hint="eastAsia" w:ascii="宋体" w:hAnsi="宋体" w:eastAsia="宋体" w:cs="宋体"/>
                <w:i w:val="0"/>
                <w:iCs w:val="0"/>
                <w:color w:val="auto"/>
                <w:sz w:val="18"/>
                <w:szCs w:val="18"/>
                <w:highlight w:val="none"/>
                <w:u w:val="none"/>
              </w:rPr>
            </w:pPr>
          </w:p>
        </w:tc>
      </w:tr>
      <w:tr w14:paraId="2CD2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6B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B03F78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无线会议专用天线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970279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1.5G WIFI加密无线会议专用AP与全数字会议系统主机通过网线连接，用于5G WIFI加密无线会议单元通过WIFI无线网络接入全数字会议系统，单个AP支持接入128支无线会议单元。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2.具有双空间流双频并发技术，无线传输速率：1.8Gbps（2.4GHz传输速率：600Mbps，5GHz传输速率：1.2Gbps）。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3.内置高功率FEM与4组双频铜片天线，WIFI信号覆盖范围半径：25米。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4.采用802.11ax标准（WIFI-6）无线网络技术，同时兼容802.11b/a/g/n/ac标准传输协议，具有高带宽、高容量、低延时、低功耗特性。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5.支持OPEN、WEP、WPA/WPA2/WPA3、WPA/WPA2/WPA3-PSK、802.11i等多种认证与加密协议标准，提高会议的安全性与私密性。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6.具有自动调整信道功能，可自动扫描应用环境中的WIFI信道使用情况并选择优质信道，智能动态调节WIFI发射功率。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7.支持自定义设置设备SSID名称，可设置隐藏设备SSID名称。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8.具有MAC地址过滤功能，可防止未经授权的访问。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9.支持通过连接AC控制器实现多AP组网模式，提高无线会议单元的接入容量，覆盖更大的应用范围，具备智能漫游功能，无线会议单元在WIFI信号覆盖范围内，可实现不同AP之间的无缝漫游。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10.安装方式：平放式、壁挂式、吸顶式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BFC2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A7A5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A4C1EDF">
            <w:pPr>
              <w:jc w:val="center"/>
              <w:rPr>
                <w:rFonts w:hint="eastAsia" w:ascii="宋体" w:hAnsi="宋体" w:eastAsia="宋体" w:cs="宋体"/>
                <w:i w:val="0"/>
                <w:iCs w:val="0"/>
                <w:color w:val="auto"/>
                <w:sz w:val="18"/>
                <w:szCs w:val="18"/>
                <w:highlight w:val="none"/>
                <w:u w:val="none"/>
              </w:rPr>
            </w:pPr>
          </w:p>
        </w:tc>
      </w:tr>
      <w:tr w14:paraId="141F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42D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D2D57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LED显示屏</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176F6FA">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1.像素点间距：≤1.25mm；显示尺寸：宽度≥5.22米，高度≥2.5米；</w:t>
            </w:r>
          </w:p>
          <w:p w14:paraId="3ACB9D8D">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2.模组尺寸：150mm*168.75mm；</w:t>
            </w:r>
          </w:p>
          <w:p w14:paraId="7723C91E">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封装技术：RGB三合一全倒装共阴COB工艺，晶片无键合引线连接(晶圆倒置，无线焊接封装工艺并采用表面封装技术),COB封装工艺micro级芯片，芯片级封装，共阴驱动，R、G、B三色芯片单独封装在PCB板上，晶圆倒置，平面封装，无点状、面状及凸点造型，树脂一次性整体灌封，无像素独立、二次灌封：屏体表面哑光涂层设计，有效消除炫光及抑制摩尔纹；</w:t>
            </w:r>
          </w:p>
          <w:p w14:paraId="5ABAD9C5">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4.高分子材料：模组面用高分子材料，透光率高达60％，发光芯片光损耗 ，达到低耗低温升效果；</w:t>
            </w:r>
          </w:p>
          <w:p w14:paraId="56433619">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5.COB面板耐磨性：RCA纸带摩擦试验，用RCA专用纸带，以固定275g重量施加在COB面板上面，速度：16转/min,试验圈数：150次；试验后COB面板外观结构和功能均正常；</w:t>
            </w:r>
          </w:p>
          <w:p w14:paraId="12B1C21F">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6.信号衰减：≤200mV；</w:t>
            </w:r>
          </w:p>
          <w:p w14:paraId="57B0416C">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★7.安全要求：符合GB 4793.1-2007测量、控制和实验室用电气设备的安全要求第1部分：通用要求规定；</w:t>
            </w:r>
          </w:p>
          <w:p w14:paraId="0CD824F1">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8.色度补偿：在最常规的白场应用场景下，具有白场亮色度补偿技术，能够快速准确地对当前LED显示屏亮色度进行补偿，使显示屏白场亮色度达到目标状态；</w:t>
            </w:r>
          </w:p>
          <w:p w14:paraId="57221AD9">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9.延迟时间：≤1帧，降低视频源播放延迟效果；</w:t>
            </w:r>
          </w:p>
          <w:p w14:paraId="2E9ED41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10.纹波及噪音：≤180mVp-p；</w:t>
            </w:r>
          </w:p>
          <w:p w14:paraId="60D5405C">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11.色彩还原能力：≥16.7M；</w:t>
            </w:r>
          </w:p>
          <w:p w14:paraId="7765D75A">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12.蓝光辐射功率：≤0.11W/㎡·sr·nm；</w:t>
            </w:r>
          </w:p>
          <w:p w14:paraId="12911B56">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13.显示屏高亮效率：≥99％；</w:t>
            </w:r>
          </w:p>
          <w:p w14:paraId="47264772">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14.发光曲线：分段多套校正数据，实现显示自动匹配灰阶校正数据；</w:t>
            </w:r>
          </w:p>
          <w:p w14:paraId="3FCA24DE">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15.单一故障条件测试：模拟单一故障条件下，显示屏无起火和电击的危险发生；</w:t>
            </w:r>
          </w:p>
          <w:p w14:paraId="1BD25082">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16.防潮与绝缘：调整潮湿试验箱91%RH-95%RH范围内，保持温度20-30℃之间(温度变化不能超过1℃),放置显示屏48小时后，立即进行给样品施加1000V的直流电压，持续时间1min。再测试绝缘电阻，应≥2MΩ；</w:t>
            </w:r>
          </w:p>
          <w:p w14:paraId="484DD72D">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17.蓝光辐射等级：具有蓝光护眼功能，蓝光辐射能量≤20％，符合A级要求；</w:t>
            </w:r>
          </w:p>
          <w:p w14:paraId="7B7518DA">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★18.白平衡补偿和修正功能，具有智能的白平衡补偿和修正功能，白平衡点要求，出厂白平衡调校依据标准要求：x=0.313±5％ y=0.329±5％；</w:t>
            </w:r>
          </w:p>
          <w:p w14:paraId="472D183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为防止供应商虚假应标，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p w14:paraId="65D4AE95">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★20.为确保LED显示屏工作过程中不对其环境中的其他设备造成电磁干扰，电磁辐射满足AS/NZS CISPR 32:2015的A类电磁兼容性等级认证，提供证书复印件加盖LED显示屏生产企业公章佐证。</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D400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A7ED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B2F3385">
            <w:pPr>
              <w:jc w:val="center"/>
              <w:rPr>
                <w:rFonts w:hint="eastAsia" w:ascii="宋体" w:hAnsi="宋体" w:eastAsia="宋体" w:cs="宋体"/>
                <w:i w:val="0"/>
                <w:iCs w:val="0"/>
                <w:color w:val="auto"/>
                <w:sz w:val="18"/>
                <w:szCs w:val="18"/>
                <w:highlight w:val="none"/>
                <w:u w:val="none"/>
              </w:rPr>
            </w:pPr>
          </w:p>
        </w:tc>
      </w:tr>
      <w:tr w14:paraId="5C0E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FA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665D8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493F31B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1、支持1路DP1.4、1路HDMI 2.0输入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2、支持2路HDMI 1.4和2路DVI输入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3、支持最大带载1048万像素，最宽16384像素，或最高8192像素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4、支持最大输入分辨率4096×2160@60Hz，支持自定义分辨率设置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5、支持16路千兆网口输出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6、支持对视频信号任意切换，裁剪，拼接，缩放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7、支持6画面显示，位置，大小可自由调节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8、支持精确颜色管理，调整显示屏色域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9、支持视频同步锁相技术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10、支持独立音频输入输出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11、支持HDMI和DP音频解析输出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12、支持LAN口控制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13、支持手机端APP控制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14、支持RS232串口协议控制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16、支持亮度和色温调节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18、支持亮度和色温调节</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C7BD3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D23F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E139D4D">
            <w:pPr>
              <w:jc w:val="center"/>
              <w:rPr>
                <w:rFonts w:hint="eastAsia" w:ascii="宋体" w:hAnsi="宋体" w:eastAsia="宋体" w:cs="宋体"/>
                <w:i w:val="0"/>
                <w:iCs w:val="0"/>
                <w:color w:val="auto"/>
                <w:sz w:val="18"/>
                <w:szCs w:val="18"/>
                <w:highlight w:val="none"/>
                <w:u w:val="none"/>
              </w:rPr>
            </w:pPr>
          </w:p>
        </w:tc>
      </w:tr>
      <w:tr w14:paraId="7233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E3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C571C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C4AD391">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1.集成8个HUB75，无需再配转接板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2.单卡最大带载128×1024像素，最多支持16组并行数据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3.支持8bit色深视频源输入输出，单色灰阶为256，可搭配出16777216种混合色彩。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4.支持自适应帧率技术，不仅支持23.98/24/29.97/30/50/59.94/60Hz常规及非整数帧率，还可输出显示120/240Hz高帧率画面，大幅提升画面流畅度、减少拖影。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5.支持色温调节，提供调整色温，即饱和度调节，增强画面表现力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6.支持低亮高灰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8.支持箱体标定和快速标序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9.支持画面旋转，单个箱体画面以90°/180°/270°角度进行旋转，配合部分主控可实现单箱体画面任意角度旋转显示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10.支持数据偏移，支持误码侦测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11.支持环路备份，支持固件备份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★12.提供厂家售后服务承诺书和项目授权书；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★13.8bit 精度的色度，亮度一体化逐点校正，能有效消除灯点色差，保证整屏的颜色亮度的均匀性和一致性，提升整体显示效果。需提供具有CMA、CNAS、ilac-MRA认证标识的第三方厂家检测报告，并加盖供应商公章；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★14.检测接收卡之间数据传输质量和误码情况，可以方便快捷地识别出硬件连接异常的箱体，便于维护，需提供具有CMA、CNAS、ilac-MRA认证标识的第三方厂家检测报告，并加盖供应商公章；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★15.支持一帧延迟，发送端到显示端延迟达到一帧，解决系统延迟导致的画面不同步问题 ，需提供具有CMA、CNAS、ilac-MRA认证标识的第三方厂家检测报告，并加盖供应商公章；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★16.通过对伽马表算法的优化，使得显示屏在降低亮度时能保持灰阶的完整无损失、完美显示，呈现低亮度高灰阶的显示效果；需提供具有CMA、CNAS、ilac-MRA认证标识的第三方厂家检测报告，并加盖供应商公章；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★17.为使画面显示效果更加完美，保持整屏一致性，控制系统具有修缝、十字修复功能，并提供供应商盖鲜章的LED显示屏十字线修复软件著作权证书及LED显示屏专业修缝软件著作证书两种证明文件。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0FBE1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D3A9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838F6B3">
            <w:pPr>
              <w:jc w:val="center"/>
              <w:rPr>
                <w:rFonts w:hint="eastAsia" w:ascii="宋体" w:hAnsi="宋体" w:eastAsia="宋体" w:cs="宋体"/>
                <w:i w:val="0"/>
                <w:iCs w:val="0"/>
                <w:color w:val="auto"/>
                <w:sz w:val="18"/>
                <w:szCs w:val="18"/>
                <w:highlight w:val="none"/>
                <w:u w:val="none"/>
              </w:rPr>
            </w:pPr>
          </w:p>
        </w:tc>
      </w:tr>
      <w:tr w14:paraId="62F2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36F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C8A06B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配电柜</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7085AD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PLC智能配电箱，容量30KW。配电箱中配备的保护措施包括过流、缺相、短路、断路、过压、欠压、温度过高等，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31A3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E510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96D4BBA">
            <w:pPr>
              <w:jc w:val="center"/>
              <w:rPr>
                <w:rFonts w:hint="eastAsia" w:ascii="宋体" w:hAnsi="宋体" w:eastAsia="宋体" w:cs="宋体"/>
                <w:i w:val="0"/>
                <w:iCs w:val="0"/>
                <w:color w:val="auto"/>
                <w:sz w:val="18"/>
                <w:szCs w:val="18"/>
                <w:highlight w:val="none"/>
                <w:u w:val="none"/>
              </w:rPr>
            </w:pPr>
          </w:p>
        </w:tc>
      </w:tr>
      <w:tr w14:paraId="79AA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1D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2D069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屏体框架</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2A4EECD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支撑结构，黑钛拉丝不锈钢工艺包边，上下左右各包边5公分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44DD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DF1B3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E9176CF">
            <w:pPr>
              <w:jc w:val="center"/>
              <w:rPr>
                <w:rFonts w:hint="eastAsia" w:ascii="宋体" w:hAnsi="宋体" w:eastAsia="宋体" w:cs="宋体"/>
                <w:i w:val="0"/>
                <w:iCs w:val="0"/>
                <w:color w:val="auto"/>
                <w:sz w:val="18"/>
                <w:szCs w:val="18"/>
                <w:highlight w:val="none"/>
                <w:u w:val="none"/>
              </w:rPr>
            </w:pPr>
          </w:p>
        </w:tc>
      </w:tr>
      <w:tr w14:paraId="1477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E7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79E9E4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LED屏综合布线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1198F6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主电缆线引致屏体内、主网线引至屏体内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D3912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895A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F9D1F84">
            <w:pPr>
              <w:jc w:val="center"/>
              <w:rPr>
                <w:rFonts w:hint="eastAsia" w:ascii="宋体" w:hAnsi="宋体" w:eastAsia="宋体" w:cs="宋体"/>
                <w:i w:val="0"/>
                <w:iCs w:val="0"/>
                <w:color w:val="auto"/>
                <w:sz w:val="18"/>
                <w:szCs w:val="18"/>
                <w:highlight w:val="none"/>
                <w:u w:val="none"/>
              </w:rPr>
            </w:pPr>
          </w:p>
        </w:tc>
      </w:tr>
      <w:tr w14:paraId="44ED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3E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C0F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多媒体智能主机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87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★1.接口参数：≥1.7寸液晶面板、≥1路电源指示灯、≥2路网络指示灯、≥1路数据通信指示灯、≥1路红外接收器、≥1路恢复出厂按键；≥5路HDMI IN、≥1路TYPEC接口输入、≥3路HDMI输出、≥1路DP输出、≥1路TYPCC接口模拟UVC、≥1路双声道LINEIN输入、≥1路双声道LINEOUT输出、≥8路凤凰端子48V幻像供电MIC输入、≥1路USB3.0接口、≥2路USB2.0接口、≥8路千兆RJ-45、≥1路AC220V电源接口；（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★2.≥8路RS232、≥2路RS485、≥1路RS422、≥4路IO、≥4路Relay、≥4路IR TX；（需提供CMA、ilac-MRA、CNAS标志的第三方检测报告证明复印件，加盖原厂公章）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3.设备主控芯片支持8路ARMCortexA9内核，主频最大可达到1.1HGz；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8路凤凰端子，同时支持48V幻像供电MIC输入和linein线性输入，支持1对L/R凤凰端子立体声输出，2路50W@8Ω(可定制2*100W8Ω/2*150W8Ω)的数字功放输出;（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处理模块支持自动回声消除（AEC）、自动增益控制（AGC）、自动噪声消除（ANC）、自动反馈消除（AFC）、混音矩阵（AM）、丢包补偿（PLC）；支持2路USB2.0Type-A型，1路USB3.0Type-A型，支持U盘自动拷贝主机录制内容、外置移动硬盘扩展本主机的存储容量、外置光盘刻录光驱、U盘系统强制升级并恢复初始化配置；（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6.内置硬盘，支持本地5路音视频同时录制；支持MP4主流视频压缩格式；支持多路视频流合成录制；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7.内置samba服务器以及ftp服务器可供用户拷贝以及文件传输;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8.支持硬盘存储可选择自动替换日期最早的文件或者手动删除文件，防止硬盘存储满，网页可设置开或关；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9.支持定制重点部分进行马赛克及变声处理，防止出现视频资料外泄，保护隐私；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10.无需外加编、解码器及服务器，即可实现IPC接入及控制，最高可同时支持4路4K@30并且可实时进行录制;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11.内置一块2T硬盘，最高支持8T存储，可切换录制，同时支持配合硬盘服务器进行备份保存；（需提供CMA、ilac-MRA、CNAS标志的第三方检测报告证明复印件，加盖原厂公章）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12.支持1路凤凰端子立体声输出，也可支持2种不同音源输出，2路50W@8欧姆(可定制2*100W8Ω/2*150W8Ω)的数字功放输出；（需提供CMA、ilac-MRA、CNAS标志的第三方检测报告证明复印件，加盖原厂公章）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★13.纯硬件架构集成音频、视频、控制于一体的多媒体管理和处理设备；支持矩阵、拼接、交换机、中控、多画面录播等功能。（需提供CMA、ilac-MRA、CNAS标志的第三方检测报告证明复印件，加盖原厂公章）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★14.AI大模型基座、语音转写主机、多媒体智能主机、综合管理平台、4K@60Hz无损输入输出节点为同一品牌.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8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34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632A">
            <w:pPr>
              <w:jc w:val="center"/>
              <w:rPr>
                <w:rFonts w:hint="eastAsia" w:ascii="宋体" w:hAnsi="宋体" w:eastAsia="宋体" w:cs="宋体"/>
                <w:i w:val="0"/>
                <w:iCs w:val="0"/>
                <w:color w:val="auto"/>
                <w:sz w:val="18"/>
                <w:szCs w:val="18"/>
                <w:highlight w:val="none"/>
                <w:u w:val="none"/>
              </w:rPr>
            </w:pPr>
          </w:p>
        </w:tc>
      </w:tr>
      <w:tr w14:paraId="4121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3B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62C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4K无损输入输出节点</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8B5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★1、具备≥1路HDMI视频输入接口、≥1路HDMI输出接口、≥1路DP输出接口、≥1路5针凤凰端子平衡立体声输入/输出接口、≥1路3.5音频接口、≥1个KVM USB接口、≥1个USB 3.0接口、≥2个USB 2.0接口、≥1个RJ-45千兆网口、≥1个SFP fiber接口；（须提供具备CMA、ILAC、CNAS认证的第三方权威机构出具的检测报告复印件及产品接口实物图片）；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2、前面板具备≥1个LCD液晶面板、≥1个电源指示灯、≥1个视频信号指示灯、≥1个网络状态及信号信号状态灯、≥1个恢复出厂设置按键；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3、输入输出一体化设计，通过拨码开关自由设置输入输出；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★4、端到端无缝传输延时为≤8ms，信号切换、开窗响应、预案调取的间隔时间≤8ms；（须提供CMA、ilac-MRA及CNAS标识的权威第三方检测报告复印件）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5、支持高低码流同时输入或输出，满足不受距离限制实现多区域互联互通；（须提供CMA、ilac-MRA及CNAS标识的权威第三方检测报告复印件）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6、KVM功能具备0SD菜单支持快速接管方式，支持可视化预览信号源画面及信息；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7、具备大屏拼接管理功能，可实现大屏信号源开窗、拼接、叠加，漫游等功能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★8、支持4K@60Hz、YUV4:4:4视频的输入或输出，支持最高120帧的编解码处理，同时分辨率和帧率支持向下兼容；（须提供CMA、ilac-MRA及CNAS标识的权威第三方检测报告复印件）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★9、支持中控功能，满足不少于2路继电器RELAY接口、4路电平I/O接口、2个RS-232串口、1个RS-485串口、4路红外IR接口；（须提供具备CMA、ILAC、CNAS认证的第三方权威机构出具的检测报告复印件及产品接口实物图片）；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10、具备远程KVM控制，支持多屏间跨屏、漫游，支持多屏间放大缩小，支持多权限管理，支持坐席信号源任意投到大屏上显示。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★11、AI大模型基座、语音转写主机、多媒体智能主机、综合管理平台、4K@60Hz无损输入输出节点为同一品牌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12、产品需具备CCC证书，复印件加盖原厂公章</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AD7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C47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2566">
            <w:pPr>
              <w:jc w:val="center"/>
              <w:rPr>
                <w:rFonts w:hint="eastAsia" w:ascii="宋体" w:hAnsi="宋体" w:eastAsia="宋体" w:cs="宋体"/>
                <w:i w:val="0"/>
                <w:iCs w:val="0"/>
                <w:color w:val="auto"/>
                <w:sz w:val="18"/>
                <w:szCs w:val="18"/>
                <w:highlight w:val="none"/>
                <w:u w:val="none"/>
              </w:rPr>
            </w:pPr>
          </w:p>
        </w:tc>
      </w:tr>
      <w:tr w14:paraId="5E59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FA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2E9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AI大模型基座</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791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1.处理器：内存≥16G，≥512G固态硬盘、显卡性能≥2080Ti；（须提供CMA、ilac-MRA及CNAS标识的权威第三方检测报告，复印件加盖原厂公章）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★2.具备中控管理功能：具备≥12路RS232、≥8路红外IR接口、≥8路电平I/O接口、≥8路继电器RELAY接口；具备≥1路3.5mic接口、≥1路3.5音频输入、≥1路3.5音频输出；≥2路 USB3.0、≥2路 USB2.0、≥1路RJ45网口、≥1路HDMI输出接口、≥具备1路物理开关机按钮；（须提供CMA、ilac-MRA及CNAS标识的权威第三方检测报告，复印件加盖原厂公章）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3.提供健壮灵活的插件接口，可任意对接外部智能体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★4.提供统一API接口，便于各类插件和应用接入（须提供CMA、ilac-MRA及CNAS标识的权威第三方检测报告，复印件加盖原厂公章）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5.支持模型热切换与资源动态调度功能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6.内置高效推理引擎，优化本地计算资源利用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7.支持多客户端并发请求智能调度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8.支持系统状态自检与恢复（须提供CMA、ilac-MRA及CNAS标识的权威第三方检测报告，复印件加盖原厂公章）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9.支持用户权限分级管理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10.支持敏感信息过滤与保护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11.支持操作日志完整记录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12.支持模型版本平滑升级（须提供CMA、ilac-MRA及CNAS标识的权威第三方检测报告，复印件加盖原厂公章）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13.支持功能模块动态扩展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★14.AI大模型基座、语音转写主机、多媒体智能主机、综合管理平台、4K@60Hz无损输入输出节点为同一品牌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15.设备厂商须通过ISO14001：2015环境管理体系、ISO9001：2015 质量管理体系、ISO45001:2018 职业健康管理体系认证，提供证书复印件加盖原厂公章；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★16.产品需具备CCC证书，复印件加盖原厂公章</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387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95E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9CB59">
            <w:pPr>
              <w:jc w:val="center"/>
              <w:rPr>
                <w:rFonts w:hint="eastAsia" w:ascii="宋体" w:hAnsi="宋体" w:eastAsia="宋体" w:cs="宋体"/>
                <w:i w:val="0"/>
                <w:iCs w:val="0"/>
                <w:color w:val="auto"/>
                <w:sz w:val="18"/>
                <w:szCs w:val="18"/>
                <w:highlight w:val="none"/>
                <w:u w:val="none"/>
              </w:rPr>
            </w:pPr>
          </w:p>
        </w:tc>
      </w:tr>
      <w:tr w14:paraId="188B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EE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57B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AI深度控制引擎</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3DD2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1、全本地化离线部署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2、支持模型热切换，可根据需求升级至14B参数量模型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3、采用高效推理引擎，实现低延迟响应，0.2秒实时响应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4、支持自然语言理解和复杂指令解析，比如“把温度高于60度的电脑重启”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5、支持多轮对话和上下文理解，比如"音量小一点”,“再小一点"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6、支持模糊指令智能纠正，比如“前面音箱不要”，可执行为关闭音量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★9、支持多步骤任务规划与执行，"统计过去一周各设备的使用情况，生成能耗报告，显示在辅屏上"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10、支持条件判断与逻辑推理，“以后只要有人进来这个会议室，切到普通模式，而不是会议模式”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11、支持场景化指令模板定制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12、支持与现有中控系统无缝集成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13、支持标准化API接口调用，可对接任意外设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14、支持工具链扩展与自定义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15、支持多种协议适配与转换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16、支持敏感信息过滤与保护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17、支持用户权限分级管理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18、可选配多模态输入理解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19、支持基于用户习惯的智能适应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20、支持常用指令模式记忆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21、支持多客户端并发请求智能调度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22、支持关键指令确认机制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23、支持操作日志完整记录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24、支持系统状态自检与恢复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25、支持用户行为模式分析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26、支持模型版本平滑升级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27、支持功能模块动态扩展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28、支持知识库自定义更新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29、支持系统能力用户级任意添加优化</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3E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D29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FA068">
            <w:pPr>
              <w:jc w:val="center"/>
              <w:rPr>
                <w:rFonts w:hint="eastAsia" w:ascii="宋体" w:hAnsi="宋体" w:eastAsia="宋体" w:cs="宋体"/>
                <w:i w:val="0"/>
                <w:iCs w:val="0"/>
                <w:color w:val="auto"/>
                <w:sz w:val="18"/>
                <w:szCs w:val="18"/>
                <w:highlight w:val="none"/>
                <w:u w:val="none"/>
              </w:rPr>
            </w:pPr>
          </w:p>
        </w:tc>
      </w:tr>
      <w:tr w14:paraId="1386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439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A0F39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语音转写主机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BC193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1.采用工业级1U机箱，19英寸标准机柜接口；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★2.处理器：8核国产处理器，主频高达2.4GHz，内存：8G DDR4，存储：128GB，（须提供CMA、ilac-MRA及CNAS标识的权威第三方检测报告，复印件加盖原厂公章）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3.网络功能：10/100/1000Mbps自适应网口，支持远程唤醒；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★4.内置1.7英寸LCD显示屏，可显示设备IP和版本信息；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5.接口：1*1.7英寸LCD显示屏/2*RJ45/1*USB3.0/2*USB2.0/1*LINE IN/1*LINE OUT/2*RS485/1*RS422/2*RS232/1*HDMI IN/1*HDMI OUT/1*DP OUT/；（须提供CMA、ilac-MRA及CNAS标识的权威第三方检测报告，复印件加盖原厂公章）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6.提供私有化部署，全离线运行；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7.支持实时语音角色分离转写；支持中文实时语音转写；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8.支持中文音频文件；支持中译英实时语音转写；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9.支持中译英音频文件（pcm/wav/opus/mp3/mp4/m4a/amr/3gp/aac等格式的音频）转写； 支持热词；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10.支持会议纪要提炼；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11.支持方言；支持拓展其他语言语音转写；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12.支持语音转写字幕字体调整、循环滚动输出等特效；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13.支持摄像机通过HDMI本地输入或网络视频流输入，并叠加转写字幕实时HDMI或DP或通过网络流输出；（须提供CMA、ilac-MRA及CNAS标识的权威第三方检测报告，复印件加盖原厂公章）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★14.支持转写字幕单独网络推流输出，可输出至安卓，Windows，鸿蒙等播放器实时播出，推流至分布式矩阵拼接系统输出；（须提供CMA、ilac-MRA及CNAS标识的权威第三方检测报告，复印件加盖原厂公章）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15.本地HDMI输入支持4K60，YUV444输入，支持H.264\H.265实时编码输出。（须提供CMA、ilac-MRA及CNAS标识的权威第三方检测报告，复印件加盖原厂公章）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★16.AI大模型基座、语音转写主机、多媒体智能主机、综合管理平台、4K@60Hz无损输入输出节点为同一品牌</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C807D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CD79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78CA78B">
            <w:pPr>
              <w:jc w:val="center"/>
              <w:rPr>
                <w:rFonts w:hint="eastAsia" w:ascii="宋体" w:hAnsi="宋体" w:eastAsia="宋体" w:cs="宋体"/>
                <w:i w:val="0"/>
                <w:iCs w:val="0"/>
                <w:color w:val="auto"/>
                <w:sz w:val="18"/>
                <w:szCs w:val="18"/>
                <w:highlight w:val="none"/>
                <w:u w:val="none"/>
              </w:rPr>
            </w:pPr>
          </w:p>
        </w:tc>
      </w:tr>
      <w:tr w14:paraId="6DE4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B1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4EC50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电源控制器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FA80D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1、T-BUS，串口，网络控制；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2、最多可以同时使用8路；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3、T-BUS总线控制，可以通过ID拨码设定ID。</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F874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A5612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52EC35C">
            <w:pPr>
              <w:jc w:val="center"/>
              <w:rPr>
                <w:rFonts w:hint="eastAsia" w:ascii="宋体" w:hAnsi="宋体" w:eastAsia="宋体" w:cs="宋体"/>
                <w:i w:val="0"/>
                <w:iCs w:val="0"/>
                <w:color w:val="auto"/>
                <w:sz w:val="18"/>
                <w:szCs w:val="18"/>
                <w:highlight w:val="none"/>
                <w:u w:val="none"/>
              </w:rPr>
            </w:pPr>
          </w:p>
        </w:tc>
      </w:tr>
      <w:tr w14:paraId="0C47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D7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DCFBF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可视化管理平台软件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AFF06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★1．软件具备严格分级权限控制可通过256位无线加密技术与控制主机进行通讯，根据用户程序设定的 Join Number 发送对应的指令，使控制主机在接收指令后执行相应的控制命令，从而实现人机交互控制功能;对软件进行严格分级权限管理控制。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2．软件具备自定义模块功能可根据现场情况编写各种满足功能需求的程序;对不同场景定义不同功能模块;可自定义软件 LOGO、背景、所控制设备名称、排序、界面位置。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3．软件具备分组管理功能可对不同的显示单元进行分组管理，各组间互不干扰，可显示相同或不同的内容。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4．软件支持可通过信号预览窗口或信号列表选择输入信号源。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5．软件支持展示所有显示单元的回显信号;回显信号可根据需求设置不同分辨率。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★6．软件支持操作按钮包括全屏、单屏、四分屏、九分屏、十六分屏、128 分屏、一键清屏、自定义分屏的操作按钮。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7．软件可根据现场情况将信号源拖至显示单元，并可进行开窗、漫游、叠加、画中画、画外画、拉伸操作。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8．软件支持一键调用根据不同的需求进行不同的场景存储，需要时一键调用。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9．软件可对周边设备(如灯光、窗帘、空调、电视)进行相应控制制。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10．软件支持在多操作系统平台编辑可编辑不同操作系统(包括:Windows、ioS、Android)上应用的CVS操作平台。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11．软件需具备信息安全性、可靠性、维护性、易用性、可移植性。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12．软件可运行于Windows平台上，使用C++语言开发。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★13．提供完全体现以上参数的第三方软件测试报告复印件并加盖生产制造厂商公章。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5DAC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5127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908DF7A">
            <w:pPr>
              <w:jc w:val="center"/>
              <w:rPr>
                <w:rFonts w:hint="eastAsia" w:ascii="宋体" w:hAnsi="宋体" w:eastAsia="宋体" w:cs="宋体"/>
                <w:i w:val="0"/>
                <w:iCs w:val="0"/>
                <w:color w:val="auto"/>
                <w:sz w:val="18"/>
                <w:szCs w:val="18"/>
                <w:highlight w:val="none"/>
                <w:u w:val="none"/>
              </w:rPr>
            </w:pPr>
          </w:p>
        </w:tc>
      </w:tr>
      <w:tr w14:paraId="3448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E9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D7F0C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交互控制面板终端</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11CE6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13.3英寸，液晶交互面板，电容触摸屏，与多媒体智能终端配合使用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显示背景、操作界面和功能按键可自定义编程配置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支持IP语音对讲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网络远程配置</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CEBE1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F49C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FBD5C2">
            <w:pPr>
              <w:jc w:val="center"/>
              <w:rPr>
                <w:rFonts w:hint="eastAsia" w:ascii="宋体" w:hAnsi="宋体" w:eastAsia="宋体" w:cs="宋体"/>
                <w:i w:val="0"/>
                <w:iCs w:val="0"/>
                <w:color w:val="auto"/>
                <w:sz w:val="18"/>
                <w:szCs w:val="18"/>
                <w:highlight w:val="none"/>
                <w:u w:val="none"/>
              </w:rPr>
            </w:pPr>
          </w:p>
        </w:tc>
      </w:tr>
      <w:tr w14:paraId="0FD6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EB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C01C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无线投屏器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BDED2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1、usb无线传屏，支持windows和mac电脑，仅通过usb口，同时完成传输和供电，无线传屏至接收端。一键传屏，无需安装软件。支持对usb传屏器所插电脑的触摸反控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2、支持主流操作系统通过wifi的无线传屏，windows和安卓系统，通过运行应用程序进行镜像传屏；ios,mac通过自带airplay协议实现镜像传屏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3、接收端内置两个wifi模块，一个用于产生热点用于传屏，另外一个用于连接办公室网络，无需连接网线使得连接热点正在传屏的移动终端还能上网，投屏上网两不误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4、接收端内置蓝牙模块，安卓手机在镜像投屏时，可以上网播放在线视频或者在线音乐并能传屏传声音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5、接收端具备联网自动升级功能，能通过网络及时*新内置程序，以及usb传屏器升级包，当把usb传屏器插入接收端usb口时自动升级usb传屏器。方便升级等售后服务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6、具备多种投屏模式，满足各种场合需求，抢占模式和*占模式可以随意切换，可以设置动态投屏码防止投屏事故。可设置竖屏模式，方便手机竖屏满屏传屏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7、内置批注功能，能对传屏画面进行实时批注，并保存本地，u盘或者手机二维码分享多种选择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8、具备管理员功能，提供管理员客户端软件，通过管理员客户端软件可以方便控制投屏端的上下屏操作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9、支持集控部署和管理，支持公网集控服务器部署或者私有网络服务器部署，通过集控管理端，可以对*设备进行设置或者管理，如，设置投屏参数，设置壁纸，推送安装*应用等功能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10、自动重启功能:内置实时时钟模块，确保无互联网状态下，系统时间仍能正常运行，并能在凌晨无投屏状态时自动重启，确保设备365天7x24小时不掉电仍能有效运行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11、兼容miracast和widi功能，接收端运行内置特定程序后，可以支持安卓手机的miracast投屏和笔记本的widi投屏，无需安卓软件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12、支持手机扫码投屏功能，微信，支付宝扫一扫直接进入镜像投屏状态，无需手动连接wifi等其他操作步奏，方便快捷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13、支持跨网段投屏，接收主机与安卓客户端，windows客户端可以处于不同网段，在客户端只需输入接收主机的投屏码即可投屏。投屏码支持动态变化。服务器可以部署在云端或客户内网自建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14、接收主机支持hdmi 2.0 4k60hz输出，支持混合双画面同屏显示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15、具备2个usb口，1个hdmi输出口，1个rj45网口，1个模拟音频输出口，1个VGA输出口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16、支持反镜像功能，在安卓客户端，ios客户端，windows客户端可以反向显示主机的画面，并能触控主机或者投屏到主机的usb传屏电脑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17、可以配合多个标准版组成一传多解决方案，亦可配合windows触控一体机组成一传多解决方案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18、可以配合多个增强版组成智慧教室解决方案，亦可配合windows触控一体机组成智慧教室解决方案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19、提供移动客户端，在移动客户端上可以对主机内容进行实时批注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20、2G内存高配置，配合usb摄像头，可以运行第三方视频会议软件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21、支持vga和hdmi双输出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22、支持连接5G wifi网络进行桥接，提供*好的网络带宽</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8006B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D34F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6644DDC">
            <w:pPr>
              <w:jc w:val="center"/>
              <w:rPr>
                <w:rFonts w:hint="eastAsia" w:ascii="宋体" w:hAnsi="宋体" w:eastAsia="宋体" w:cs="宋体"/>
                <w:i w:val="0"/>
                <w:iCs w:val="0"/>
                <w:color w:val="auto"/>
                <w:sz w:val="18"/>
                <w:szCs w:val="18"/>
                <w:highlight w:val="none"/>
                <w:u w:val="none"/>
              </w:rPr>
            </w:pPr>
          </w:p>
        </w:tc>
      </w:tr>
      <w:tr w14:paraId="7061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5E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76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4K智能会议摄像机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86F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1.4K超高清画面显示: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采用全新一代SONY 1/1.8英寸高品质CMOS，能实现最大4K60超高清分辨率广播及图像画面输出，更加大型场景录制。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2.25倍光学变焦镜头: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搭载25倍超高清光学镜头，支持主流水平视角59.2°，满足更多场景诸如大型大会堂视频会议、阶梯教室黑板板书等真实细节还原。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USB3.0+HDMI+LAN+SDI全接口，丰富的应用场景：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兼容目前主流的所有视频输出接口，HDMI+USB3.0 Type-B+12G-SDI+LAN能同时输出4K60分辨率。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4.低光照：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全新的超高信噪比CMOS图像传感器，可有效降低弱光条件下的图像噪点。 同时应用2D&amp;3D数字降噪，大幅降低图像噪点，即使在超低光照条件下，仍能保持画面干净清晰，图像信噪比高于50dB。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5.红外遥控器信号透传功能：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除了接收自己的红外遥控器信号外，它还可以接收消费者红外遥控器的信号，并通过VISCA 端口发送到视频会议终端。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6.多种视频压缩标准：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不同接口支持YUY2、H265、MJPG、H264多种视频压缩格式。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7.多种网络协议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支持ONVIF、SRT、RTSP、RTMP、Free D、 NDI®|HX3（可选）等网络协议。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8.多种控制协议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支持VISCA（含VISCA Over IP）、PELCO P/D协议、NDI®（可选）协议，支持自动识别协议。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9.内置OLED显示屏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实时显示摄像机IP地址和HDMI输出分辨率。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10.新一代人形+人脸识别跟踪算法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支持智能跟踪、自动取景和手势识别，支持5种手势控制，开启/关闭智能跟踪、自动取景功能，手势切换跟踪目标，自定义追踪大小，通过手势控制放大/缩小镜头倍数。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11.多种安装方式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多种安装方式，可桌面、吸顶、壁挂安装。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617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3F5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37465">
            <w:pPr>
              <w:jc w:val="center"/>
              <w:rPr>
                <w:rFonts w:hint="eastAsia" w:ascii="宋体" w:hAnsi="宋体" w:eastAsia="宋体" w:cs="宋体"/>
                <w:i w:val="0"/>
                <w:iCs w:val="0"/>
                <w:color w:val="auto"/>
                <w:sz w:val="18"/>
                <w:szCs w:val="18"/>
                <w:highlight w:val="none"/>
                <w:u w:val="none"/>
              </w:rPr>
            </w:pPr>
          </w:p>
        </w:tc>
      </w:tr>
      <w:tr w14:paraId="4F66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4C1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F2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4K高清会议摄像机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33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1.镜头变焦:30倍光学变焦 + 12倍数字变焦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2.焦距:F= 4.3 to 129.0mm f=1.6(W)-4.7(T)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3.光圈:自动、手动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4.水平视角:4.9°(T)-70.0°(W)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5.聚焦模式:自动、手动、一键触发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6.数字降噪:2D/3D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7.背光补偿:On/Off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8.平移/俯仰角:+/-178°（平移）, - 30°~+90°（俯仰）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9.平移/俯仰速度:0.1°~180°(平移)，0.1°~120°(俯仰)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10.最低照度:0.35lux/0.005lux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11.信噪比:≥50dB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12.快门速度:1～1/10000秒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13.控制协议:VISCA、PELCO-P/D</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50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A3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974A5">
            <w:pPr>
              <w:jc w:val="center"/>
              <w:rPr>
                <w:rFonts w:hint="eastAsia" w:ascii="宋体" w:hAnsi="宋体" w:eastAsia="宋体" w:cs="宋体"/>
                <w:i w:val="0"/>
                <w:iCs w:val="0"/>
                <w:color w:val="auto"/>
                <w:sz w:val="18"/>
                <w:szCs w:val="18"/>
                <w:highlight w:val="none"/>
                <w:u w:val="none"/>
              </w:rPr>
            </w:pPr>
          </w:p>
        </w:tc>
      </w:tr>
      <w:tr w14:paraId="5C6E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51B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494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高清会议录播一体机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2CF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1、系统结构：一体嵌入式结构；1U机架式全铝机箱；内置2T监控级硬盘；视频采集：硬件采集方式；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2、视频输入接口：5路 HDMI (任意选2路4KP30其余1080P60)；视频输出：1路HDMI、1路VGA；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3、输入分辨率：640x480 ~ 3840*2160，支持自动侦测分辨率及帧率功能，不但支持常见的4k,1080P60/50,1024x768@60fps等常见的分辨率，也支持1080P25/P30等分辨率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4、支持4K H264编码及解码； 录制格式：MP4；网络流煤体延时：＜=１秒；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5、支持1个USB3.0接U盘及移动硬盘，1个USB2.0接鼠标，不用接网络即可直接操控本地回放及文件导出等操作；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6、支持选配外接13寸或23寸触摸屏显示图像及触控，实现所见及所得的导播效果；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7、录播功能：同步录制／同步直播／在线点播／远程导播／本地导播/互动录播；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8、录播模式：多流多画面(资源模式)／单流单画面(电影模式)/单流多画面(画中画)；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9、支持一路rtsp/ts流解码，分辨率支持4k，解码流可进行导播后录制,直播及点播，支持解码流全屏显示及声音单独输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10、支持rtmp/http ts/udp ts/rtsp直播协议，内嵌rtmp server功能，不需要安装fms/red5等服务端软件直接实现网页直播；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11、支持浏览器直接观看直播并不用装插件，支持html5点播；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12、提供远程导播软件，可实时监控4画面并实时导播一路导播流，并实时录制，且同时支持网页按纽导播；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13、支持叠加4行字幕，每行字幕可设置开关，字体大小，色彩，坐标，并能支持中英文；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14、支持透明背景logo图片叠加，支持自动叠片头片尾；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15、每路录制文件及直播流均支持1080p60帧H264 HP5.0编码，帧率提高一倍从而可使效果得到极大的提升，彻底消灭切帧现象；HDMI支持4k分辨率及4k分辨率直播，录制及点播；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16、支持开机就录，硬盘录满会自动循环覆盖时间最老文件，支持自动分段且分段时间可设置，彻底实现无人值守的全自动录播；支持ftp自动上传至指定帐号及密码的ftp服务器；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17、程序固化在内置芯片中，稳定高效，使用嵌入式Linux系统，不会中毒，可随时断电及长时间开机。用户可自行安装硬盘，彻底摆脱售后烦恼；支持MP4录制实时保护，断电文件可自动恢复；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18、支持多级用户管理，分管理员用户和一般用户；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19、提供android及apple版本的APP，APP用户及密码由管理员设置，支持200+用户，APP支持实时观看直播及vod点播，端对端延时小于3秒，观看页面可直接切换任意通道观看；</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98B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F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499F">
            <w:pPr>
              <w:jc w:val="center"/>
              <w:rPr>
                <w:rFonts w:hint="eastAsia" w:ascii="宋体" w:hAnsi="宋体" w:eastAsia="宋体" w:cs="宋体"/>
                <w:i w:val="0"/>
                <w:iCs w:val="0"/>
                <w:color w:val="auto"/>
                <w:sz w:val="18"/>
                <w:szCs w:val="18"/>
                <w:highlight w:val="none"/>
                <w:u w:val="none"/>
              </w:rPr>
            </w:pPr>
          </w:p>
        </w:tc>
      </w:tr>
      <w:tr w14:paraId="598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95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B8CC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会议录播软件</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C7BB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手动、自动、定时等录播方式：由管理人员在导播界面进行切换控制；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C22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084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FDA6">
            <w:pPr>
              <w:jc w:val="center"/>
              <w:rPr>
                <w:rFonts w:hint="eastAsia" w:ascii="宋体" w:hAnsi="宋体" w:eastAsia="宋体" w:cs="宋体"/>
                <w:i w:val="0"/>
                <w:iCs w:val="0"/>
                <w:color w:val="auto"/>
                <w:sz w:val="18"/>
                <w:szCs w:val="18"/>
                <w:highlight w:val="none"/>
                <w:u w:val="none"/>
              </w:rPr>
            </w:pPr>
          </w:p>
        </w:tc>
      </w:tr>
      <w:tr w14:paraId="7F99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C8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C2DA4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专用线材、插件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B936D8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HDMI2.0高清线材，视频会议连接线，电源线等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2C2D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A14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26F7B09">
            <w:pPr>
              <w:jc w:val="center"/>
              <w:rPr>
                <w:rFonts w:hint="eastAsia" w:ascii="宋体" w:hAnsi="宋体" w:eastAsia="宋体" w:cs="宋体"/>
                <w:i w:val="0"/>
                <w:iCs w:val="0"/>
                <w:color w:val="auto"/>
                <w:sz w:val="18"/>
                <w:szCs w:val="18"/>
                <w:highlight w:val="none"/>
                <w:u w:val="none"/>
              </w:rPr>
            </w:pPr>
          </w:p>
        </w:tc>
      </w:tr>
      <w:tr w14:paraId="1BB6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30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129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线管</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DE3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镀锌金属线管,口径25mm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466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E31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9480A">
            <w:pPr>
              <w:jc w:val="center"/>
              <w:rPr>
                <w:rFonts w:hint="eastAsia" w:ascii="宋体" w:hAnsi="宋体" w:eastAsia="宋体" w:cs="宋体"/>
                <w:i w:val="0"/>
                <w:iCs w:val="0"/>
                <w:color w:val="auto"/>
                <w:sz w:val="18"/>
                <w:szCs w:val="18"/>
                <w:highlight w:val="none"/>
                <w:u w:val="none"/>
              </w:rPr>
            </w:pPr>
          </w:p>
        </w:tc>
      </w:tr>
      <w:tr w14:paraId="7A8C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CE5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64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673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国标2x2.0mm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4FE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179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C366">
            <w:pPr>
              <w:jc w:val="center"/>
              <w:rPr>
                <w:rFonts w:hint="eastAsia" w:ascii="宋体" w:hAnsi="宋体" w:eastAsia="宋体" w:cs="宋体"/>
                <w:i w:val="0"/>
                <w:iCs w:val="0"/>
                <w:color w:val="auto"/>
                <w:sz w:val="18"/>
                <w:szCs w:val="18"/>
                <w:highlight w:val="none"/>
                <w:u w:val="none"/>
              </w:rPr>
            </w:pPr>
          </w:p>
        </w:tc>
      </w:tr>
      <w:tr w14:paraId="1BFE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C1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0EEB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音频接插线缆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DE7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卡侬成品线缆、3.5音频信号线、欧插头、电源插头等</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F20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D7C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5B51">
            <w:pPr>
              <w:jc w:val="center"/>
              <w:rPr>
                <w:rFonts w:hint="eastAsia" w:ascii="宋体" w:hAnsi="宋体" w:eastAsia="宋体" w:cs="宋体"/>
                <w:i w:val="0"/>
                <w:iCs w:val="0"/>
                <w:color w:val="auto"/>
                <w:sz w:val="18"/>
                <w:szCs w:val="18"/>
                <w:highlight w:val="none"/>
                <w:u w:val="none"/>
              </w:rPr>
            </w:pPr>
          </w:p>
        </w:tc>
      </w:tr>
      <w:tr w14:paraId="04E8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33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8E0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设备机柜</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775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16U根据系统需求定制，工艺木质机柜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FE7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02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74D2">
            <w:pPr>
              <w:jc w:val="center"/>
              <w:rPr>
                <w:rFonts w:hint="eastAsia" w:ascii="宋体" w:hAnsi="宋体" w:eastAsia="宋体" w:cs="宋体"/>
                <w:i w:val="0"/>
                <w:iCs w:val="0"/>
                <w:color w:val="auto"/>
                <w:sz w:val="18"/>
                <w:szCs w:val="18"/>
                <w:highlight w:val="none"/>
                <w:u w:val="none"/>
              </w:rPr>
            </w:pPr>
          </w:p>
        </w:tc>
      </w:tr>
      <w:tr w14:paraId="57F8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E8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01中会议室（79.6㎡）多媒体设备</w:t>
            </w:r>
          </w:p>
        </w:tc>
      </w:tr>
      <w:tr w14:paraId="0D41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98B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645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全频会议扬声器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D7B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1、类型：双5.5寸全频音箱;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2、频率响应：不窄于60Hz-20KHz;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3、灵敏度（1W/1M）：≥88dB;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4、指向性：60°×60°;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5、功率：≥100W/≥200W;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6、最大声压级：≥113dB;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7、额定定阻：8Ω;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8、配置：LF：不少于2×5.5"，HF：不少于1×3/4"钛质圆顶罩;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9、分频点：2.3KHz;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10、安装方式：可独立、可堆叠组合；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★11、提供CNAS出具的产品检验报告证书复印件，并加盖厂商公章；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★12、为确保扬声器的稳定性，投标时需提供带“消声室校准证书”的技术文件，加盖厂家公章。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D9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0D5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4ED5A">
            <w:pPr>
              <w:rPr>
                <w:rFonts w:hint="eastAsia" w:ascii="宋体" w:hAnsi="宋体" w:eastAsia="宋体" w:cs="宋体"/>
                <w:i w:val="0"/>
                <w:iCs w:val="0"/>
                <w:color w:val="auto"/>
                <w:sz w:val="18"/>
                <w:szCs w:val="18"/>
                <w:highlight w:val="none"/>
                <w:u w:val="none"/>
              </w:rPr>
            </w:pPr>
          </w:p>
        </w:tc>
      </w:tr>
      <w:tr w14:paraId="063E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24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BAF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扬声器功放</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501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1、立体声功率4Ω：750W/立体声功率8Ω：500W/桥接模式8Ω：1000W;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2、频率响应(1 W)：20Hz-20kHz, +0/-1dB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3、总谐波失真 (THD)：&lt;0.5%, 20 Hz - 20 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4、互调失真(IMD)：≤0.35%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5、转换速率：&gt;10V/us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6、电压增益：31dB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7、阻尼系数 (8Ω), 10Hz - 400Hz：&gt;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8、信噪比：&gt;100 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9、串扰：-75 dB（1kHz），-59 dB（20kHz）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10、输入灵敏度(额定功率8Ω)：0.775V or 1.4V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11、输入阻抗(额定)：20KΩ（平衡）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★12、保护：防止短路、空载、开/关机噪音、无线电干扰保护电路，(提供设备电气原理图加盖厂家公章佐证，并提供带有CMA、ILAC-MRA、CNAS标识的第三方检测报告，加盖厂家公章，必要时官网可查询);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13、通风：由前往后的空气对流机制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14、冷却：内部空气强排散热，风扇冷却，快速调节，温度保护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★15、为保证扩声系统的兼容性，扬声器需与功放为同一品牌。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EF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7C6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DF67">
            <w:pPr>
              <w:rPr>
                <w:rFonts w:hint="eastAsia" w:ascii="宋体" w:hAnsi="宋体" w:eastAsia="宋体" w:cs="宋体"/>
                <w:i w:val="0"/>
                <w:iCs w:val="0"/>
                <w:color w:val="auto"/>
                <w:sz w:val="18"/>
                <w:szCs w:val="18"/>
                <w:highlight w:val="none"/>
                <w:u w:val="none"/>
              </w:rPr>
            </w:pPr>
          </w:p>
        </w:tc>
      </w:tr>
      <w:tr w14:paraId="5C97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7C2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3F8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调音台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B74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1.8路单声道话筒输入，2路立体声输入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2.每分路设有单独电平显示分路输出信号大小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3.每分路输入信号一键衰减功能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4.带48V幻象电源,每分路设有48V独立开关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5.每分路均衡带中音扫频功能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6.3路AUX辅助输出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7.内置双效果器，分别使用24种DSP人声效果和8种DSP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乐器效果，且每种效果参数单独可调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8.每分路设有独立静音按键并且带LED灯双色显示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9.每路监听按键带LED灯显示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10.100mm行程高精度推子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11.MP3通道有独立的增益控制输入信号大小以及设有高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中低三段均衡可调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12.带声卡功能，可连接电脑/手机信号播录功能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13.带蓝牙和USB录音功能的MP3播放器</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53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B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2B70">
            <w:pPr>
              <w:rPr>
                <w:rFonts w:hint="eastAsia" w:ascii="宋体" w:hAnsi="宋体" w:eastAsia="宋体" w:cs="宋体"/>
                <w:i w:val="0"/>
                <w:iCs w:val="0"/>
                <w:color w:val="auto"/>
                <w:sz w:val="18"/>
                <w:szCs w:val="18"/>
                <w:highlight w:val="none"/>
                <w:u w:val="none"/>
              </w:rPr>
            </w:pPr>
          </w:p>
        </w:tc>
      </w:tr>
      <w:tr w14:paraId="6E12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6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02BD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网络音频媒体处理中心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A37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1.DSP芯片：Ti 450MHz FLOPS双核；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2.支持USB2.0 录制/播放；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3.支持中控指令集生成器；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4.核心算法：反馈消除（AFC），回声消除 (AEC)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5.输入处理：前级放大、信号发生器、扩展器、压缩器、5段参量均衡、反相、自动增益、自动混音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6.输出处理：31段图示均衡器、延时器、分频器、高低通滤波器、限幅器、反相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7.矩阵混音：输入和输出信号矩阵式混音，混音分量控制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8.支持自动摄像跟踪功能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★9.场景预设：100组自定义设置(提供带有CMA、ILAC-MRA、CNAS标识的第三方检测报告，加盖厂家公章，必要时官网可查询)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10.端口配置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不少于8路模拟输入通道，不少于8路模拟输出通道；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不少于1个Ethernet控制端口；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不少于1个RS232和1个RS485；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不少于8路GPIO；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11.支持WIFI联机；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★12.输入增益放大不少于-24～27dB，3dB共17级；(提供带有CMA、ILAC-MRA、CNAS标识的第三方检测报告，加盖厂家公章，必要时官网可查询)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13.支持平衡/非平衡,输入/输出；支持MIC\LINE,输入/输出；每路独立48V幻象供电开关；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14.软件及操作系统：控制处理软件及APP/Windows32位/Windows64位/IOS/android/机器内置客户端，支持联机下载.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★15.为保证系统的稳定性及兼容性，生产厂家须提供两化融合管理体系评定证书，加盖厂家公章。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401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7E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45C8">
            <w:pPr>
              <w:rPr>
                <w:rFonts w:hint="eastAsia" w:ascii="宋体" w:hAnsi="宋体" w:eastAsia="宋体" w:cs="宋体"/>
                <w:i w:val="0"/>
                <w:iCs w:val="0"/>
                <w:color w:val="auto"/>
                <w:sz w:val="18"/>
                <w:szCs w:val="18"/>
                <w:highlight w:val="none"/>
                <w:u w:val="none"/>
              </w:rPr>
            </w:pPr>
          </w:p>
        </w:tc>
      </w:tr>
      <w:tr w14:paraId="7B5A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5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7C0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智能电源时序器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0A62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1、彩屏显示：2寸彩色TFT屏幕，系统支持中英文显示，可实时显示当前电压、日期时间、通道开关状态、场景模式与级联状态，让时序器工作状态更加清晰直观。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2、快捷导航键：通过转动EDIT键可对参数进行设置，一键操作，方便快捷。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3、八路通道：每通道延时开启/关闭（时间可设置为0-999秒），防止电流冲击，捍卫设备安全。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4、定时器：内置时钟芯片，可根据时间定时设置智能自动开关机。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5、智能保护：过压/欠压保护，可自定义保护值，能够避免电压不稳定造成的设备损坏。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6、场景调用：保存/调用模式，可以设置10组场景模式。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7、外接控制：外接无锁I/O开关，轻松实现远程开关。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8、级联/中控：通过RS485接口可以将多台时序器级联并自动编号，通过RS232接口与中控设备连接，实现统一管理、控制。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9、万用插座：纯铜万用插口设计，满足不同标准的插头，电流传输稳定。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10、纯铜电缆：电流负载强，不容易过热、软化。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11、输入电压：AC220V/50Hz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12、额定功率：6000W   3*4.0平方交流电源线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13、单路输出最大电流：16A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14、USB DC 5V 800mA供电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15、显示方式：320*240 TFT屏幕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16、输入方式：3*4.0平方交流电源线，不带插头，可与空气开关连接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17、输出方式：8路电源输出，标准通用三芯插座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18、欠压过压保护：欠压（120-190V） 过压（240-290V）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19、定时设置：每日/每周重复开关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★20、提供带有CMA、ILAC-MRA、CNAS标识的第三方检测报告，加盖厂家公章，必要时官网可查询</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7B4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5F0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97D27">
            <w:pPr>
              <w:rPr>
                <w:rFonts w:hint="eastAsia" w:ascii="宋体" w:hAnsi="宋体" w:eastAsia="宋体" w:cs="宋体"/>
                <w:i w:val="0"/>
                <w:iCs w:val="0"/>
                <w:color w:val="auto"/>
                <w:sz w:val="18"/>
                <w:szCs w:val="18"/>
                <w:highlight w:val="none"/>
                <w:u w:val="none"/>
              </w:rPr>
            </w:pPr>
          </w:p>
        </w:tc>
      </w:tr>
      <w:tr w14:paraId="658D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87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B1A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双通道无线手持话筒</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56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1、本系列是一款双通道真分集无线麦克风，真分集的接收方式更稳定，自动选讯，消除接收死角，避免断频现象发生；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2、专业支持演讲以及室外演唱机型，UHF真分集，确保远距离有效接收，可视距离约300M左右，配合天线分配器、放大器使用，距离可达400M左右；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3、IRA红外线自动锁频功能和手动备份功能，操作简单、快捷并有安全保证；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4、调制方式： 宽带调频；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5、频率范围： 600-900MHZ；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6、信道数目：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7、频率稳定度： ±0.005%；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8、动态范围： 100dB；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9、最大偏差： ±48KHZ，水平限度；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10、音频频率响应： 40HZ-18KHZ(±3dB)；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11、信噪比： 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12、接收方式：  自动调频；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13、震荡方式： PLL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14、手持麦克风内置螺旋天线，腰挂发射器采用1/4波长鞭状天线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15、拾音头： 动圈式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16、工作时间： 高功率不低于6小时，低功率不低于10个小时；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E0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9A5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D12D">
            <w:pPr>
              <w:rPr>
                <w:rFonts w:hint="eastAsia" w:ascii="宋体" w:hAnsi="宋体" w:eastAsia="宋体" w:cs="宋体"/>
                <w:i w:val="0"/>
                <w:iCs w:val="0"/>
                <w:color w:val="auto"/>
                <w:sz w:val="18"/>
                <w:szCs w:val="18"/>
                <w:highlight w:val="none"/>
                <w:u w:val="none"/>
              </w:rPr>
            </w:pPr>
          </w:p>
        </w:tc>
      </w:tr>
      <w:tr w14:paraId="0A13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771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426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数字无线会议系统主机</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F71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1.基于全数字网络技术方案开发，具备时钟同步与传输技术、WIFI无线通讯技术，音频传输延时≤5ms，支持全数字有线会议单元与5G WIFI加密无线会议单元同时使用。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6种会议发言模式：FIFO（先进先出模式）、NORMAL（轮流发言模式）、FREE（自由发言模式）、APPLY（申请发言模式）、VOICE（声控发言模式）、LIMIT（限时发言模式），最大同时发言人数可设置26支，支持16支有线会议单元与10支无线会议单元同时发言，发言人数在预设范围内可任意设定，有线单元发言人数可设置为1至16之间的任意数量，无线单元发言人数可设置为1至10之间的任意数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3.系统具有65535支会议单元ID容量，可任意搭配全数字有线会议单元、翻译单元或5G WIFI加密无线会议单元接入使用。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4.具有AP信道扫描功能，可扫描查看现场在线AP名称与无线信道的使用情况，支持手动选择或自动配置优质信道。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5.音频输出接口：1组RCA座、1路卡侬头、2路LINE-OUT凤凰座，每个音频输出通道均具备独立的10段EQ调节、30级音量dB值调节、200级延时器调节功能。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6.具有1路TCP/IP网络控制接口、1路KEYBOARD摄像机键盘控制接口、1路ALARM消防报警联动触发接口，1路RS485摄像机控制接口，1路RS232-COM控制接口、1路RS232-PC控制接口。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ALARM消防报警联动触发接口，可对接火灾自动报警系统或连接烟雾报警器，当消防联动信号或报警器信号触发时，系统立即自动终止会议的功能操作，会议主机、会议单元与翻译单元界面同步显示消防警报提示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8.具有RS485摄像机控制接口，主机具备预置位发言跟踪功能，支持PELCO-D、PELCO-P、VISCA控制协议，最大支持同时连接16台摄像机进行预置位发言跟踪。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5寸全彩触控屏，提供会议模式、签到表决、无线控制、USB录播、主题风格、云球控制、音频控制、ID配置、系统设置、系统状态功能控制菜单；可通过主机触控屏实现选择会议模式、有线单元与无线单元开启数量，发起与结束签到、表决进程，一键关闭全部WIFI无线会议单元功能，控制USB录音与USB播放功能，切换单元主题风格界面，配置会议摄像机预置位与关联会议单元ID设置，调节LINE-OUT音频输出接口的音量大小，配置会议单元ID，切换系统语言、设置系统时间、调节显示亮度、查看本机IP信息、设置双机备份功能、查看主机注册状态，查询在线单元的类型与数量信息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10.系统预设4种语言：中、英、俄、法，可根据会议需求进行切换。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11.具有主机注册功能，可通过触控屏或PC软件输入注册码进行主机注册，可查看主机注册状态。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★12.系统具备有线同声传译功能，支持同时传输69+1通道同声传译音频，可通过有线会议单元进行选择收听。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13.具有双机热备份功能，会议主机可设置为主用机或备用机，当主用机出现故障时，系统可自动切换至备用机运行。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14.工作电源：AC 100-120V/200-240V 50-60Hz by switch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15.会议单元容量：65535支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16.USB接口：USB*1，支持U盘录音与音频播放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17.显示屏：5寸，IPS全彩触控屏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18.频率响应：20Hz-20KHz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19.总谐波失真：≤0.05%@1KHz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9B4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D9C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18A44">
            <w:pPr>
              <w:rPr>
                <w:rFonts w:hint="eastAsia" w:ascii="宋体" w:hAnsi="宋体" w:eastAsia="宋体" w:cs="宋体"/>
                <w:i w:val="0"/>
                <w:iCs w:val="0"/>
                <w:color w:val="auto"/>
                <w:sz w:val="18"/>
                <w:szCs w:val="18"/>
                <w:highlight w:val="none"/>
                <w:u w:val="none"/>
              </w:rPr>
            </w:pPr>
          </w:p>
        </w:tc>
      </w:tr>
      <w:tr w14:paraId="078D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6C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86D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数字会议主席单元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C02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34.主席单元具有优先发言与会议控制功能，发言不受发言模式与发言人数限制，可批准代表单元发言申请，可关闭正在发言的代表单元，可发起与结束会议签到进程，可发起与结束三键表决进程。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E3B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89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954F">
            <w:pPr>
              <w:rPr>
                <w:rFonts w:hint="eastAsia" w:ascii="宋体" w:hAnsi="宋体" w:eastAsia="宋体" w:cs="宋体"/>
                <w:i w:val="0"/>
                <w:iCs w:val="0"/>
                <w:color w:val="auto"/>
                <w:sz w:val="18"/>
                <w:szCs w:val="18"/>
                <w:highlight w:val="none"/>
                <w:u w:val="none"/>
              </w:rPr>
            </w:pPr>
          </w:p>
        </w:tc>
      </w:tr>
      <w:tr w14:paraId="5365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C7F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F88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数字会议代表单元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4C8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CD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648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CC899">
            <w:pPr>
              <w:rPr>
                <w:rFonts w:hint="eastAsia" w:ascii="宋体" w:hAnsi="宋体" w:eastAsia="宋体" w:cs="宋体"/>
                <w:i w:val="0"/>
                <w:iCs w:val="0"/>
                <w:color w:val="auto"/>
                <w:sz w:val="18"/>
                <w:szCs w:val="18"/>
                <w:highlight w:val="none"/>
                <w:u w:val="none"/>
              </w:rPr>
            </w:pPr>
          </w:p>
        </w:tc>
      </w:tr>
      <w:tr w14:paraId="6C03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22D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9DFF9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智能反馈抑制器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0474A8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1、具有一键全自动检测现场啸叫点功能,通过DSP系统对声音进行过滤，低音补偿自动混音、智能高速反馈处理；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2、全数字化最大限度消除回输，同时使用多个话筒时，自动适应声学环境，无需调试，快速校正功能，保证音质，减少延时；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3、四通道信号输入，满足更大的需求；高中低三档输入电平选择，防止峰值输入失真，有效增加话筒拾音距离。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4、额定电压：220V~10%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5、幻像供电：48V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6、取样频率：32KHz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7、频率响应：125Hz~15KHz(语音模式)   20Hz~15KHz(音乐模式)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8、失真度：&lt;0.1%@1KHz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9、信噪比：&gt;90dB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10、信号延迟：7ms(音乐模式)    11ms(语音模式)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11、输入阻抗：20K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12、输出阻抗（平衡）：200Ω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1A170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CCC0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690E33A">
            <w:pPr>
              <w:rPr>
                <w:rFonts w:hint="eastAsia" w:ascii="宋体" w:hAnsi="宋体" w:eastAsia="宋体" w:cs="宋体"/>
                <w:i w:val="0"/>
                <w:iCs w:val="0"/>
                <w:color w:val="auto"/>
                <w:sz w:val="18"/>
                <w:szCs w:val="18"/>
                <w:highlight w:val="none"/>
                <w:u w:val="none"/>
              </w:rPr>
            </w:pPr>
          </w:p>
        </w:tc>
      </w:tr>
      <w:tr w14:paraId="0D18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6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6217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会议专用充电箱</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3B2E8F">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1.具有20路5V USB充电接口，单路输出电流峰值：2.4A，可根据设备电量自动调整电流，输出总电流峰值：40A，支持同时插满全部USB接口，供设备批量充电。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2.具有数码屏可显示设备输出电压，每路USB接口配置独立的LED充电状态指示灯，充电时亮红灯，充满时亮蓝灯，空载时不亮灯，可直观显示每个USB接口的充电状态。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3.内置PWM电源管理芯片，自动检测充电状态，充满后自动断电。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4.支持PD快充协议，智能识别、智能分流、智能快充，自动调整输出电流，支持无线会议单元快速充电。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5.具有自动检测过压保护、过流保护、过充保护、短路保护、自动恢复等多种智能安全防护，支持无线会议单元安全充电。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6.电源输入：AC 200-240V 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7.输出接口：USB*20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8.单口输出电压：DC 5V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9.单口输出电流峰值：2.4A</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9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D3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0873">
            <w:pPr>
              <w:rPr>
                <w:rFonts w:hint="eastAsia" w:ascii="宋体" w:hAnsi="宋体" w:eastAsia="宋体" w:cs="宋体"/>
                <w:i w:val="0"/>
                <w:iCs w:val="0"/>
                <w:color w:val="auto"/>
                <w:sz w:val="18"/>
                <w:szCs w:val="18"/>
                <w:highlight w:val="none"/>
                <w:u w:val="none"/>
              </w:rPr>
            </w:pPr>
          </w:p>
        </w:tc>
      </w:tr>
      <w:tr w14:paraId="73CA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BD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D90C5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无线会议专用天线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24004E9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1.5G WIFI加密无线会议专用AP与全数字会议系统主机通过网线连接，用于5G WIFI加密无线会议单元通过WIFI无线网络接入全数字会议系统，单个AP支持接入128支无线会议单元。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2.具有双空间流双频并发技术，无线传输速率：1.8Gbps（2.4GHz传输速率：600Mbps，5GHz传输速率：1.2Gbps）。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3.内置高功率FEM与4组双频铜片天线，WIFI信号覆盖范围半径：25米。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4.采用802.11ax标准（WIFI-6）无线网络技术，同时兼容802.11b/a/g/n/ac标准传输协议，具有高带宽、高容量、低延时、低功耗特性。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5.支持OPEN、WEP、WPA/WPA2/WPA3、WPA/WPA2/WPA3-PSK、802.11i等多种认证与加密协议标准，提高会议的安全性与私密性。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6.具有自动调整信道功能，可自动扫描应用环境中的WIFI信道使用情况并选择优质信道，智能动态调节WIFI发射功率。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7.支持自定义设置设备SSID名称，可设置隐藏设备SSID名称。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8.具有MAC地址过滤功能，可防止未经授权的访问。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9.支持通过连接AC控制器实现多AP组网模式，提高无线会议单元的接入容量，覆盖更大的应用范围，具备智能漫游功能，无线会议单元在WIFI信号覆盖范围内，可实现不同AP之间的无缝漫游。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10.安装方式：平放式、壁挂式、吸顶式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1FFD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F65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F9E0CDA">
            <w:pPr>
              <w:rPr>
                <w:rFonts w:hint="eastAsia" w:ascii="宋体" w:hAnsi="宋体" w:eastAsia="宋体" w:cs="宋体"/>
                <w:i w:val="0"/>
                <w:iCs w:val="0"/>
                <w:color w:val="auto"/>
                <w:sz w:val="18"/>
                <w:szCs w:val="18"/>
                <w:highlight w:val="none"/>
                <w:u w:val="none"/>
              </w:rPr>
            </w:pPr>
          </w:p>
        </w:tc>
      </w:tr>
      <w:tr w14:paraId="3BAB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44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58CE5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LED显示屏</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8A6965F">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1.像素点间距：≤1.25mm；显示尺寸：宽度≥3.94米，高度≥2.18米；</w:t>
            </w:r>
          </w:p>
          <w:p w14:paraId="5082087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2.模组尺寸：150mm*168.75mm；</w:t>
            </w:r>
          </w:p>
          <w:p w14:paraId="5655B28D">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封装技术：RGB三合一全倒装共阴COB工艺，晶片无键合引线连接(晶圆倒置，无线焊接封装工艺并采用表面封装技术),COB封装工艺micro级芯片，芯片级封装，共阴驱动，R、G、B三色芯片单独封装在PCB板上，晶圆倒置，平面封装，无点状、面状及凸点造型，树脂一次性整体灌封，无像素独立、二次灌封：屏体表面哑光涂层设计，有效消除炫光及抑制摩尔纹；</w:t>
            </w:r>
          </w:p>
          <w:p w14:paraId="05BD186D">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4.高分子材料：模组面用高分子材料，透光率高达60％，发光芯片光损耗 ，达到低耗低温升效果；</w:t>
            </w:r>
          </w:p>
          <w:p w14:paraId="3ECD46E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5.COB面板耐磨性：RCA纸带摩擦试验，用RCA专用纸带，以固定275g重量施加在COB面板上面，速度：16转/min,试验圈数：150次；试验后COB面板外观结构和功能均正常；</w:t>
            </w:r>
          </w:p>
          <w:p w14:paraId="767F8A80">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6.信号衰减：≤200mV；</w:t>
            </w:r>
          </w:p>
          <w:p w14:paraId="4EB0E673">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★7.安全要求：符合GB 4793.1-2007测量、控制和实验室用电气设备的安全要求第1部分：通用要求规定；</w:t>
            </w:r>
          </w:p>
          <w:p w14:paraId="655F9C61">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8.色度补偿：在最常规的白场应用场景下，具有白场亮色度补偿技术，能够快速准确地对当前LED显示屏亮色度进行补偿，使显示屏白场亮色度达到目标状态；</w:t>
            </w:r>
          </w:p>
          <w:p w14:paraId="00436166">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9.延迟时间：≤1帧，降低视频源播放延迟效果；</w:t>
            </w:r>
          </w:p>
          <w:p w14:paraId="4BB3E891">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10.纹波及噪音：≤180mVp-p；</w:t>
            </w:r>
          </w:p>
          <w:p w14:paraId="548C0797">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11.色彩还原能力：≥16.7M；</w:t>
            </w:r>
          </w:p>
          <w:p w14:paraId="5720BCB2">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12.蓝光辐射功率：≤0.11W/㎡·sr·nm；</w:t>
            </w:r>
          </w:p>
          <w:p w14:paraId="58E3398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13.显示屏高亮效率：≥99％；</w:t>
            </w:r>
          </w:p>
          <w:p w14:paraId="22E4F035">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14.发光曲线：分段多套校正数据，实现显示自动匹配灰阶校正数据；</w:t>
            </w:r>
          </w:p>
          <w:p w14:paraId="3986C444">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15.单一故障条件测试：模拟单一故障条件下，显示屏无起火和电击的危险发生；</w:t>
            </w:r>
          </w:p>
          <w:p w14:paraId="241AB4F9">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16.防潮与绝缘：调整潮湿试验箱91%RH-95%RH范围内，保持温度20-30℃之间(温度变化不能超过1℃),放置显示屏48小时后，立即进行给样品施加1000V的直流电压，持续时间1min。再测试绝缘电阻，应≥2MΩ；</w:t>
            </w:r>
          </w:p>
          <w:p w14:paraId="40AE885B">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17.蓝光辐射等级：具有蓝光护眼功能，蓝光辐射能量≤20％，符合A级要求；</w:t>
            </w:r>
          </w:p>
          <w:p w14:paraId="00732ECB">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★18.白平衡补偿和修正功能，具有智能的白平衡补偿和修正功能，白平衡点要求，出厂白平衡调校依据标准要求：x=0.313±5％ y=0.329±5％；</w:t>
            </w:r>
          </w:p>
          <w:p w14:paraId="07B77F1F">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为防止供应商虚假应标，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p w14:paraId="4C934125">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★20.为确保LED显示屏工作过程中不对其环境中的其他设备造成电磁干扰，电磁辐射满足AS/NZS CISPR 32:2015的A类电磁兼容性等级认证，提供证书复印件加盖LED显示屏生产企业公章佐证。</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9CB4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18D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0D9F35">
            <w:pPr>
              <w:rPr>
                <w:rFonts w:hint="eastAsia" w:ascii="宋体" w:hAnsi="宋体" w:eastAsia="宋体" w:cs="宋体"/>
                <w:i w:val="0"/>
                <w:iCs w:val="0"/>
                <w:color w:val="auto"/>
                <w:sz w:val="18"/>
                <w:szCs w:val="18"/>
                <w:highlight w:val="none"/>
                <w:u w:val="none"/>
              </w:rPr>
            </w:pPr>
          </w:p>
        </w:tc>
      </w:tr>
      <w:tr w14:paraId="4E1C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A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590CE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77068E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1、支持1路DP1.4、1路HDMI 2.0输入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2、支持2路HDMI 1.4和2路DVI输入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3、支持最大带载1048万像素，最宽16384像素，或最高8192像素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4、支持最大输入分辨率4096×2160@60Hz，支持自定义分辨率设置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5、支持16路千兆网口输出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6、支持对视频信号任意切换，裁剪，拼接，缩放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7、支持6画面显示，位置，大小可自由调节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8、支持精确颜色管理，调整显示屏色域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9、支持视频同步锁相技术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10、支持独立音频输入输出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11、支持HDMI和DP音频解析输出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12、支持LAN口控制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13、支持手机端APP控制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14、支持RS232串口协议控制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16、支持亮度和色温调节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18、支持亮度和色温调节</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ED412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6BA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10234E2">
            <w:pPr>
              <w:rPr>
                <w:rFonts w:hint="eastAsia" w:ascii="宋体" w:hAnsi="宋体" w:eastAsia="宋体" w:cs="宋体"/>
                <w:i w:val="0"/>
                <w:iCs w:val="0"/>
                <w:color w:val="auto"/>
                <w:sz w:val="18"/>
                <w:szCs w:val="18"/>
                <w:highlight w:val="none"/>
                <w:u w:val="none"/>
              </w:rPr>
            </w:pPr>
          </w:p>
        </w:tc>
      </w:tr>
      <w:tr w14:paraId="5C60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4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48E49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543EB4C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1.集成8个HUB75，无需再配转接板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2.单卡最大带载128×1024像素，最多支持16组并行数据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3.支持8bit色深视频源输入输出，单色灰阶为256，可搭配出16777216种混合色彩。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4.支持自适应帧率技术，不仅支持23.98/24/29.97/30/50/59.94/60Hz常规及非整数帧率，还可输出显示120/240Hz高帧率画面，大幅提升画面流畅度、减少拖影。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5.支持色温调节，提供调整色温，即饱和度调节，增强画面表现力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6.支持低亮高灰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8.支持箱体标定和快速标序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9.支持画面旋转，单个箱体画面以90°/180°/270°角度进行旋转，配合部分主控可实现单箱体画面任意角度旋转显示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10.支持数据偏移，支持误码侦测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11.支持环路备份，支持固件备份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★12.提供厂家售后服务承诺书和项目授权书；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★13.8bit 精度的色度，亮度一体化逐点校正，能有效消除灯点色差，保证整屏的颜色亮度的均匀性和一致性，提升整体显示效果。需提供具有CMA、CNAS、ilac-MRA认证标识的第三方厂家检测报告，并加盖供应商公章；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★14.检测接收卡之间数据传输质量和误码情况，可以方便快捷地识别出硬件连接异常的箱体，便于维护，需提供具有CMA、CNAS、ilac-MRA认证标识的第三方厂家检测报告，并加盖供应商公章；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★15.支持一帧延迟，发送端到显示端延迟达到一帧，解决系统延迟导致的画面不同步问题 ，需提供具有CMA、CNAS、ilac-MRA认证标识的第三方厂家检测报告，并加盖供应商公章；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★16.通过对伽马表算法的优化，使得显示屏在降低亮度时能保持灰阶的完整无损失、完美显示，呈现低亮度高灰阶的显示效果；需提供具有CMA、CNAS、ilac-MRA认证标识的第三方厂家检测报告，并加盖供应商公章；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★17.为使画面显示效果更加完美，保持整屏一致性，控制系统具有修缝、十字修复功能，并提供供应商盖鲜章的LED显示屏十字线修复软件著作权证书及LED显示屏专业修缝软件著作证书两种证明文件。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D4093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F790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F7CC807">
            <w:pPr>
              <w:rPr>
                <w:rFonts w:hint="eastAsia" w:ascii="宋体" w:hAnsi="宋体" w:eastAsia="宋体" w:cs="宋体"/>
                <w:i w:val="0"/>
                <w:iCs w:val="0"/>
                <w:color w:val="auto"/>
                <w:sz w:val="18"/>
                <w:szCs w:val="18"/>
                <w:highlight w:val="none"/>
                <w:u w:val="none"/>
              </w:rPr>
            </w:pPr>
          </w:p>
        </w:tc>
      </w:tr>
      <w:tr w14:paraId="4409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F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F35BD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配电柜</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76440A9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PLC智能配电箱，容量30KW。配电箱中配备的保护措施包括过流、缺相、短路、断路、过压、欠压、温度过高等，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0D9A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AC9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053AF90">
            <w:pPr>
              <w:rPr>
                <w:rFonts w:hint="eastAsia" w:ascii="宋体" w:hAnsi="宋体" w:eastAsia="宋体" w:cs="宋体"/>
                <w:i w:val="0"/>
                <w:iCs w:val="0"/>
                <w:color w:val="auto"/>
                <w:sz w:val="18"/>
                <w:szCs w:val="18"/>
                <w:highlight w:val="none"/>
                <w:u w:val="none"/>
              </w:rPr>
            </w:pPr>
          </w:p>
        </w:tc>
      </w:tr>
      <w:tr w14:paraId="6A64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5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9902A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屏体框架</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28CC34C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支撑结构，黑钛拉丝不锈钢工艺包边，上下左右各包边5公分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BC26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98A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119E7EB">
            <w:pPr>
              <w:rPr>
                <w:rFonts w:hint="eastAsia" w:ascii="宋体" w:hAnsi="宋体" w:eastAsia="宋体" w:cs="宋体"/>
                <w:i w:val="0"/>
                <w:iCs w:val="0"/>
                <w:color w:val="auto"/>
                <w:sz w:val="18"/>
                <w:szCs w:val="18"/>
                <w:highlight w:val="none"/>
                <w:u w:val="none"/>
              </w:rPr>
            </w:pPr>
          </w:p>
        </w:tc>
      </w:tr>
      <w:tr w14:paraId="0BC3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12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B9B3A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LED屏综合布线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2CE4412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主电缆线引致屏体内、主网线引至屏体内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A220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24E2C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CA52824">
            <w:pPr>
              <w:rPr>
                <w:rFonts w:hint="eastAsia" w:ascii="宋体" w:hAnsi="宋体" w:eastAsia="宋体" w:cs="宋体"/>
                <w:i w:val="0"/>
                <w:iCs w:val="0"/>
                <w:color w:val="auto"/>
                <w:sz w:val="18"/>
                <w:szCs w:val="18"/>
                <w:highlight w:val="none"/>
                <w:u w:val="none"/>
              </w:rPr>
            </w:pPr>
          </w:p>
        </w:tc>
      </w:tr>
      <w:tr w14:paraId="4965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0CD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FF6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多媒体智能主机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153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★1.接口参数：≥1.7寸液晶面板、≥1路电源指示灯、≥2路网络指示灯、≥1路数据通信指示灯、≥1路红外接收器、≥1路恢复出厂按键；≥5路HDMI IN、≥1路TYPEC接口输入、≥3路HDMI输出、≥1路DP输出、≥1路TYPCC接口模拟UVC、≥1路双声道LINEIN输入、≥1路双声道LINEOUT输出、≥8路凤凰端子48V幻像供电MIC输入、≥1路USB3.0接口、≥2路USB2.0接口、≥8路千兆RJ-45、≥1路AC220V电源接口；（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★2.≥8路RS232、≥2路RS485、≥1路RS422、≥4路IO、≥4路Relay、≥4路IR TX；（需提供CMA、ilac-MRA、CNAS标志的第三方检测报告证明复印件，加盖原厂公章）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3.设备主控芯片支持8路ARMCortexA9内核，主频最大可达到1.1HGz；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8路凤凰端子，同时支持48V幻像供电MIC输入和linein线性输入，支持1对L/R凤凰端子立体声输出，2路50W@8Ω(可定制2*100W8Ω/2*150W8Ω)的数字功放输出;（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处理模块支持自动回声消除（AEC）、自动增益控制（AGC）、自动噪声消除（ANC）、自动反馈消除（AFC）、混音矩阵（AM）、丢包补偿（PLC）；支持2路USB2.0Type-A型，1路USB3.0Type-A型，支持U盘自动拷贝主机录制内容、外置移动硬盘扩展本主机的存储容量、外置光盘刻录光驱、U盘系统强制升级并恢复初始化配置；（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6.内置硬盘，支持本地5路音视频同时录制；支持MP4主流视频压缩格式；支持多路视频流合成录制；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7.内置samba服务器以及ftp服务器可供用户拷贝以及文件传输;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8.支持硬盘存储可选择自动替换日期最早的文件或者手动删除文件，防止硬盘存储满，网页可设置开或关；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9.支持定制重点部分进行马赛克及变声处理，防止出现视频资料外泄，保护隐私；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10.无需外加编、解码器及服务器，即可实现IPC接入及控制，最高可同时支持4路4K@30并且可实时进行录制;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11.内置一块2T硬盘，最高支持8T存储，可切换录制，同时支持配合硬盘服务器进行备份保存；（需提供CMA、ilac-MRA、CNAS标志的第三方检测报告证明复印件，加盖原厂公章）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12.支持1路凤凰端子立体声输出，也可支持2种不同音源输出，2路50W@8欧姆(可定制2*100W8Ω/2*150W8Ω)的数字功放输出；（需提供CMA、ilac-MRA、CNAS标志的第三方检测报告证明复印件，加盖原厂公章）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★13.纯硬件架构集成音频、视频、控制于一体的多媒体管理和处理设备；支持矩阵、拼接、交换机、中控、多画面录播等功能。（需提供CMA、ilac-MRA、CNAS标志的第三方检测报告证明复印件，加盖原厂公章）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★14.AI大模型基座、语音转写主机、多媒体智能主机、综合管理平台、4K@60Hz无损输入输出节点为同一品牌.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C49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057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3155">
            <w:pPr>
              <w:rPr>
                <w:rFonts w:hint="eastAsia" w:ascii="宋体" w:hAnsi="宋体" w:eastAsia="宋体" w:cs="宋体"/>
                <w:i w:val="0"/>
                <w:iCs w:val="0"/>
                <w:color w:val="auto"/>
                <w:sz w:val="18"/>
                <w:szCs w:val="18"/>
                <w:highlight w:val="none"/>
                <w:u w:val="none"/>
              </w:rPr>
            </w:pPr>
          </w:p>
        </w:tc>
      </w:tr>
      <w:tr w14:paraId="5E79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D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877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4K高清矩阵输入模块</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98C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★1、具备≥1路HDMI视频输入接口、≥1路HDMI输出接口、≥1路DP输出接口、≥1路5针凤凰端子平衡立体声输入/输出接口、≥1路3.5音频接口、≥1个KVM USB接口、≥1个USB 3.0接口、≥2个USB 2.0接口、≥1个RJ-45千兆网口、≥1个SFP fiber接口；（须提供具备CMA、ILAC、CNAS认证的第三方权威机构出具的检测报告复印件及产品接口实物图片）；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2、前面板具备≥1个LCD液晶面板、≥1个电源指示灯、≥1个视频信号指示灯、≥1个网络状态及信号信号状态灯、≥1个恢复出厂设置按键；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3、输入输出一体化设计，通过拨码开关自由设置输入输出；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★4、端到端无缝传输延时为≤8ms，信号切换、开窗响应、预案调取的间隔时间≤8ms；（须提供CMA、ilac-MRA及CNAS标识的权威第三方检测报告复印件）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5、支持高低码流同时输入或输出，满足不受距离限制实现多区域互联互通；（须提供CMA、ilac-MRA及CNAS标识的权威第三方检测报告复印件）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6、KVM功能具备0SD菜单支持快速接管方式，支持可视化预览信号源画面及信息；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7、具备大屏拼接管理功能，可实现大屏信号源开窗、拼接、叠加，漫游等功能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★8、支持4K@60Hz、YUV4:4:4视频的输入或输出，支持最高120帧的编解码处理，同时分辨率和帧率支持向下兼容；（须提供CMA、ilac-MRA及CNAS标识的权威第三方检测报告复印件）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★9、支持中控功能，满足不少于2路继电器RELAY接口、4路电平I/O接口、2个RS-232串口、1个RS-485串口、4路红外IR接口；（须提供具备CMA、ILAC、CNAS认证的第三方权威机构出具的检测报告复印件及产品接口实物图片）；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10、具备远程KVM控制，支持多屏间跨屏、漫游，支持多屏间放大缩小，支持多权限管理，支持坐席信号源任意投到大屏上显示。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★11、AI大模型基座、语音转写主机、多媒体智能主机、综合管理平台、4K@60Hz无损输入输出节点为同一品牌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12、产品需具备CCC证书，复印件加盖原厂公章</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FC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BA0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2784">
            <w:pPr>
              <w:rPr>
                <w:rFonts w:hint="eastAsia" w:ascii="宋体" w:hAnsi="宋体" w:eastAsia="宋体" w:cs="宋体"/>
                <w:i w:val="0"/>
                <w:iCs w:val="0"/>
                <w:color w:val="auto"/>
                <w:sz w:val="18"/>
                <w:szCs w:val="18"/>
                <w:highlight w:val="none"/>
                <w:u w:val="none"/>
              </w:rPr>
            </w:pPr>
          </w:p>
        </w:tc>
      </w:tr>
      <w:tr w14:paraId="0B6E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7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E3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电源控制器</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653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1、T-BUS，串口，网络控制；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2、最多可以同时使用8路；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3、T-BUS总线控制，可以通过ID拨码设定ID。</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A0F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AD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1BBD">
            <w:pPr>
              <w:rPr>
                <w:rFonts w:hint="eastAsia" w:ascii="宋体" w:hAnsi="宋体" w:eastAsia="宋体" w:cs="宋体"/>
                <w:i w:val="0"/>
                <w:iCs w:val="0"/>
                <w:color w:val="auto"/>
                <w:sz w:val="18"/>
                <w:szCs w:val="18"/>
                <w:highlight w:val="none"/>
                <w:u w:val="none"/>
              </w:rPr>
            </w:pPr>
          </w:p>
        </w:tc>
      </w:tr>
      <w:tr w14:paraId="131A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8A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910CC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可视化管理平台软件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4A493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★1．软件具备严格分级权限控制可通过256位无线加密技术与控制主机进行通讯，根据用户程序设定的 Join Number 发送对应的指令，使控制主机在接收指令后执行相应的控制命令，从而实现人机交互控制功能;对软件进行严格分级权限管理控制。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2．软件具备自定义模块功能可根据现场情况编写各种满足功能需求的程序;对不同场景定义不同功能模块;可自定义软件 LOGO、背景、所控制设备名称、排序、界面位置。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3．软件具备分组管理功能可对不同的显示单元进行分组管理，各组间互不干扰，可显示相同或不同的内容。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4．软件支持可通过信号预览窗口或信号列表选择输入信号源。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5．软件支持展示所有显示单元的回显信号;回显信号可根据需求设置不同分辨率。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★6．软件支持操作按钮包括全屏、单屏、四分屏、九分屏、十六分屏、128 分屏、一键清屏、自定义分屏的操作按钮。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7．软件可根据现场情况将信号源拖至显示单元，并可进行开窗、漫游、叠加、画中画、画外画、拉伸操作。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8．软件支持一键调用根据不同的需求进行不同的场景存储，需要时一键调用。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9．软件可对周边设备(如灯光、窗帘、空调、电视)进行相应控制制。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10．软件支持在多操作系统平台编辑可编辑不同操作系统(包括:Windows、ioS、Android)上应用的CVS操作平台。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11．软件需具备信息安全性、可靠性、维护性、易用性、可移植性。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12．软件可运行于Windows平台上，使用C++语言开发。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★13．提供完全体现以上参数的第三方软件测试报告复印件并加盖生产制造厂商公章。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AC6C8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B3DB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234BEC7">
            <w:pPr>
              <w:rPr>
                <w:rFonts w:hint="eastAsia" w:ascii="宋体" w:hAnsi="宋体" w:eastAsia="宋体" w:cs="宋体"/>
                <w:i w:val="0"/>
                <w:iCs w:val="0"/>
                <w:color w:val="auto"/>
                <w:sz w:val="18"/>
                <w:szCs w:val="18"/>
                <w:highlight w:val="none"/>
                <w:u w:val="none"/>
              </w:rPr>
            </w:pPr>
          </w:p>
        </w:tc>
      </w:tr>
      <w:tr w14:paraId="25AF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D88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9305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交互控制面板终端</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18D8A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10.1英寸，液晶交互面板，电容触摸屏，与多媒体智能终端配合使用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显示背景、操作界面和功能按键可自定义编程配置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支持IP语音对讲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网络远程配置</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CC0C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9B0CD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E471799">
            <w:pPr>
              <w:rPr>
                <w:rFonts w:hint="eastAsia" w:ascii="宋体" w:hAnsi="宋体" w:eastAsia="宋体" w:cs="宋体"/>
                <w:i w:val="0"/>
                <w:iCs w:val="0"/>
                <w:color w:val="auto"/>
                <w:sz w:val="18"/>
                <w:szCs w:val="18"/>
                <w:highlight w:val="none"/>
                <w:u w:val="none"/>
              </w:rPr>
            </w:pPr>
          </w:p>
        </w:tc>
      </w:tr>
      <w:tr w14:paraId="0BF1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87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1A236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无线投屏器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FB8DF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1、usb无线传屏，支持windows和mac电脑，仅通过usb口，同时完成传输和供电，无线传屏至接收端。一键传屏，无需安装软件。支持对usb传屏器所插电脑的触摸反控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2、支持主流操作系统通过wifi的无线传屏，windows和安卓系统，通过运行应用程序进行镜像传屏；ios,mac通过自带airplay协议实现镜像传屏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3、接收端内置两个wifi模块，一个用于产生热点用于传屏，另外一个用于连接办公室网络，无需连接网线使得连接热点正在传屏的移动终端还能上网，投屏上网两不误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4、接收端内置蓝牙模块，安卓手机在镜像投屏时，可以上网播放在线视频或者在线音乐并能传屏传声音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5、接收端具备联网自动升级功能，能通过网络及时*新内置程序，以及usb传屏器升级包，当把usb传屏器插入接收端usb口时自动升级usb传屏器。方便升级等售后服务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6、具备多种投屏模式，满足各种场合需求，抢占模式和*占模式可以随意切换，可以设置动态投屏码防止投屏事故。可设置竖屏模式，方便手机竖屏满屏传屏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7、内置批注功能，能对传屏画面进行实时批注，并保存本地，u盘或者手机二维码分享多种选择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8、具备管理员功能，提供管理员客户端软件，通过管理员客户端软件可以方便控制投屏端的上下屏操作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9、支持集控部署和管理，支持公网集控服务器部署或者私有网络服务器部署，通过集控管理端，可以对*设备进行设置或者管理，如，设置投屏参数，设置壁纸，推送安装*应用等功能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10、自动重启功能:内置实时时钟模块，确保无互联网状态下，系统时间仍能正常运行，并能在凌晨无投屏状态时自动重启，确保设备365天7x24小时不掉电仍能有效运行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11、兼容miracast和widi功能，接收端运行内置特定程序后，可以支持安卓手机的miracast投屏和笔记本的widi投屏，无需安卓软件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12、支持手机扫码投屏功能，微信，支付宝扫一扫直接进入镜像投屏状态，无需手动连接wifi等其他操作步奏，方便快捷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13、支持跨网段投屏，接收主机与安卓客户端，windows客户端可以处于不同网段，在客户端只需输入接收主机的投屏码即可投屏。投屏码支持动态变化。服务器可以部署在云端或客户内网自建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14、接收主机支持hdmi 2.0 4k60hz输出，支持混合双画面同屏显示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15、具备2个usb口，1个hdmi输出口，1个rj45网口，1个模拟音频输出口，1个VGA输出口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16、支持反镜像功能，在安卓客户端，ios客户端，windows客户端可以反向显示主机的画面，并能触控主机或者投屏到主机的usb传屏电脑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17、可以配合多个标准版组成一传多解决方案，亦可配合windows触控一体机组成一传多解决方案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18、可以配合多个增强版组成智慧教室解决方案，亦可配合windows触控一体机组成智慧教室解决方案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19、提供移动客户端，在移动客户端上可以对主机内容进行实时批注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20、2G内存高配置，配合usb摄像头，可以运行第三方视频会议软件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21、支持vga和hdmi双输出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22、支持连接5G wifi网络进行桥接，提供*好的网络带宽</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9D09E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B52DE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9C22310">
            <w:pPr>
              <w:rPr>
                <w:rFonts w:hint="eastAsia" w:ascii="宋体" w:hAnsi="宋体" w:eastAsia="宋体" w:cs="宋体"/>
                <w:i w:val="0"/>
                <w:iCs w:val="0"/>
                <w:color w:val="auto"/>
                <w:sz w:val="18"/>
                <w:szCs w:val="18"/>
                <w:highlight w:val="none"/>
                <w:u w:val="none"/>
              </w:rPr>
            </w:pPr>
          </w:p>
        </w:tc>
      </w:tr>
      <w:tr w14:paraId="7714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5B1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ED8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4K智能会议摄像机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180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1.4K超高清画面显示: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采用全新一代SONY 1/1.8英寸高品质CMOS，能实现最大4K60超高清分辨率广播及图像画面输出，更加大型场景录制。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2.25倍光学变焦镜头: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搭载25倍超高清光学镜头，支持主流水平视角59.2°，满足更多场景诸如大型大会堂视频会议、阶梯教室黑板板书等真实细节还原。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USB3.0+HDMI+LAN+SDI全接口，丰富的应用场景：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兼容目前主流的所有视频输出接口，HDMI+USB3.0 Type-B+12G-SDI+LAN能同时输出4K60分辨率。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4.低光照：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全新的超高信噪比CMOS图像传感器，可有效降低弱光条件下的图像噪点。 同时应用2D&amp;3D数字降噪，大幅降低图像噪点，即使在超低光照条件下，仍能保持画面干净清晰，图像信噪比高于50dB。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5.红外遥控器信号透传功能：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除了接收自己的红外遥控器信号外，它还可以接收消费者红外遥控器的信号，并通过VISCA 端口发送到视频会议终端。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6.多种视频压缩标准：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不同接口支持YUY2、H265、MJPG、H264多种视频压缩格式。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7.多种网络协议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支持ONVIF、SRT、RTSP、RTMP、Free D、 NDI®|HX3（可选）等网络协议。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8.多种控制协议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支持VISCA（含VISCA Over IP）、PELCO P/D协议、NDI®（可选）协议，支持自动识别协议。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9.内置OLED显示屏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实时显示摄像机IP地址和HDMI输出分辨率。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10.新一代人形+人脸识别跟踪算法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支持智能跟踪、自动取景和手势识别，支持5种手势控制，开启/关闭智能跟踪、自动取景功能，手势切换跟踪目标，自定义追踪大小，通过手势控制放大/缩小镜头倍数。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11.多种安装方式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多种安装方式，可桌面、吸顶、壁挂安装。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DF7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716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8E60A">
            <w:pPr>
              <w:rPr>
                <w:rFonts w:hint="eastAsia" w:ascii="宋体" w:hAnsi="宋体" w:eastAsia="宋体" w:cs="宋体"/>
                <w:i w:val="0"/>
                <w:iCs w:val="0"/>
                <w:color w:val="auto"/>
                <w:sz w:val="18"/>
                <w:szCs w:val="18"/>
                <w:highlight w:val="none"/>
                <w:u w:val="none"/>
              </w:rPr>
            </w:pPr>
          </w:p>
        </w:tc>
      </w:tr>
      <w:tr w14:paraId="5B3D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D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91329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专用线材、插件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8F93A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HDMI2.0高清线材，视频会议连接线，电源线等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A83D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18A7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4FAEC07">
            <w:pPr>
              <w:rPr>
                <w:rFonts w:hint="eastAsia" w:ascii="宋体" w:hAnsi="宋体" w:eastAsia="宋体" w:cs="宋体"/>
                <w:i w:val="0"/>
                <w:iCs w:val="0"/>
                <w:color w:val="auto"/>
                <w:sz w:val="18"/>
                <w:szCs w:val="18"/>
                <w:highlight w:val="none"/>
                <w:u w:val="none"/>
              </w:rPr>
            </w:pPr>
          </w:p>
        </w:tc>
      </w:tr>
      <w:tr w14:paraId="6B9E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5A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AED7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线管</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C8E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镀锌金属线管,口径25mm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53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46C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59DC4">
            <w:pPr>
              <w:rPr>
                <w:rFonts w:hint="eastAsia" w:ascii="宋体" w:hAnsi="宋体" w:eastAsia="宋体" w:cs="宋体"/>
                <w:i w:val="0"/>
                <w:iCs w:val="0"/>
                <w:color w:val="auto"/>
                <w:sz w:val="18"/>
                <w:szCs w:val="18"/>
                <w:highlight w:val="none"/>
                <w:u w:val="none"/>
              </w:rPr>
            </w:pPr>
          </w:p>
        </w:tc>
      </w:tr>
      <w:tr w14:paraId="06DC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B5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E3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63C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国标2x2.0mm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8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275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A4AB">
            <w:pPr>
              <w:rPr>
                <w:rFonts w:hint="eastAsia" w:ascii="宋体" w:hAnsi="宋体" w:eastAsia="宋体" w:cs="宋体"/>
                <w:i w:val="0"/>
                <w:iCs w:val="0"/>
                <w:color w:val="auto"/>
                <w:sz w:val="18"/>
                <w:szCs w:val="18"/>
                <w:highlight w:val="none"/>
                <w:u w:val="none"/>
              </w:rPr>
            </w:pPr>
          </w:p>
        </w:tc>
      </w:tr>
      <w:tr w14:paraId="5F8C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36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840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音频接插线缆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0C8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卡侬成品线缆、3.5音频信号线、欧插头、电源插头等</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1F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DF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2DF61">
            <w:pPr>
              <w:rPr>
                <w:rFonts w:hint="eastAsia" w:ascii="宋体" w:hAnsi="宋体" w:eastAsia="宋体" w:cs="宋体"/>
                <w:i w:val="0"/>
                <w:iCs w:val="0"/>
                <w:color w:val="auto"/>
                <w:sz w:val="18"/>
                <w:szCs w:val="18"/>
                <w:highlight w:val="none"/>
                <w:u w:val="none"/>
              </w:rPr>
            </w:pPr>
          </w:p>
        </w:tc>
      </w:tr>
      <w:tr w14:paraId="35C2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9E1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7A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设备机柜</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803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16U根据系统需求定制，工艺木质机柜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AE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398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B949">
            <w:pPr>
              <w:rPr>
                <w:rFonts w:hint="eastAsia" w:ascii="宋体" w:hAnsi="宋体" w:eastAsia="宋体" w:cs="宋体"/>
                <w:i w:val="0"/>
                <w:iCs w:val="0"/>
                <w:color w:val="auto"/>
                <w:sz w:val="18"/>
                <w:szCs w:val="18"/>
                <w:highlight w:val="none"/>
                <w:u w:val="none"/>
              </w:rPr>
            </w:pPr>
          </w:p>
        </w:tc>
      </w:tr>
      <w:tr w14:paraId="0353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3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15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02中会议室（78.6㎡）</w:t>
            </w:r>
          </w:p>
        </w:tc>
      </w:tr>
      <w:tr w14:paraId="34C6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3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B38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全频会议扬声器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298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1、类型：双5.5寸全频音箱;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2、频率响应：不窄于60Hz-20KHz;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3、灵敏度（1W/1M）：≥88dB;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4、指向性：60°×60°;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5、功率：≥100W/≥200W;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6、最大声压级：≥113dB;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7、额定定阻：8Ω;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8、配置：LF：不少于2×5.5"，HF：不少于1×3/4"钛质圆顶罩;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9、分频点：2.3KHz;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10、安装方式：可独立、可堆叠组合；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★11、提供CNAS出具的产品检验报告证书复印件，并加盖厂商公章；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★12、为确保扬声器的稳定性，投标时需提供带“消声室校准证书”的技术文件，加盖厂家公章。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2F2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8CE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9A974">
            <w:pPr>
              <w:rPr>
                <w:rFonts w:hint="eastAsia" w:ascii="宋体" w:hAnsi="宋体" w:eastAsia="宋体" w:cs="宋体"/>
                <w:i w:val="0"/>
                <w:iCs w:val="0"/>
                <w:color w:val="auto"/>
                <w:sz w:val="18"/>
                <w:szCs w:val="18"/>
                <w:highlight w:val="none"/>
                <w:u w:val="none"/>
              </w:rPr>
            </w:pPr>
          </w:p>
        </w:tc>
      </w:tr>
      <w:tr w14:paraId="1456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113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6858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扬声器功放</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0787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1、立体声功率4Ω：750W/立体声功率8Ω：500W/桥接模式8Ω：1000W;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2、频率响应(1 W)：20Hz-20kHz, +0/-1dB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3、总谐波失真 (THD)：&lt;0.5%, 20 Hz - 20 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4、互调失真(IMD)：≤0.35%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5、转换速率：&gt;10V/us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6、电压增益：31dB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7、阻尼系数 (8Ω), 10Hz - 400Hz：&gt;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8、信噪比：&gt;100 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9、串扰：-75 dB（1kHz），-59 dB（20kHz）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10、输入灵敏度(额定功率8Ω)：0.775V or 1.4V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11、输入阻抗(额定)：20KΩ（平衡）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★12、保护：防止短路、空载、开/关机噪音、无线电干扰保护电路，(提供设备电气原理图加盖厂家公章佐证，并提供带有CMA、ILAC-MRA、CNAS标识的第三方检测报告，加盖厂家公章，必要时官网可查询);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13、通风：由前往后的空气对流机制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14、冷却：内部空气强排散热，风扇冷却，快速调节，温度保护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★15、为保证扩声系统的兼容性，扬声器需与功放为同一品牌。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4A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1B5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7CCAA">
            <w:pPr>
              <w:rPr>
                <w:rFonts w:hint="eastAsia" w:ascii="宋体" w:hAnsi="宋体" w:eastAsia="宋体" w:cs="宋体"/>
                <w:i w:val="0"/>
                <w:iCs w:val="0"/>
                <w:color w:val="auto"/>
                <w:sz w:val="18"/>
                <w:szCs w:val="18"/>
                <w:highlight w:val="none"/>
                <w:u w:val="none"/>
              </w:rPr>
            </w:pPr>
          </w:p>
        </w:tc>
      </w:tr>
      <w:tr w14:paraId="0690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B15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C75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调音台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A5A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1.8路单声道话筒输入，2路立体声输入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2.每分路设有单独电平显示分路输出信号大小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3.每分路输入信号一键衰减功能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4.带48V幻象电源,每分路设有48V独立开关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5.每分路均衡带中音扫频功能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6.3路AUX辅助输出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7.内置双效果器，分别使用24种DSP人声效果和8种DSP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乐器效果，且每种效果参数单独可调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8.每分路设有独立静音按键并且带LED灯双色显示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9.每路监听按键带LED灯显示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10.100mm行程高精度推子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11.MP3通道有独立的增益控制输入信号大小以及设有高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中低三段均衡可调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12.带声卡功能，可连接电脑/手机信号播录功能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13.带蓝牙和USB录音功能的MP3播放器</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2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20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BE573">
            <w:pPr>
              <w:rPr>
                <w:rFonts w:hint="eastAsia" w:ascii="宋体" w:hAnsi="宋体" w:eastAsia="宋体" w:cs="宋体"/>
                <w:i w:val="0"/>
                <w:iCs w:val="0"/>
                <w:color w:val="auto"/>
                <w:sz w:val="18"/>
                <w:szCs w:val="18"/>
                <w:highlight w:val="none"/>
                <w:u w:val="none"/>
              </w:rPr>
            </w:pPr>
          </w:p>
        </w:tc>
      </w:tr>
      <w:tr w14:paraId="44CA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B7D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912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网络音频媒体处理中心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A2B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1.DSP芯片：Ti 450MHz FLOPS双核；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2.支持USB2.0 录制/播放；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3.支持中控指令集生成器；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4.核心算法：反馈消除（AFC），回声消除 (AEC)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5.输入处理：前级放大、信号发生器、扩展器、压缩器、5段参量均衡、反相、自动增益、自动混音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6.输出处理：31段图示均衡器、延时器、分频器、高低通滤波器、限幅器、反相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7.矩阵混音：输入和输出信号矩阵式混音，混音分量控制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8.支持自动摄像跟踪功能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★9.场景预设：100组自定义设置(提供带有CMA、ILAC-MRA、CNAS标识的第三方检测报告，加盖厂家公章，必要时官网可查询)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10.端口配置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不少于8路模拟输入通道，不少于8路模拟输出通道；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不少于1个Ethernet控制端口；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不少于1个RS232和1个RS485；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不少于8路GPIO；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11.支持WIFI联机；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★12.输入增益放大不少于-24～27dB，3dB共17级；(提供带有CMA、ILAC-MRA、CNAS标识的第三方检测报告，加盖厂家公章，必要时官网可查询)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13.支持平衡/非平衡,输入/输出；支持MIC\LINE,输入/输出；每路独立48V幻象供电开关；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14.软件及操作系统：控制处理软件及APP/Windows32位/Windows64位/IOS/android/机器内置客户端，支持联机下载.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★15.为保证系统的稳定性及兼容性，生产厂家须提供两化融合管理体系评定证书，加盖厂家公章。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F2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0E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06BD9">
            <w:pPr>
              <w:rPr>
                <w:rFonts w:hint="eastAsia" w:ascii="宋体" w:hAnsi="宋体" w:eastAsia="宋体" w:cs="宋体"/>
                <w:i w:val="0"/>
                <w:iCs w:val="0"/>
                <w:color w:val="auto"/>
                <w:sz w:val="18"/>
                <w:szCs w:val="18"/>
                <w:highlight w:val="none"/>
                <w:u w:val="none"/>
              </w:rPr>
            </w:pPr>
          </w:p>
        </w:tc>
      </w:tr>
      <w:tr w14:paraId="44FC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46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232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智能电源时序器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AF3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1、彩屏显示：2寸彩色TFT屏幕，系统支持中英文显示，可实时显示当前电压、日期时间、通道开关状态、场景模式与级联状态，让时序器工作状态更加清晰直观。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2、快捷导航键：通过转动EDIT键可对参数进行设置，一键操作，方便快捷。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3、八路通道：每通道延时开启/关闭（时间可设置为0-999秒），防止电流冲击，捍卫设备安全。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4、定时器：内置时钟芯片，可根据时间定时设置智能自动开关机。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5、智能保护：过压/欠压保护，可自定义保护值，能够避免电压不稳定造成的设备损坏。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6、场景调用：保存/调用模式，可以设置10组场景模式。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7、外接控制：外接无锁I/O开关，轻松实现远程开关。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8、级联/中控：通过RS485接口可以将多台时序器级联并自动编号，通过RS232接口与中控设备连接，实现统一管理、控制。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9、万用插座：纯铜万用插口设计，满足不同标准的插头，电流传输稳定。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10、纯铜电缆：电流负载强，不容易过热、软化。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11、输入电压：AC220V/50Hz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12、额定功率：6000W   3*4.0平方交流电源线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13、单路输出最大电流：16A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14、USB DC 5V 800mA供电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15、显示方式：320*240 TFT屏幕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16、输入方式：3*4.0平方交流电源线，不带插头，可与空气开关连接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17、输出方式：8路电源输出，标准通用三芯插座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18、欠压过压保护：欠压（120-190V） 过压（240-290V）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19、定时设置：每日/每周重复开关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★20、提供带有CMA、ILAC-MRA、CNAS标识的第三方检测报告，加盖厂家公章，必要时官网可查询</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57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DB8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C03F">
            <w:pPr>
              <w:rPr>
                <w:rFonts w:hint="eastAsia" w:ascii="宋体" w:hAnsi="宋体" w:eastAsia="宋体" w:cs="宋体"/>
                <w:i w:val="0"/>
                <w:iCs w:val="0"/>
                <w:color w:val="auto"/>
                <w:sz w:val="18"/>
                <w:szCs w:val="18"/>
                <w:highlight w:val="none"/>
                <w:u w:val="none"/>
              </w:rPr>
            </w:pPr>
          </w:p>
        </w:tc>
      </w:tr>
      <w:tr w14:paraId="0A72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62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AB6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双通道无线手持话筒</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3F0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1、本系列是一款双通道真分集无线麦克风，真分集的接收方式更稳定，自动选讯，消除接收死角，避免断频现象发生；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2、专业支持演讲以及室外演唱机型，UHF真分集，确保远距离有效接收，可视距离约300M左右，配合天线分配器、放大器使用，距离可达400M左右；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3、IRA红外线自动锁频功能和手动备份功能，操作简单、快捷并有安全保证；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4、调制方式： 宽带调频；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5、频率范围： 600-900MHZ；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6、信道数目：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7、频率稳定度： ±0.005%；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8、动态范围： 100dB；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9、最大偏差： ±48KHZ，水平限度；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10、音频频率响应： 40HZ-18KHZ(±3dB)；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11、信噪比： 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12、接收方式：  自动调频；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13、震荡方式： PLL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14、手持麦克风内置螺旋天线，腰挂发射器采用1/4波长鞭状天线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15、拾音头： 动圈式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16、工作时间： 高功率不低于6小时，低功率不低于10个小时；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BE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33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F981E">
            <w:pPr>
              <w:rPr>
                <w:rFonts w:hint="eastAsia" w:ascii="宋体" w:hAnsi="宋体" w:eastAsia="宋体" w:cs="宋体"/>
                <w:i w:val="0"/>
                <w:iCs w:val="0"/>
                <w:color w:val="auto"/>
                <w:sz w:val="18"/>
                <w:szCs w:val="18"/>
                <w:highlight w:val="none"/>
                <w:u w:val="none"/>
              </w:rPr>
            </w:pPr>
          </w:p>
        </w:tc>
      </w:tr>
      <w:tr w14:paraId="19C8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6A4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5E7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数字无线会议系统主机</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3AF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1.基于全数字网络技术方案开发，具备时钟同步与传输技术、WIFI无线通讯技术，音频传输延时≤5ms，支持全数字有线会议单元与5G WIFI加密无线会议单元同时使用。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6种会议发言模式：FIFO（先进先出模式）、NORMAL（轮流发言模式）、FREE（自由发言模式）、APPLY（申请发言模式）、VOICE（声控发言模式）、LIMIT（限时发言模式），最大同时发言人数可设置26支，支持16支有线会议单元与10支无线会议单元同时发言，发言人数在预设范围内可任意设定，有线单元发言人数可设置为1至16之间的任意数量，无线单元发言人数可设置为1至10之间的任意数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3.系统具有65535支会议单元ID容量，可任意搭配全数字有线会议单元、翻译单元或5G WIFI加密无线会议单元接入使用。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4.具有AP信道扫描功能，可扫描查看现场在线AP名称与无线信道的使用情况，支持手动选择或自动配置优质信道。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★5.音频输出接口：1组RCA座、1路卡侬头、2路LINE-OUT凤凰座，每个音频输出通道均具备独立的10段EQ调节、30级音量dB值调节、200级延时器调节功能。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6.具有1路TCP/IP网络控制接口、1路KEYBOARD摄像机键盘控制接口、1路ALARM消防报警联动触发接口，1路RS485摄像机控制接口，1路RS232-COM控制接口、1路RS232-PC控制接口。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ALARM消防报警联动触发接口，可对接火灾自动报警系统或连接烟雾报警器，当消防联动信号或报警器信号触发时，系统立即自动终止会议的功能操作，会议主机、会议单元与翻译单元界面同步显示消防警报提示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8.具有RS485摄像机控制接口，主机具备预置位发言跟踪功能，支持PELCO-D、PELCO-P、VISCA控制协议，最大支持同时连接16台摄像机进行预置位发言跟踪。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5寸全彩触控屏，提供会议模式、签到表决、无线控制、USB录播、主题风格、云球控制、音频控制、ID配置、系统设置、系统状态功能控制菜单；可通过主机触控屏实现选择会议模式、有线单元与无线单元开启数量，发起与结束签到、表决进程，一键关闭全部WIFI无线会议单元功能，控制USB录音与USB播放功能，切换单元主题风格界面，配置会议摄像机预置位与关联会议单元ID设置，调节LINE-OUT音频输出接口的音量大小，配置会议单元ID，切换系统语言、设置系统时间、调节显示亮度、查看本机IP信息、设置双机备份功能、查看主机注册状态，查询在线单元的类型与数量信息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10.系统预设4种语言：中、英、俄、法，可根据会议需求进行切换。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11.具有主机注册功能，可通过触控屏或PC软件输入注册码进行主机注册，可查看主机注册状态。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★12.系统具备有线同声传译功能，支持同时传输69+1通道同声传译音频，可通过有线会议单元进行选择收听。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13.具有双机热备份功能，会议主机可设置为主用机或备用机，当主用机出现故障时，系统可自动切换至备用机运行。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14.工作电源：AC 100-120V/200-240V 50-60Hz by switch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15.会议单元容量：65535支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16.USB接口：USB*1，支持U盘录音与音频播放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17.显示屏：5寸，IPS全彩触控屏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18.频率响应：20Hz-20KHz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19.总谐波失真：≤0.05%@1KHz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E0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C07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DCBC0">
            <w:pPr>
              <w:rPr>
                <w:rFonts w:hint="eastAsia" w:ascii="宋体" w:hAnsi="宋体" w:eastAsia="宋体" w:cs="宋体"/>
                <w:i w:val="0"/>
                <w:iCs w:val="0"/>
                <w:color w:val="auto"/>
                <w:sz w:val="18"/>
                <w:szCs w:val="18"/>
                <w:highlight w:val="none"/>
                <w:u w:val="none"/>
              </w:rPr>
            </w:pPr>
          </w:p>
        </w:tc>
      </w:tr>
      <w:tr w14:paraId="640F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FEF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63A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数字会议主席单元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7FF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34.主席单元具有优先发言与会议控制功能，发言不受发言模式与发言人数限制，可批准代表单元发言申请，可关闭正在发言的代表单元，可发起与结束会议签到进程，可发起与结束三键表决进程。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A1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373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A1C41">
            <w:pPr>
              <w:rPr>
                <w:rFonts w:hint="eastAsia" w:ascii="宋体" w:hAnsi="宋体" w:eastAsia="宋体" w:cs="宋体"/>
                <w:i w:val="0"/>
                <w:iCs w:val="0"/>
                <w:color w:val="auto"/>
                <w:sz w:val="18"/>
                <w:szCs w:val="18"/>
                <w:highlight w:val="none"/>
                <w:u w:val="none"/>
              </w:rPr>
            </w:pPr>
          </w:p>
        </w:tc>
      </w:tr>
      <w:tr w14:paraId="7AAC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80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8BE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数字会议代表单元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EBB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ED1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641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F12E">
            <w:pPr>
              <w:rPr>
                <w:rFonts w:hint="eastAsia" w:ascii="宋体" w:hAnsi="宋体" w:eastAsia="宋体" w:cs="宋体"/>
                <w:i w:val="0"/>
                <w:iCs w:val="0"/>
                <w:color w:val="auto"/>
                <w:sz w:val="18"/>
                <w:szCs w:val="18"/>
                <w:highlight w:val="none"/>
                <w:u w:val="none"/>
              </w:rPr>
            </w:pPr>
          </w:p>
        </w:tc>
      </w:tr>
      <w:tr w14:paraId="1CA9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17A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EB0EE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智能反馈抑制器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0F1E97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1、具有一键全自动检测现场啸叫点功能,通过DSP系统对声音进行过滤，低音补偿自动混音、智能高速反馈处理；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2、全数字化最大限度消除回输，同时使用多个话筒时，自动适应声学环境，无需调试，快速校正功能，保证音质，减少延时；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3、四通道信号输入，满足更大的需求；高中低三档输入电平选择，防止峰值输入失真，有效增加话筒拾音距离。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4、额定电压：220V~10%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5、幻像供电：48V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6、取样频率：32KHz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7、频率响应：125Hz~15KHz(语音模式)   20Hz~15KHz(音乐模式)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8、失真度：&lt;0.1%@1KHz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9、信噪比：&gt;90dB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10、信号延迟：7ms(音乐模式)    11ms(语音模式)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11、输入阻抗：20K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12、输出阻抗（平衡）：200Ω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A72C6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49D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96E9A34">
            <w:pPr>
              <w:rPr>
                <w:rFonts w:hint="eastAsia" w:ascii="宋体" w:hAnsi="宋体" w:eastAsia="宋体" w:cs="宋体"/>
                <w:i w:val="0"/>
                <w:iCs w:val="0"/>
                <w:color w:val="auto"/>
                <w:sz w:val="18"/>
                <w:szCs w:val="18"/>
                <w:highlight w:val="none"/>
                <w:u w:val="none"/>
              </w:rPr>
            </w:pPr>
          </w:p>
        </w:tc>
      </w:tr>
      <w:tr w14:paraId="2EC1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A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5A4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会议专用充电箱</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0A450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1.具有20路5V USB充电接口，单路输出电流峰值：2.4A，可根据设备电量自动调整电流，输出总电流峰值：40A，支持同时插满全部USB接口，供设备批量充电。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2.具有数码屏可显示设备输出电压，每路USB接口配置独立的LED充电状态指示灯，充电时亮红灯，充满时亮蓝灯，空载时不亮灯，可直观显示每个USB接口的充电状态。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3.内置PWM电源管理芯片，自动检测充电状态，充满后自动断电。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4.支持PD快充协议，智能识别、智能分流、智能快充，自动调整输出电流，支持无线会议单元快速充电。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5.具有自动检测过压保护、过流保护、过充保护、短路保护、自动恢复等多种智能安全防护，支持无线会议单元安全充电。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6.电源输入：AC 200-240V 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7.输出接口：USB*20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8.单口输出电压：DC 5V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9.单口输出电流峰值：2.4A</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52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CF4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44C3">
            <w:pPr>
              <w:rPr>
                <w:rFonts w:hint="eastAsia" w:ascii="宋体" w:hAnsi="宋体" w:eastAsia="宋体" w:cs="宋体"/>
                <w:i w:val="0"/>
                <w:iCs w:val="0"/>
                <w:color w:val="auto"/>
                <w:sz w:val="18"/>
                <w:szCs w:val="18"/>
                <w:highlight w:val="none"/>
                <w:u w:val="none"/>
              </w:rPr>
            </w:pPr>
          </w:p>
        </w:tc>
      </w:tr>
      <w:tr w14:paraId="7CA5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2D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F5D92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无线会议专用天线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495FECFE">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1.5G WIFI加密无线会议专用AP与全数字会议系统主机通过网线连接，用于5G WIFI加密无线会议单元通过WIFI无线网络接入全数字会议系统，单个AP支持接入128支无线会议单元。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2.具有双空间流双频并发技术，无线传输速率：1.8Gbps（2.4GHz传输速率：600Mbps，5GHz传输速率：1.2Gbps）。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3.内置高功率FEM与4组双频铜片天线，WIFI信号覆盖范围半径：25米。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4.采用802.11ax标准（WIFI-6）无线网络技术，同时兼容802.11b/a/g/n/ac标准传输协议，具有高带宽、高容量、低延时、低功耗特性。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5.支持OPEN、WEP、WPA/WPA2/WPA3、WPA/WPA2/WPA3-PSK、802.11i等多种认证与加密协议标准，提高会议的安全性与私密性。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6.具有自动调整信道功能，可自动扫描应用环境中的WIFI信道使用情况并选择优质信道，智能动态调节WIFI发射功率。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7.支持自定义设置设备SSID名称，可设置隐藏设备SSID名称。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8.具有MAC地址过滤功能，可防止未经授权的访问。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9.支持通过连接AC控制器实现多AP组网模式，提高无线会议单元的接入容量，覆盖更大的应用范围，具备智能漫游功能，无线会议单元在WIFI信号覆盖范围内，可实现不同AP之间的无缝漫游。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10.安装方式：平放式、壁挂式、吸顶式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A9FB5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671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CABC158">
            <w:pPr>
              <w:rPr>
                <w:rFonts w:hint="eastAsia" w:ascii="宋体" w:hAnsi="宋体" w:eastAsia="宋体" w:cs="宋体"/>
                <w:i w:val="0"/>
                <w:iCs w:val="0"/>
                <w:color w:val="auto"/>
                <w:sz w:val="18"/>
                <w:szCs w:val="18"/>
                <w:highlight w:val="none"/>
                <w:u w:val="none"/>
              </w:rPr>
            </w:pPr>
          </w:p>
        </w:tc>
      </w:tr>
      <w:tr w14:paraId="08A4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3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C6E1E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LED显示屏</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8773E71">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1.像素点间距：≤1.25mm；显示尺寸：宽度≥3.94米，高度≥2.18米；</w:t>
            </w:r>
          </w:p>
          <w:p w14:paraId="3EEBBBD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2.模组尺寸：150mm*168.75mm；</w:t>
            </w:r>
          </w:p>
          <w:p w14:paraId="64BFBF56">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封装技术：RGB三合一全倒装共阴COB工艺，晶片无键合引线连接(晶圆倒置，无线焊接封装工艺并采用表面封装技术),COB封装工艺micro级芯片，芯片级封装，共阴驱动，R、G、B三色芯片单独封装在PCB板上，晶圆倒置，平面封装，无点状、面状及凸点造型，树脂一次性整体灌封，无像素独立、二次灌封：屏体表面哑光涂层设计，有效消除炫光及抑制摩尔纹；</w:t>
            </w:r>
          </w:p>
          <w:p w14:paraId="4E3C2AFA">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4.高分子材料：模组面用高分子材料，透光率高达60％，发光芯片光损耗 ，达到低耗低温升效果；</w:t>
            </w:r>
          </w:p>
          <w:p w14:paraId="7CEB4473">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5.COB面板耐磨性：RCA纸带摩擦试验，用RCA专用纸带，以固定275g重量施加在COB面板上面，速度：16转/min,试验圈数：150次；试验后COB面板外观结构和功能均正常；</w:t>
            </w:r>
          </w:p>
          <w:p w14:paraId="023851FB">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6.信号衰减：≤200mV；</w:t>
            </w:r>
          </w:p>
          <w:p w14:paraId="490A3FED">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★7.安全要求：符合GB 4793.1-2007测量、控制和实验室用电气设备的安全要求第1部分：通用要求规定；</w:t>
            </w:r>
          </w:p>
          <w:p w14:paraId="6D0F7A08">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8.色度补偿：在最常规的白场应用场景下，具有白场亮色度补偿技术，能够快速准确地对当前LED显示屏亮色度进行补偿，使显示屏白场亮色度达到目标状态；</w:t>
            </w:r>
          </w:p>
          <w:p w14:paraId="5AA97D2E">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9.延迟时间：≤1帧，降低视频源播放延迟效果；</w:t>
            </w:r>
          </w:p>
          <w:p w14:paraId="2B883912">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10.纹波及噪音：≤180mVp-p；</w:t>
            </w:r>
          </w:p>
          <w:p w14:paraId="272235C7">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11.色彩还原能力：≥16.7M；</w:t>
            </w:r>
          </w:p>
          <w:p w14:paraId="0847A6BC">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12.蓝光辐射功率：≤0.11W/㎡·sr·nm；</w:t>
            </w:r>
          </w:p>
          <w:p w14:paraId="06359B35">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13.显示屏高亮效率：≥99％；</w:t>
            </w:r>
          </w:p>
          <w:p w14:paraId="1E582713">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14.发光曲线：分段多套校正数据，实现显示自动匹配灰阶校正数据；</w:t>
            </w:r>
          </w:p>
          <w:p w14:paraId="29356B2A">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15.单一故障条件测试：模拟单一故障条件下，显示屏无起火和电击的危险发生；</w:t>
            </w:r>
          </w:p>
          <w:p w14:paraId="5D394A12">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16.防潮与绝缘：调整潮湿试验箱91%RH-95%RH范围内，保持温度20-30℃之间(温度变化不能超过1℃),放置显示屏48小时后，立即进行给样品施加1000V的直流电压，持续时间1min。再测试绝缘电阻，应≥2MΩ；</w:t>
            </w:r>
          </w:p>
          <w:p w14:paraId="4F1E9C3F">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17.蓝光辐射等级：具有蓝光护眼功能，蓝光辐射能量≤20％，符合A级要求；</w:t>
            </w:r>
          </w:p>
          <w:p w14:paraId="75BDB776">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★18.白平衡补偿和修正功能，具有智能的白平衡补偿和修正功能，白平衡点要求，出厂白平衡调校依据标准要求：x=0.313±5％ y=0.329±5％；</w:t>
            </w:r>
          </w:p>
          <w:p w14:paraId="50528C2E">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为防止供应商虚假应标，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p w14:paraId="26F6A45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★20.为确保LED显示屏工作过程中不对其环境中的其他设备造成电磁干扰，电磁辐射满足AS/NZS CISPR 32:2015的A类电磁兼容性等级认证，提供证书复印件加盖LED显示屏生产企业公章佐证。</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81D2E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D8D5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E4D228B">
            <w:pPr>
              <w:rPr>
                <w:rFonts w:hint="eastAsia" w:ascii="宋体" w:hAnsi="宋体" w:eastAsia="宋体" w:cs="宋体"/>
                <w:i w:val="0"/>
                <w:iCs w:val="0"/>
                <w:color w:val="auto"/>
                <w:sz w:val="18"/>
                <w:szCs w:val="18"/>
                <w:highlight w:val="none"/>
                <w:u w:val="none"/>
              </w:rPr>
            </w:pPr>
          </w:p>
        </w:tc>
      </w:tr>
      <w:tr w14:paraId="4F8D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1C8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03F8F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7269FE1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1、支持1路DP1.4、1路HDMI 2.0输入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2、支持2路HDMI 1.4和2路DVI输入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3、支持最大带载1048万像素，最宽16384像素，或最高8192像素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4、支持最大输入分辨率4096×2160@60Hz，支持自定义分辨率设置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5、支持16路千兆网口输出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6、支持对视频信号任意切换，裁剪，拼接，缩放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7、支持6画面显示，位置，大小可自由调节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8、支持精确颜色管理，调整显示屏色域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9、支持视频同步锁相技术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10、支持独立音频输入输出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11、支持HDMI和DP音频解析输出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12、支持LAN口控制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13、支持手机端APP控制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14、支持RS232串口协议控制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16、支持亮度和色温调节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18、支持亮度和色温调节</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4B5F9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D822A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2AEC356">
            <w:pPr>
              <w:rPr>
                <w:rFonts w:hint="eastAsia" w:ascii="宋体" w:hAnsi="宋体" w:eastAsia="宋体" w:cs="宋体"/>
                <w:i w:val="0"/>
                <w:iCs w:val="0"/>
                <w:color w:val="auto"/>
                <w:sz w:val="18"/>
                <w:szCs w:val="18"/>
                <w:highlight w:val="none"/>
                <w:u w:val="none"/>
              </w:rPr>
            </w:pPr>
          </w:p>
        </w:tc>
      </w:tr>
      <w:tr w14:paraId="6F6E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5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6AF299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5796F4C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1.集成8个HUB75，无需再配转接板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2.单卡最大带载128×1024像素，最多支持16组并行数据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3.支持8bit色深视频源输入输出，单色灰阶为256，可搭配出16777216种混合色彩。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4.支持自适应帧率技术，不仅支持23.98/24/29.97/30/50/59.94/60Hz常规及非整数帧率，还可输出显示120/240Hz高帧率画面，大幅提升画面流畅度、减少拖影。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5.支持色温调节，提供调整色温，即饱和度调节，增强画面表现力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6.支持低亮高灰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8.支持箱体标定和快速标序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9.支持画面旋转，单个箱体画面以90°/180°/270°角度进行旋转，配合部分主控可实现单箱体画面任意角度旋转显示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10.支持数据偏移，支持误码侦测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11.支持环路备份，支持固件备份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★12.提供厂家售后服务承诺书和项目授权书；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★13.8bit 精度的色度，亮度一体化逐点校正，能有效消除灯点色差，保证整屏的颜色亮度的均匀性和一致性，提升整体显示效果。需提供具有CMA、CNAS、ilac-MRA认证标识的第三方厂家检测报告，并加盖供应商公章；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★14.检测接收卡之间数据传输质量和误码情况，可以方便快捷地识别出硬件连接异常的箱体，便于维护，需提供具有CMA、CNAS、ilac-MRA认证标识的第三方厂家检测报告，并加盖供应商公章；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★15.支持一帧延迟，发送端到显示端延迟达到一帧，解决系统延迟导致的画面不同步问题 ，需提供具有CMA、CNAS、ilac-MRA认证标识的第三方厂家检测报告，并加盖供应商公章；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★16.通过对伽马表算法的优化，使得显示屏在降低亮度时能保持灰阶的完整无损失、完美显示，呈现低亮度高灰阶的显示效果；需提供具有CMA、CNAS、ilac-MRA认证标识的第三方厂家检测报告，并加盖供应商公章；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★17.为使画面显示效果更加完美，保持整屏一致性，控制系统具有修缝、十字修复功能，并提供供应商盖鲜章的LED显示屏十字线修复软件著作权证书及LED显示屏专业修缝软件著作证书两种证明文件。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B6822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1C1A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08CB033">
            <w:pPr>
              <w:rPr>
                <w:rFonts w:hint="eastAsia" w:ascii="宋体" w:hAnsi="宋体" w:eastAsia="宋体" w:cs="宋体"/>
                <w:i w:val="0"/>
                <w:iCs w:val="0"/>
                <w:color w:val="auto"/>
                <w:sz w:val="18"/>
                <w:szCs w:val="18"/>
                <w:highlight w:val="none"/>
                <w:u w:val="none"/>
              </w:rPr>
            </w:pPr>
          </w:p>
        </w:tc>
      </w:tr>
      <w:tr w14:paraId="278B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1F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21E05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配电柜</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268D6B0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PLC智能配电箱，容量30KW。配电箱中配备的保护措施包括过流、缺相、短路、断路、过压、欠压、温度过高等，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6A62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F5F2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48FA0C1">
            <w:pPr>
              <w:rPr>
                <w:rFonts w:hint="eastAsia" w:ascii="宋体" w:hAnsi="宋体" w:eastAsia="宋体" w:cs="宋体"/>
                <w:i w:val="0"/>
                <w:iCs w:val="0"/>
                <w:color w:val="auto"/>
                <w:sz w:val="18"/>
                <w:szCs w:val="18"/>
                <w:highlight w:val="none"/>
                <w:u w:val="none"/>
              </w:rPr>
            </w:pPr>
          </w:p>
        </w:tc>
      </w:tr>
      <w:tr w14:paraId="07C0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6A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CAAF0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屏体框架</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0C521C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支撑结构，黑钛拉丝不锈钢工艺包边，上下左右各包边5公分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B1A0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420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08E1559">
            <w:pPr>
              <w:rPr>
                <w:rFonts w:hint="eastAsia" w:ascii="宋体" w:hAnsi="宋体" w:eastAsia="宋体" w:cs="宋体"/>
                <w:i w:val="0"/>
                <w:iCs w:val="0"/>
                <w:color w:val="auto"/>
                <w:sz w:val="18"/>
                <w:szCs w:val="18"/>
                <w:highlight w:val="none"/>
                <w:u w:val="none"/>
              </w:rPr>
            </w:pPr>
          </w:p>
        </w:tc>
      </w:tr>
      <w:tr w14:paraId="189F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1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1D44B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无线投屏器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B1DAC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1、usb无线传屏，支持windows和mac电脑，仅通过usb口，同时完成传输和供电，无线传屏至接收端。一键传屏，无需安装软件。支持对usb传屏器所插电脑的触摸反控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2、支持主流操作系统通过wifi的无线传屏，windows和安卓系统，通过运行应用程序进行镜像传屏；ios,mac通过自带airplay协议实现镜像传屏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3、接收端内置两个wifi模块，一个用于产生热点用于传屏，另外一个用于连接办公室网络，无需连接网线使得连接热点正在传屏的移动终端还能上网，投屏上网两不误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4、接收端内置蓝牙模块，安卓手机在镜像投屏时，可以上网播放在线视频或者在线音乐并能传屏传声音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5、接收端具备联网自动升级功能，能通过网络及时*新内置程序，以及usb传屏器升级包，当把usb传屏器插入接收端usb口时自动升级usb传屏器。方便升级等售后服务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6、具备多种投屏模式，满足各种场合需求，抢占模式和*占模式可以随意切换，可以设置动态投屏码防止投屏事故。可设置竖屏模式，方便手机竖屏满屏传屏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7、内置批注功能，能对传屏画面进行实时批注，并保存本地，u盘或者手机二维码分享多种选择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8、具备管理员功能，提供管理员客户端软件，通过管理员客户端软件可以方便控制投屏端的上下屏操作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9、支持集控部署和管理，支持公网集控服务器部署或者私有网络服务器部署，通过集控管理端，可以对*设备进行设置或者管理，如，设置投屏参数，设置壁纸，推送安装*应用等功能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10、自动重启功能:内置实时时钟模块，确保无互联网状态下，系统时间仍能正常运行，并能在凌晨无投屏状态时自动重启，确保设备365天7x24小时不掉电仍能有效运行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11、兼容miracast和widi功能，接收端运行内置特定程序后，可以支持安卓手机的miracast投屏和笔记本的widi投屏，无需安卓软件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12、支持手机扫码投屏功能，微信，支付宝扫一扫直接进入镜像投屏状态，无需手动连接wifi等其他操作步奏，方便快捷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13、支持跨网段投屏，接收主机与安卓客户端，windows客户端可以处于不同网段，在客户端只需输入接收主机的投屏码即可投屏。投屏码支持动态变化。服务器可以部署在云端或客户内网自建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14、接收主机支持hdmi 2.0 4k60hz输出，支持混合双画面同屏显示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15、具备2个usb口，1个hdmi输出口，1个rj45网口，1个模拟音频输出口，1个VGA输出口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16、支持反镜像功能，在安卓客户端，ios客户端，windows客户端可以反向显示主机的画面，并能触控主机或者投屏到主机的usb传屏电脑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17、可以配合多个标准版组成一传多解决方案，亦可配合windows触控一体机组成一传多解决方案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18、可以配合多个增强版组成智慧教室解决方案，亦可配合windows触控一体机组成智慧教室解决方案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19、提供移动客户端，在移动客户端上可以对主机内容进行实时批注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20、2G内存高配置，配合usb摄像头，可以运行第三方视频会议软件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21、支持vga和hdmi双输出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22、支持连接5G wifi网络进行桥接，提供*好的网络带宽</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04FB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F918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4B954E5">
            <w:pPr>
              <w:rPr>
                <w:rFonts w:hint="eastAsia" w:ascii="宋体" w:hAnsi="宋体" w:eastAsia="宋体" w:cs="宋体"/>
                <w:i w:val="0"/>
                <w:iCs w:val="0"/>
                <w:color w:val="auto"/>
                <w:sz w:val="18"/>
                <w:szCs w:val="18"/>
                <w:highlight w:val="none"/>
                <w:u w:val="none"/>
              </w:rPr>
            </w:pPr>
          </w:p>
        </w:tc>
      </w:tr>
      <w:tr w14:paraId="1EE4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D20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4BB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4K智能会议摄像机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686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1.4K超高清画面显示: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采用全新一代SONY 1/1.8英寸高品质CMOS，能实现最大4K60超高清分辨率广播及图像画面输出，更加大型场景录制。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2.25倍光学变焦镜头: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搭载25倍超高清光学镜头，支持主流水平视角59.2°，满足更多场景诸如大型大会堂视频会议、阶梯教室黑板板书等真实细节还原。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USB3.0+HDMI+LAN+SDI全接口，丰富的应用场景：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兼容目前主流的所有视频输出接口，HDMI+USB3.0 Type-B+12G-SDI+LAN能同时输出4K60分辨率。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4.低光照：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全新的超高信噪比CMOS图像传感器，可有效降低弱光条件下的图像噪点。 同时应用2D&amp;3D数字降噪，大幅降低图像噪点，即使在超低光照条件下，仍能保持画面干净清晰，图像信噪比高于50dB。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5.红外遥控器信号透传功能：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除了接收自己的红外遥控器信号外，它还可以接收消费者红外遥控器的信号，并通过VISCA 端口发送到视频会议终端。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6.多种视频压缩标准：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不同接口支持YUY2、H265、MJPG、H264多种视频压缩格式。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7.多种网络协议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支持ONVIF、SRT、RTSP、RTMP、Free D、 NDI®|HX3（可选）等网络协议。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8.多种控制协议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支持VISCA（含VISCA Over IP）、PELCO P/D协议、NDI®（可选）协议，支持自动识别协议。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9.内置OLED显示屏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实时显示摄像机IP地址和HDMI输出分辨率。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10.新一代人形+人脸识别跟踪算法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支持智能跟踪、自动取景和手势识别，支持5种手势控制，开启/关闭智能跟踪、自动取景功能，手势切换跟踪目标，自定义追踪大小，通过手势控制放大/缩小镜头倍数。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11.多种安装方式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多种安装方式，可桌面、吸顶、壁挂安装。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68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695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717E">
            <w:pPr>
              <w:rPr>
                <w:rFonts w:hint="eastAsia" w:ascii="宋体" w:hAnsi="宋体" w:eastAsia="宋体" w:cs="宋体"/>
                <w:i w:val="0"/>
                <w:iCs w:val="0"/>
                <w:color w:val="auto"/>
                <w:sz w:val="18"/>
                <w:szCs w:val="18"/>
                <w:highlight w:val="none"/>
                <w:u w:val="none"/>
              </w:rPr>
            </w:pPr>
          </w:p>
        </w:tc>
      </w:tr>
      <w:tr w14:paraId="583D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6D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919AE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LED屏综合布线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4A074D34">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主电缆线引致屏体内、主网线引至屏体内，摄像机专用线缆。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8E316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9CA6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5B07AF6">
            <w:pPr>
              <w:rPr>
                <w:rFonts w:hint="eastAsia" w:ascii="宋体" w:hAnsi="宋体" w:eastAsia="宋体" w:cs="宋体"/>
                <w:i w:val="0"/>
                <w:iCs w:val="0"/>
                <w:color w:val="auto"/>
                <w:sz w:val="18"/>
                <w:szCs w:val="18"/>
                <w:highlight w:val="none"/>
                <w:u w:val="none"/>
              </w:rPr>
            </w:pPr>
          </w:p>
        </w:tc>
      </w:tr>
      <w:tr w14:paraId="5C82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9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44E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线管</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DB8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镀锌金属线管,口径25mm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A7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8B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15A9D">
            <w:pPr>
              <w:rPr>
                <w:rFonts w:hint="eastAsia" w:ascii="宋体" w:hAnsi="宋体" w:eastAsia="宋体" w:cs="宋体"/>
                <w:i w:val="0"/>
                <w:iCs w:val="0"/>
                <w:color w:val="auto"/>
                <w:sz w:val="18"/>
                <w:szCs w:val="18"/>
                <w:highlight w:val="none"/>
                <w:u w:val="none"/>
              </w:rPr>
            </w:pPr>
          </w:p>
        </w:tc>
      </w:tr>
      <w:tr w14:paraId="50E4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1E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B0B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B70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国标2x2.0mm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C3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87D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77FD9">
            <w:pPr>
              <w:rPr>
                <w:rFonts w:hint="eastAsia" w:ascii="宋体" w:hAnsi="宋体" w:eastAsia="宋体" w:cs="宋体"/>
                <w:i w:val="0"/>
                <w:iCs w:val="0"/>
                <w:color w:val="auto"/>
                <w:sz w:val="18"/>
                <w:szCs w:val="18"/>
                <w:highlight w:val="none"/>
                <w:u w:val="none"/>
              </w:rPr>
            </w:pPr>
          </w:p>
        </w:tc>
      </w:tr>
      <w:tr w14:paraId="113F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CD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E72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音频接插线缆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1640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卡侬成品线缆、3.5音频信号线、欧插头、电源插头等</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000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D5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3FC4">
            <w:pPr>
              <w:rPr>
                <w:rFonts w:hint="eastAsia" w:ascii="宋体" w:hAnsi="宋体" w:eastAsia="宋体" w:cs="宋体"/>
                <w:i w:val="0"/>
                <w:iCs w:val="0"/>
                <w:color w:val="auto"/>
                <w:sz w:val="18"/>
                <w:szCs w:val="18"/>
                <w:highlight w:val="none"/>
                <w:u w:val="none"/>
              </w:rPr>
            </w:pPr>
          </w:p>
        </w:tc>
      </w:tr>
      <w:tr w14:paraId="47F1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F40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FF6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设备机柜</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F14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16U根据系统需求定制，工艺木质机柜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162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980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3D93F">
            <w:pPr>
              <w:rPr>
                <w:rFonts w:hint="eastAsia" w:ascii="宋体" w:hAnsi="宋体" w:eastAsia="宋体" w:cs="宋体"/>
                <w:i w:val="0"/>
                <w:iCs w:val="0"/>
                <w:color w:val="auto"/>
                <w:sz w:val="18"/>
                <w:szCs w:val="18"/>
                <w:highlight w:val="none"/>
                <w:u w:val="none"/>
              </w:rPr>
            </w:pPr>
          </w:p>
        </w:tc>
      </w:tr>
      <w:tr w14:paraId="6A5C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23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EA5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多功能会议厅（394人）多媒体设备</w:t>
            </w:r>
          </w:p>
        </w:tc>
      </w:tr>
      <w:tr w14:paraId="54ED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E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20F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线性阵列全频扬声器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3AE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1.系统类型：双8寸线阵扬声器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2.高音单元：CT-75N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3.低音单元：WooferCM0820L</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4.频响范围：65Hz~20KHz(-10dB)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5.频率响应：70Hz~18KHz(-3dB)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6.外置分频模式下音频参数: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灵敏度(1W@1m)：96dB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最大声压级(Pmax@1M)：122dB@500W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额定阻抗：8Ω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额定功率：500W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最大功率：1000W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7.外置分频模式下音频参数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建议分频点：1.6KHz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灵敏度(1W@1m)：WF:96dB/TW:103dB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最大声压级(Pmax@1M)：WF:122dB@400W/TW:123dB@110W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额定阻抗：WF:8Ω/TW:8Ω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额定功率：WF:400W/TW:110W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最大功率：WF:800W/TW:220W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10.覆盖角：W100°*H15°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11.箱体：桦木夹板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12.表面处理：黑色聚脲细点漆面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13.面罩：1.2mm厚黑色钢网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14.连接器：Speakon NL4*2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★15.提供CNAS出具的产品检验报告证书复印件，并加盖厂家公章，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★16.提供设备厂家针对本项目的项目授权书及售后服务承诺文件。</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C6C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B4A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2B19">
            <w:pPr>
              <w:rPr>
                <w:rFonts w:hint="eastAsia" w:ascii="宋体" w:hAnsi="宋体" w:eastAsia="宋体" w:cs="宋体"/>
                <w:i w:val="0"/>
                <w:iCs w:val="0"/>
                <w:color w:val="auto"/>
                <w:sz w:val="18"/>
                <w:szCs w:val="18"/>
                <w:highlight w:val="none"/>
                <w:u w:val="none"/>
              </w:rPr>
            </w:pPr>
          </w:p>
        </w:tc>
      </w:tr>
      <w:tr w14:paraId="30A3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CB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345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线性阵列次低扬声器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AE9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1.系统类型：18寸次低音扬声器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2.低音单元：Woofer CM18400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3.频响范围：35Hz~1000Hz(-10dB)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4.频率响应：40Hz~750Hz(-3dB)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5.灵敏度(1W@1m)：99dB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6.最大声压级(Pmax@1M)：128dB@800W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7.额定阻抗：8Ω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8.额定功率：800W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9.最大功率：1600W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10.箱体：桦木夹板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11.表面处理：黑色聚脲细点漆面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12.面罩：1.5mm厚黑色钢网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13.连接器：Speakon NL4*2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90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2F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9840E">
            <w:pPr>
              <w:rPr>
                <w:rFonts w:hint="eastAsia" w:ascii="宋体" w:hAnsi="宋体" w:eastAsia="宋体" w:cs="宋体"/>
                <w:i w:val="0"/>
                <w:iCs w:val="0"/>
                <w:color w:val="auto"/>
                <w:sz w:val="18"/>
                <w:szCs w:val="18"/>
                <w:highlight w:val="none"/>
                <w:u w:val="none"/>
              </w:rPr>
            </w:pPr>
          </w:p>
        </w:tc>
      </w:tr>
      <w:tr w14:paraId="1ADE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C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D08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全频超低扬声器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EC9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1.系统类型：双18寸超低音扬声器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2.低音单元：WOOFER CM18400*2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3.频响范围：35Hz~1000Hz(-10dB)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4.频率响应：40Hz~750Hz(-3dB)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5.灵敏度(1W@1m)：99dB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6.最大声压级(Pmax@1M)：131dB@1600W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7.额定阻抗：4Ω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8.额定功率：1600W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9.最大功率：3200W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10.箱体：桦木夹板11.表面处理：黑色聚脲细点漆面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12.面罩：1.8mm厚黑色钢网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13.连接器：Speakon NL4*2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C18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789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4AC8E">
            <w:pPr>
              <w:rPr>
                <w:rFonts w:hint="eastAsia" w:ascii="宋体" w:hAnsi="宋体" w:eastAsia="宋体" w:cs="宋体"/>
                <w:i w:val="0"/>
                <w:iCs w:val="0"/>
                <w:color w:val="auto"/>
                <w:sz w:val="18"/>
                <w:szCs w:val="18"/>
                <w:highlight w:val="none"/>
                <w:u w:val="none"/>
              </w:rPr>
            </w:pPr>
          </w:p>
        </w:tc>
      </w:tr>
      <w:tr w14:paraId="38C1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11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91A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线阵列通用吊装架</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38D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与线阵列音箱配套</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1DA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366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35710">
            <w:pPr>
              <w:rPr>
                <w:rFonts w:hint="eastAsia" w:ascii="宋体" w:hAnsi="宋体" w:eastAsia="宋体" w:cs="宋体"/>
                <w:i w:val="0"/>
                <w:iCs w:val="0"/>
                <w:color w:val="auto"/>
                <w:sz w:val="18"/>
                <w:szCs w:val="18"/>
                <w:highlight w:val="none"/>
                <w:u w:val="none"/>
              </w:rPr>
            </w:pPr>
          </w:p>
        </w:tc>
      </w:tr>
      <w:tr w14:paraId="3705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28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5DE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舞台返送扬声器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51F9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1、类型：12寸两分频前导相式全频音箱；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2、频率响应：不窄于55Hz-20KHz：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3、灵敏度（1W@1M）：≥ 98dB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4、指向性（W×H）：100°×90°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5、功率：额定功率≥ 400W，最大功率≥ 800W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 124dB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7、额定阻抗：8Ω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8、配置：低音单元：Woofer CM1230，高音单元：KT-17F;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9、输入端口：2×Speakon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10、箱体：桦木夹板，黑色聚脲细点漆面；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E3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2A7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66885">
            <w:pPr>
              <w:rPr>
                <w:rFonts w:hint="eastAsia" w:ascii="宋体" w:hAnsi="宋体" w:eastAsia="宋体" w:cs="宋体"/>
                <w:i w:val="0"/>
                <w:iCs w:val="0"/>
                <w:color w:val="auto"/>
                <w:sz w:val="18"/>
                <w:szCs w:val="18"/>
                <w:highlight w:val="none"/>
                <w:u w:val="none"/>
              </w:rPr>
            </w:pPr>
          </w:p>
        </w:tc>
      </w:tr>
      <w:tr w14:paraId="0600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1F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07B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沉浸式环绕扬声器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3DF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1、类型：8寸两分频前导相式全频音箱;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2、频率响应：不窄于65Hz-20KHz;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3、灵敏度（1W/1M）：≥94dB;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4、指向性：90°×40°;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5、功率：额定功率≥250W，最大功率≥500W；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6、最大声压级：≥118dB;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7、额定定阻：8Ω;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8、配置：低音单元：Woofer CM0820，高音单元：KT-14F;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9、箱体：桦木夹板，黑色聚脲细点漆面；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10、提供CNAS出具的产品检验报告证书复印件，加盖厂家公章。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1B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0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6FF7">
            <w:pPr>
              <w:rPr>
                <w:rFonts w:hint="eastAsia" w:ascii="宋体" w:hAnsi="宋体" w:eastAsia="宋体" w:cs="宋体"/>
                <w:i w:val="0"/>
                <w:iCs w:val="0"/>
                <w:color w:val="auto"/>
                <w:sz w:val="18"/>
                <w:szCs w:val="18"/>
                <w:highlight w:val="none"/>
                <w:u w:val="none"/>
              </w:rPr>
            </w:pPr>
          </w:p>
        </w:tc>
      </w:tr>
      <w:tr w14:paraId="6748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6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CC5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功率放大器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B97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1.输出功率立体声(2x4欧姆)：每声道975W,双声道驱动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2.输出功率立体声(2x8欧姆)：每声道650W,双声道驱动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3.输出功率桥接(1x8欧姆)：1950W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4.输出电路：Class D类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5.频率响应：20Hz-20KHz(±0.5dB)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6.分离度：&gt;85dB@8Ω 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7.信噪比(额定功率8Ω)：≥105dB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8.转换速率：≥25V/μs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9.阻尼系数：≥400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10.总谐波失真(半功率)：≤0.1%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11.输入灵敏度：0.775V,1.4V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12.输入阻抗：20K欧姆，平衡输入/10K欧姆，非平衡输入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13.冷却：温控连续变速风扇，从前到后的空气流动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14.控制：前面板：2个音量衰减器    后面板：1个灵敏度开关，1个工作模式开关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15.指示灯：Prot为保护指示灯，DDT™为过载指示灯，Signal为信号指示灯，Active为电源指示灯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16.保护：直流、短路、过热、软启动、输出/输入过载保护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17.输入连接器：2x三芯卡依XLR母座/2x三芯卡依XLR公座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18.输出连按器：2xNL4FX四芯音响连接器/红正黑负接线柱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19.电源连接器：AC220V (50Hz-60Hz)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20.结构：铝面板及镀锌板机箱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D5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DC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DC74A">
            <w:pPr>
              <w:rPr>
                <w:rFonts w:hint="eastAsia" w:ascii="宋体" w:hAnsi="宋体" w:eastAsia="宋体" w:cs="宋体"/>
                <w:i w:val="0"/>
                <w:iCs w:val="0"/>
                <w:color w:val="auto"/>
                <w:sz w:val="18"/>
                <w:szCs w:val="18"/>
                <w:highlight w:val="none"/>
                <w:u w:val="none"/>
              </w:rPr>
            </w:pPr>
          </w:p>
        </w:tc>
      </w:tr>
      <w:tr w14:paraId="710A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09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C4A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功率放大器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AF9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1.输出功率立体声(2x4欧姆)：每声道1275W,双声道驱动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2.输出功率立体声(2x8欧姆)：每声道850W,双声道驱动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3.输出功率桥接(1x8欧姆)：2550W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4.输出电路：Class D类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5.频率响应：20Hz-20KHz(±0.5dB)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6.分离度：&gt;85dB@8Ω 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7.信噪比(额定功率8Ω)：≥105dB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8.转换速率：≥25V/μs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9.阻尼系数：≥400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10.总谐波失真(半功率)：≤0.1%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11.输入灵敏度：0.775V,1.4V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12.输入阻抗：20K欧姆，平衡输入/10K欧姆，非平衡输入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13.冷却：温控连续变速风扇，从前到后的空气流动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14.控制：前面板：2个音量衰减器    后面板：1个灵敏度开关，1个工作模式开关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15.指示灯：Prot为保护指示灯，DDT™为过载指示灯，Signal为信号指示灯，Active为电源指示灯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16.保护：直流、短路、过热、软启动、输出/输入过载保护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17.输入连接器：2x三芯卡依XLR母座/2x三芯卡依XLR公座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18.输出连按器：2xNL4FX四芯音响连接器/红正黑负接线柱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19.电源连接器：AC220V (50Hz-60Hz)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20.结构：铝面板及镀锌板机箱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D1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F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5A83">
            <w:pPr>
              <w:rPr>
                <w:rFonts w:hint="eastAsia" w:ascii="宋体" w:hAnsi="宋体" w:eastAsia="宋体" w:cs="宋体"/>
                <w:i w:val="0"/>
                <w:iCs w:val="0"/>
                <w:color w:val="auto"/>
                <w:sz w:val="18"/>
                <w:szCs w:val="18"/>
                <w:highlight w:val="none"/>
                <w:u w:val="none"/>
              </w:rPr>
            </w:pPr>
          </w:p>
        </w:tc>
      </w:tr>
      <w:tr w14:paraId="10B6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82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FD5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功率放大器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4CB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1.输出功率立体声(2x4欧姆)：每声道1500W,双声道驱动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2.输出功率立体声(2x8欧姆)：每声道1000W,双声道驱动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3.输出功率桥接(1x8欧姆)：3000W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4.输出电路：Class D类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5.频率响应：20Hz-20KHz(±0.5dB)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6.分离度：&gt;85dB@8Ω 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7.信噪比(额定功率8Ω)：≥105dB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8.转换速率：≥25V/μs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9.阻尼系数：≥400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10.总谐波失真(半功率)：≤0.1%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11.输入灵敏度：0.775V,1.4V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12.输入阻抗：20K欧姆，平衡输入/10K欧姆，非平衡输入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13.冷却：温控连续变速风扇，从前到后的空气流动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14.控制：前面板：2个音量衰减器    后面板：1个灵敏度开关，1个工作模式开关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15.指示灯：Prot为保护指示灯，DDT™为过载指示灯，Signal为信号指示灯，Active为电源指示灯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16.保护：直流、短路、过热、软启动、输出/输入过载保护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17.输入连接器：2x三芯卡依XLR母座/2x三芯卡依XLR公座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18.输出连按器：2xNL4FX四芯音响连接器/红正黑负接线柱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19.电源连接器：AC220V (50Hz-60Hz)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20.结构：铝面板及镀锌板机箱</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8C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29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86A2">
            <w:pPr>
              <w:rPr>
                <w:rFonts w:hint="eastAsia" w:ascii="宋体" w:hAnsi="宋体" w:eastAsia="宋体" w:cs="宋体"/>
                <w:i w:val="0"/>
                <w:iCs w:val="0"/>
                <w:color w:val="auto"/>
                <w:sz w:val="18"/>
                <w:szCs w:val="18"/>
                <w:highlight w:val="none"/>
                <w:u w:val="none"/>
              </w:rPr>
            </w:pPr>
          </w:p>
        </w:tc>
      </w:tr>
      <w:tr w14:paraId="0A3E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64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B4B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功率放大器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307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1.8Ω/立体声:2×1500W；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2.4Ω/立体声:2×2550W；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3.2Ω/立体声:2×4330W(此功率是使用20ms脉冲1kHz正弦波在1%总谐波失真下测量得出)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4.16Ω/桥接:1×3000W；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5.8Ω/桥接:1×5100W；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6.4Ω/桥接:1×8660W（此功率是使用20ms脉冲1kHz正弦波在1%总谐波失真下测量得出）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7.RMS输出电压  (THD=1%,1kHz):109.5V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8.输入灵敏度 (额定输出功率，1kHz)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9.THD+N  0.01%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10.串扰抑制 ≥90dB（低于额定功率，20Hz-1kHz）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11.频率响应 ±0.2dB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12.输入阻抗 20kΩ（平衡) ，10kΩ（非平衡)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13.阻尼系数 ≥5000（8Ω，20Hz~200Hz）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14.信噪比(A记权，20Hz~20kHz)  ≥105dB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15.电源要求 90~260VAC，50~60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★16.为保证扩声系统的兼容性，扬声器需与功放为同一品牌。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DC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31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D17F">
            <w:pPr>
              <w:rPr>
                <w:rFonts w:hint="eastAsia" w:ascii="宋体" w:hAnsi="宋体" w:eastAsia="宋体" w:cs="宋体"/>
                <w:i w:val="0"/>
                <w:iCs w:val="0"/>
                <w:color w:val="auto"/>
                <w:sz w:val="18"/>
                <w:szCs w:val="18"/>
                <w:highlight w:val="none"/>
                <w:u w:val="none"/>
              </w:rPr>
            </w:pPr>
          </w:p>
        </w:tc>
      </w:tr>
      <w:tr w14:paraId="1EAF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C0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03CD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调音台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A2B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1.24路话筒输入，带有 48V幻象供电，每通道带有HPF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2.32个线路输入 (24个单声道和 4个立体声)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3.6个AUX发送 + 2个FX发送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4.4 GROUP母线 + ST母线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5.2 Matrix 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6.1 个单声道输出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7.录音棚级分布式A类 “D-PRE”话放， 内部配置复合晶体管倒相电路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8.具音乐韵味的 X-pressive EQ功能源于Yamaha久负盛名的VCM技术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9.专业单旋钮压缩器，带有LED指示灯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10.双重数字效果处理器:REV-X和Classic SPX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11.Stereo Hybrid Channels (立体声混合型通道)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12.iPod/iPhone的数字式连接， 用于音频播放与DSP控制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13.MGP Editor可以通过iPod/iPhone详细控制和操作DSP设置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14.耐久、紧凑而坚固的粉末喷涂金属外壳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15.从已连接的 USB 设备中回放或录音到该 USB 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16.31段 GEQ，具备可选的 9 个 flex 频段或 14 个固定频段模式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17.三段式主压缩器可以分配到立体声母线</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3CE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64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2D65C">
            <w:pPr>
              <w:rPr>
                <w:rFonts w:hint="eastAsia" w:ascii="宋体" w:hAnsi="宋体" w:eastAsia="宋体" w:cs="宋体"/>
                <w:i w:val="0"/>
                <w:iCs w:val="0"/>
                <w:color w:val="auto"/>
                <w:sz w:val="18"/>
                <w:szCs w:val="18"/>
                <w:highlight w:val="none"/>
                <w:u w:val="none"/>
              </w:rPr>
            </w:pPr>
          </w:p>
        </w:tc>
      </w:tr>
      <w:tr w14:paraId="50E7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78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097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网络音频媒体处理中心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D4F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1.DSP芯片：Ti 450MHz FLOPS双核；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2.支持USB2.0 录制/播放；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3.支持中控指令集生成器；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4.核心算法：反馈消除（AFC），回声消除 (AEC)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5.输入处理：前级放大、信号发生器、扩展器、压缩器、5段参量均衡、反相、自动增益、自动混音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6.输出处理：31段图示均衡器、延时器、分频器、高低通滤波器、限幅器、反相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7.矩阵混音：输入和输出信号矩阵式混音，混音分量控制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8.支持自动摄像跟踪功能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★9.场景预设：100组自定义设置(提供带有CMA、ILAC-MRA、CNAS标识的第三方检测报告，加盖厂家公章，必要时官网可查询)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10.端口配置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不少于8路模拟输入通道，不少于8路模拟输出通道；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不少于1个Ethernet控制端口；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不少于1个RS232和1个RS485；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不少于8路GPIO；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11.支持WIFI联机；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★12.输入增益放大不少于-24～27dB，3dB共17级；(提供带有CMA、ILAC-MRA、CNAS标识的第三方检测报告，加盖厂家公章，必要时官网可查询)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13.支持平衡/非平衡,输入/输出；支持MIC\LINE,输入/输出；每路独立48V幻象供电开关；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14.软件及操作系统：控制处理软件及APP/Windows32位/Windows64位/IOS/android/机器内置客户端，支持联机下载.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★15.为保证系统的稳定性及兼容性，生产厂家须提供两化融合管理体系评定证书，加盖厂家公章，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★16.提供设备厂家针对本项目的项目授权书及售后服务承诺文件。</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3BA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363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C2C0">
            <w:pPr>
              <w:rPr>
                <w:rFonts w:hint="eastAsia" w:ascii="宋体" w:hAnsi="宋体" w:eastAsia="宋体" w:cs="宋体"/>
                <w:i w:val="0"/>
                <w:iCs w:val="0"/>
                <w:color w:val="auto"/>
                <w:sz w:val="18"/>
                <w:szCs w:val="18"/>
                <w:highlight w:val="none"/>
                <w:u w:val="none"/>
              </w:rPr>
            </w:pPr>
          </w:p>
        </w:tc>
      </w:tr>
      <w:tr w14:paraId="4D8C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A4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01B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电源时序器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D7D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1、彩屏显示：2寸彩色TFT屏幕，系统支持中英文显示，可实时显示当前电压、日期时间、通道开关状态、场景模式与级联状态，让时序器工作状态更加清晰直观。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2、快捷导航键：通过转动EDIT键可对参数进行设置，一键操作，方便快捷。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3、八路通道：每通道延时开启/关闭（时间可设置为0-999秒），防止电流冲击，捍卫设备安全。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4、定时器：内置时钟芯片，可根据时间定时设置智能自动开关机。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5、智能保护：过压/欠压保护，可自定义保护值，能够避免电压不稳定造成的设备损坏。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6、场景调用：保存/调用模式，可以设置10组场景模式。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7、外接控制：外接无锁I/O开关，轻松实现远程开关。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8、级联/中控：通过RS485接口可以将多台时序器级联并自动编号，通过RS232接口与中控设备连接，实现统一管理、控制。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9、万用插座：纯铜万用插口设计，满足不同标准的插头，电流传输稳定。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10、纯铜电缆：电流负载强，不容易过热、软化。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11、输入电压：AC220V/50Hz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12、额定功率：6000W   3*4.0平方交流电源线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13、单路输出最大电流：16A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14、USB DC 5V 800mA供电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15、显示方式：320*240 TFT屏幕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16、输入方式：3*4.0平方交流电源线，不带插头，可与空气开关连接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17、输出方式：8路电源输出，标准通用三芯插座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18、欠压过压保护：欠压（120-190V） 过压（240-290V）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19、定时设置：每日/每周重复开关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★20、提供带有CMA、ILAC-MRA、CNAS标识的第三方检测报告，加盖厂家公章，必要时官网可查询</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7E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00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870D">
            <w:pPr>
              <w:rPr>
                <w:rFonts w:hint="eastAsia" w:ascii="宋体" w:hAnsi="宋体" w:eastAsia="宋体" w:cs="宋体"/>
                <w:i w:val="0"/>
                <w:iCs w:val="0"/>
                <w:color w:val="auto"/>
                <w:sz w:val="18"/>
                <w:szCs w:val="18"/>
                <w:highlight w:val="none"/>
                <w:u w:val="none"/>
              </w:rPr>
            </w:pPr>
          </w:p>
        </w:tc>
      </w:tr>
      <w:tr w14:paraId="0E8C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11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B8E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双通道无线手持话筒</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179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1、本系列是一款双通道真分集无线麦克风，真分集的接收方式更稳定，自动选讯，消除接收死角，避免断频现象发生；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2、专业支持演讲以及室外演唱机型，UHF真分集，确保远距离有效接收，可视距离约300M左右，配合天线分配器、放大器使用，距离可达400M左右；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3、IRA红外线自动锁频功能和手动备份功能，操作简单、快捷并有安全保证；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4、调制方式： 宽带调频；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5、频率范围： 600-900MHZ；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6、信道数目： 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7、频率稳定度： ±0.005%；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8、动态范围： 100dB；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9、最大偏差： ±48KHZ，水平限度；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10、音频频率响应： 40HZ-18KHZ(±3dB)；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11、信噪比： 105dB；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12、接收方式：  自动调频；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13、震荡方式： PLL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14、手持麦克风内置螺旋天线，腰挂发射器采用1/4波长鞭状天线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15、拾音头： 动圈式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16、工作时间： 高功率不低于6小时，低功率不低于10个小时；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2A9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624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8BAF">
            <w:pPr>
              <w:rPr>
                <w:rFonts w:hint="eastAsia" w:ascii="宋体" w:hAnsi="宋体" w:eastAsia="宋体" w:cs="宋体"/>
                <w:i w:val="0"/>
                <w:iCs w:val="0"/>
                <w:color w:val="auto"/>
                <w:sz w:val="18"/>
                <w:szCs w:val="18"/>
                <w:highlight w:val="none"/>
                <w:u w:val="none"/>
              </w:rPr>
            </w:pPr>
          </w:p>
        </w:tc>
      </w:tr>
      <w:tr w14:paraId="26B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8B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65A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数字无线会议系统主机</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1D9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1.基于全数字网络技术方案开发，具备时钟同步与传输技术、WIFI无线通讯技术，音频传输延时≤5ms，支持全数字有线会议单元与5G WIFI加密无线会议单元同时使用。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6种会议发言模式：FIFO（先进先出模式）、NORMAL（轮流发言模式）、FREE（自由发言模式）、APPLY（申请发言模式）、VOICE（声控发言模式）、LIMIT（限时发言模式），最大同时发言人数可设置26支，支持16支有线会议单元与10支无线会议单元同时发言，发言人数在预设范围内可任意设定，有线单元发言人数可设置为1至16之间的任意数量，无线单元发言人数可设置为1至10之间的任意数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3.系统具有65535支会议单元ID容量，可任意搭配全数字有线会议单元、翻译单元或5G WIFI加密无线会议单元接入使用。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4.具有AP信道扫描功能，可扫描查看现场在线AP名称与无线信道的使用情况，支持手动选择或自动配置优质信道。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★5.音频输出接口：1组RCA座、1路卡侬头、2路LINE-OUT凤凰座，每个音频输出通道均具备独立的10段EQ调节、30级音量dB值调节、200级延时器调节功能。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6.具有1路TCP/IP网络控制接口、1路KEYBOARD摄像机键盘控制接口、1路ALARM消防报警联动触发接口，1路RS485摄像机控制接口，1路RS232-COM控制接口、1路RS232-PC控制接口。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ALARM消防报警联动触发接口，可对接火灾自动报警系统或连接烟雾报警器，当消防联动信号或报警器信号触发时，系统立即自动终止会议的功能操作，会议主机、会议单元与翻译单元界面同步显示消防警报提示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8.具有RS485摄像机控制接口，主机具备预置位发言跟踪功能，支持PELCO-D、PELCO-P、VISCA控制协议，最大支持同时连接16台摄像机进行预置位发言跟踪。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5寸全彩触控屏，提供会议模式、签到表决、无线控制、USB录播、主题风格、云球控制、音频控制、ID配置、系统设置、系统状态功能控制菜单；可通过主机触控屏实现选择会议模式、有线单元与无线单元开启数量，发起与结束签到、表决进程，一键关闭全部WIFI无线会议单元功能，控制USB录音与USB播放功能，切换单元主题风格界面，配置会议摄像机预置位与关联会议单元ID设置，调节LINE-OUT音频输出接口的音量大小，配置会议单元ID，切换系统语言、设置系统时间、调节显示亮度、查看本机IP信息、设置双机备份功能、查看主机注册状态，查询在线单元的类型与数量信息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10.系统预设4种语言：中、英、俄、法，可根据会议需求进行切换。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11.具有主机注册功能，可通过触控屏或PC软件输入注册码进行主机注册，可查看主机注册状态。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★12.系统具备有线同声传译功能，支持同时传输69+1通道同声传译音频，可通过有线会议单元进行选择收听。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13.具有双机热备份功能，会议主机可设置为主用机或备用机，当主用机出现故障时，系统可自动切换至备用机运行。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14.工作电源：AC 100-120V/200-240V 50-60Hz by switch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15.会议单元容量：65535支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16.USB接口：USB*1，支持U盘录音与音频播放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17.显示屏：5寸，IPS全彩触控屏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18.频率响应：20Hz-20KHz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19.总谐波失真：≤0.05%@1KHz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851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9D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1786A">
            <w:pPr>
              <w:rPr>
                <w:rFonts w:hint="eastAsia" w:ascii="宋体" w:hAnsi="宋体" w:eastAsia="宋体" w:cs="宋体"/>
                <w:i w:val="0"/>
                <w:iCs w:val="0"/>
                <w:color w:val="auto"/>
                <w:sz w:val="18"/>
                <w:szCs w:val="18"/>
                <w:highlight w:val="none"/>
                <w:u w:val="none"/>
              </w:rPr>
            </w:pPr>
          </w:p>
        </w:tc>
      </w:tr>
      <w:tr w14:paraId="4144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A42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D01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数字会议主席单元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8F1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34.主席单元具有优先发言与会议控制功能，发言不受发言模式与发言人数限制，可批准代表单元发言申请，可关闭正在发言的代表单元，可发起与结束会议签到进程，可发起与结束三键表决进程。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67C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3F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90D3D">
            <w:pPr>
              <w:rPr>
                <w:rFonts w:hint="eastAsia" w:ascii="宋体" w:hAnsi="宋体" w:eastAsia="宋体" w:cs="宋体"/>
                <w:i w:val="0"/>
                <w:iCs w:val="0"/>
                <w:color w:val="auto"/>
                <w:sz w:val="18"/>
                <w:szCs w:val="18"/>
                <w:highlight w:val="none"/>
                <w:u w:val="none"/>
              </w:rPr>
            </w:pPr>
          </w:p>
        </w:tc>
      </w:tr>
      <w:tr w14:paraId="5F71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B8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49F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数字会议代表单元</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34A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1.会议单元与会议主机通过WIFI无线连接，支持48kHz音频采样率，采用非压缩音频传输技术，全数字化传输音频信号与控制信号。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2.采用128位AES加密技术，支持WPA/WPA2无线安全技术，防止窃听与非授权访问，保障会议的私密性。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3.采用高性能双频WIFI模块，通过Linux多线程嵌入式底层软件驱动，会议单元开机至连接完成用时≤5秒。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4.会议单元底座造型端正，搭配可调仰角方型咪杆，外观简约时尚。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5.采用铝合金材质面板，使用喷砂工艺与阳极氧化工艺进行表面处理，CNC加工高光边，具有持久光泽度。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6.咪杆具有LED指示灯，可显示会议单元的发言状态，内置电容式超心型指向性咪芯，拾音清晰灵敏。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7.具有4寸全彩触控屏，显示区域采用圆形屏设计，可显示会议发言模式、单元ID、日期、时间、发言状态、发言时间、电池电量、WIFI连接状态等信息。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8.采用硅胶无声按键，具有物理按压手感，同时有效杜绝按键敲击声。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9.支持服务呼叫功能，系统预设5种服务呼叫选项：纸笔、茶水、纸巾、清洁打扫、会议人员。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10.支持会议签到功能，可通过软件发起、结束签到进程，支持软件控制单元签到，签到结果可实时投屏，单元界面可查看签到结果。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11.支持会议表决功能，可通过软件发起、结束表决进程，支持软件编辑表决、选举、评级、满意度、自定义选项等表决议案，表决结果可实时投屏，单元界面可查看表决结果。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12.支持发言状态查询，单元界面可查看当前发言模式、发言人数限制，具有列表显示当前发言单元的ID号与发言时间、等待发言单元的ID号。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13.支持主题风格切换，系统预设2种会议单元界面主题风格：科技主题、党政主题，可通过会议主机、主席会议单元控制具有全彩触控屏的会议单元一键切换界面主题风格。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14.支持耳机收听功能，单元具有3.5mm音频口，可连接外置耳机。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15.支持声控功能，可通过单元界面独立设置单元的声控灵敏度、延时关闭时间、声控功能开关，可通过会议主机、会议管理软件进行统一设置。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16.支持单元EQ调节，具有5段EQ均衡器，每段EQ提供0±10dB调节幅度，可针对发言者的声音特点调节不同的音效，可通过单元界面、会议管理软件进行调节。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17.支持显示亮度调节，可通过单元界面自定义调节显示亮度。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18.支持系统语言切换，系统预设4种系统语言：中、英、俄、法，可根据会议需求进行切换。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19.支持发言计时功能，单元可通过显示屏查看当前发言时间。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20.支持设备状态查询，单元界面可查看当前发言模式、单元ID号、IP地址、MAC地址。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21.单元具有独立的控制页面，可通过PC、WEB会议管理软件调节单元ID号、灵敏度、EQ等参数。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22.单元具有TCP/IP协议簇，支持ICMP、HTTP、UDP、TCP、IGMP等多种协议。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23.单元支持PING包功能。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24.单元支持固件升级功能，可通过单元TYPE-C接口进行固件升级。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25.单元具有声压限幅电路设计，聚焦响应人声频率范围，同时可有效抑制啸叫现象。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26.单元具有独立ID地址，可通过会议管理软件根据单元ID进行独立控制，支持预置位发言自动跟踪功能。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27.单元具有消防报警提示功能，当消防联动信号触发时，单元显示屏同步显示消防警报信息，第一时间提醒会场人员紧急撤离。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28.支持通过UI设置SSID功能，可通过单元界面手动输入SSID名称与密码设置WIFI连接，可查看当前已连接SSID信息。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29.支持智能检测故障功能，具有AP故障、主机通信故障、WIFI信号强度过低等异常信息提示。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30.单元内置10000mAH可充电锂电池，持续发言时间15小时，待机时间19小时。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31.具有低电量提示功能，当电池续航不足1小时，自动弹出充电提示。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32.单元具有自动检测主机通讯状态与智能自动关机功能，当会议主机关机或断开通讯状态时间达5分钟时，会议单元自动执行关机动作以节能省电。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33.具有TYPE-C充电口，支持PD快充协议，充电峰值功率可达到18W，可通过单元界面或无线会议单元充电器查看实时充电状态。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34.通讯频段：2.400GHz-2.484GHz，5.150GHz-5.850GHz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35.咪芯类型：14mm镀金膜电容式咪芯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36.指向特性：超心型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37.灵敏度：-30±2dB（0dB=1V/Pa，@1KHz）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38.充电数据口：TYPE-C*1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39.电池容量：10000mAH，可充电锂电池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40.续航时间：连续发言15小时，待机时间19小时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84C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F00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F4A2">
            <w:pPr>
              <w:rPr>
                <w:rFonts w:hint="eastAsia" w:ascii="宋体" w:hAnsi="宋体" w:eastAsia="宋体" w:cs="宋体"/>
                <w:i w:val="0"/>
                <w:iCs w:val="0"/>
                <w:color w:val="auto"/>
                <w:sz w:val="18"/>
                <w:szCs w:val="18"/>
                <w:highlight w:val="none"/>
                <w:u w:val="none"/>
              </w:rPr>
            </w:pPr>
          </w:p>
        </w:tc>
      </w:tr>
      <w:tr w14:paraId="1162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88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77964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智能反馈抑制器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1C70694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1、具有一键全自动检测现场啸叫点功能,通过DSP系统对声音进行过滤，低音补偿自动混音、智能高速反馈处理；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2、全数字化最大限度消除回输，同时使用多个话筒时，自动适应声学环境，无需调试，快速校正功能，保证音质，减少延时；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3、四通道信号输入，满足更大的需求；高中低三档输入电平选择，防止峰值输入失真，有效增加话筒拾音距离。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4、额定电压：220V~10%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5、幻像供电：48V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6、取样频率：32KHz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7、频率响应：125Hz~15KHz(语音模式)   20Hz~15KHz(音乐模式)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8、失真度：&lt;0.1%@1KHz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9、信噪比：&gt;90dB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10、信号延迟：7ms(音乐模式)    11ms(语音模式)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11、输入阻抗：20K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12、输出阻抗（平衡）：200Ω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071E5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8CB4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AAEEA98">
            <w:pPr>
              <w:rPr>
                <w:rFonts w:hint="eastAsia" w:ascii="宋体" w:hAnsi="宋体" w:eastAsia="宋体" w:cs="宋体"/>
                <w:i w:val="0"/>
                <w:iCs w:val="0"/>
                <w:color w:val="auto"/>
                <w:sz w:val="18"/>
                <w:szCs w:val="18"/>
                <w:highlight w:val="none"/>
                <w:u w:val="none"/>
              </w:rPr>
            </w:pPr>
          </w:p>
        </w:tc>
      </w:tr>
      <w:tr w14:paraId="4C1A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F3B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64D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会议专用充电箱</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41E0E2">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1.具有20路5V USB充电接口，单路输出电流峰值：2.4A，可根据设备电量自动调整电流，输出总电流峰值：40A，支持同时插满全部USB接口，供设备批量充电。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2.具有数码屏可显示设备输出电压，每路USB接口配置独立的LED充电状态指示灯，充电时亮红灯，充满时亮蓝灯，空载时不亮灯，可直观显示每个USB接口的充电状态。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3.内置PWM电源管理芯片，自动检测充电状态，充满后自动断电。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4.支持PD快充协议，智能识别、智能分流、智能快充，自动调整输出电流，支持无线会议单元快速充电。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5.具有自动检测过压保护、过流保护、过充保护、短路保护、自动恢复等多种智能安全防护，支持无线会议单元安全充电。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6.电源输入：AC 200-240V 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7.输出接口：USB*20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8.单口输出电压：DC 5V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9.单口输出电流峰值：2.4A</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FA3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78F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6459">
            <w:pPr>
              <w:rPr>
                <w:rFonts w:hint="eastAsia" w:ascii="宋体" w:hAnsi="宋体" w:eastAsia="宋体" w:cs="宋体"/>
                <w:i w:val="0"/>
                <w:iCs w:val="0"/>
                <w:color w:val="auto"/>
                <w:sz w:val="18"/>
                <w:szCs w:val="18"/>
                <w:highlight w:val="none"/>
                <w:u w:val="none"/>
              </w:rPr>
            </w:pPr>
          </w:p>
        </w:tc>
      </w:tr>
      <w:tr w14:paraId="1CD2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87A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82CD8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无线会议专用天线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36177BE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1.5G WIFI加密无线会议专用AP与全数字会议系统主机通过网线连接，用于5G WIFI加密无线会议单元通过WIFI无线网络接入全数字会议系统，单个AP支持接入128支无线会议单元。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2.具有双空间流双频并发技术，无线传输速率：1.8Gbps（2.4GHz传输速率：600Mbps，5GHz传输速率：1.2Gbps）。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3.内置高功率FEM与4组双频铜片天线，WIFI信号覆盖范围半径：25米。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4.采用802.11ax标准（WIFI-6）无线网络技术，同时兼容802.11b/a/g/n/ac标准传输协议，具有高带宽、高容量、低延时、低功耗特性。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5.支持OPEN、WEP、WPA/WPA2/WPA3、WPA/WPA2/WPA3-PSK、802.11i等多种认证与加密协议标准，提高会议的安全性与私密性。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6.具有自动调整信道功能，可自动扫描应用环境中的WIFI信道使用情况并选择优质信道，智能动态调节WIFI发射功率。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7.支持自定义设置设备SSID名称，可设置隐藏设备SSID名称。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8.具有MAC地址过滤功能，可防止未经授权的访问。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9.支持通过连接AC控制器实现多AP组网模式，提高无线会议单元的接入容量，覆盖更大的应用范围，具备智能漫游功能，无线会议单元在WIFI信号覆盖范围内，可实现不同AP之间的无缝漫游。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10.安装方式：平放式、壁挂式、吸顶式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81A05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1F39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BD5499B">
            <w:pPr>
              <w:rPr>
                <w:rFonts w:hint="eastAsia" w:ascii="宋体" w:hAnsi="宋体" w:eastAsia="宋体" w:cs="宋体"/>
                <w:i w:val="0"/>
                <w:iCs w:val="0"/>
                <w:color w:val="auto"/>
                <w:sz w:val="18"/>
                <w:szCs w:val="18"/>
                <w:highlight w:val="none"/>
                <w:u w:val="none"/>
              </w:rPr>
            </w:pPr>
          </w:p>
        </w:tc>
      </w:tr>
      <w:tr w14:paraId="42F6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37A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D9A9E7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演讲专用麦克风</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21C51E48">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1.换能方式: 永久极性电容式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2.频率响应: 40Hz-20kHz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3.指向性: 单指向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4.输出阻抗（欧姆） : 200Ω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5.灵敏度 : -40dB±2dB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6.供电电压(V): DC9V/幻象48V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7.咪管长度：460mm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8.抗手机、电磁、高频干扰</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23DB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85A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04A4B2F">
            <w:pPr>
              <w:rPr>
                <w:rFonts w:hint="eastAsia" w:ascii="宋体" w:hAnsi="宋体" w:eastAsia="宋体" w:cs="宋体"/>
                <w:i w:val="0"/>
                <w:iCs w:val="0"/>
                <w:color w:val="auto"/>
                <w:sz w:val="18"/>
                <w:szCs w:val="18"/>
                <w:highlight w:val="none"/>
                <w:u w:val="none"/>
              </w:rPr>
            </w:pPr>
          </w:p>
        </w:tc>
      </w:tr>
      <w:tr w14:paraId="1D37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F46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7C1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电动调焦LED面光灯</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73E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1.额定电压：AC100～240V/50～60Hz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2.额定功率：300W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3.光源：330W COB集成灯珠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4.色温：3200K/5600K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5.光束角度：12°-55°线性电动调焦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6.光学透镜：菲涅尔螺纹透镜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7.中心照度：≥1300LUX / 10米（15°3200K）,≥490LUX / 10米（40° 3200K）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8.显指：CRI≥95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9.调焦：电动调节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10.频闪：0-30HZ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11.调光：线性调光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12.协议：旋钮，DMX,RDM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13.复位方式：传感器定位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14.通道：（3200K/5600K）2CH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15.显示：1.8英寸TFT液晶彩屏带有5个按键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16.外壳材料：铝型材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17.防护等级：IP20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18.挡光叶装置：扣式，无需工具拆装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19.散热：锻造工艺带温控智能风机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20.工作温度：-20℃- 40℃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21.最大表面温度：55℃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5B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B0B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92CAF">
            <w:pPr>
              <w:rPr>
                <w:rFonts w:hint="eastAsia" w:ascii="宋体" w:hAnsi="宋体" w:eastAsia="宋体" w:cs="宋体"/>
                <w:i w:val="0"/>
                <w:iCs w:val="0"/>
                <w:color w:val="auto"/>
                <w:sz w:val="18"/>
                <w:szCs w:val="18"/>
                <w:highlight w:val="none"/>
                <w:u w:val="none"/>
              </w:rPr>
            </w:pPr>
          </w:p>
        </w:tc>
      </w:tr>
      <w:tr w14:paraId="55F4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B6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85F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LED影视聚光灯</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66E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1.输入电压：AC110-240V/50-60HZ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2.灯珠规格：LED集成300W灯珠（暖白/正白）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3.色温：3200K ±5%/5600K ±5%可选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4.显色指数：R9≥90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5.额定功率：300W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6.光通量：5000Im-6000Im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7.通道：2/4通道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8.透镜：菲涅尔玻璃镜,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9.光场角：10°-50°手动线性调节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10.调光：16BT线性调光0～100%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11.控制：手动控制，DMX512控制模式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12.外壳：铸铝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13.防护等级：IP20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A4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0B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C0E7">
            <w:pPr>
              <w:rPr>
                <w:rFonts w:hint="eastAsia" w:ascii="宋体" w:hAnsi="宋体" w:eastAsia="宋体" w:cs="宋体"/>
                <w:i w:val="0"/>
                <w:iCs w:val="0"/>
                <w:color w:val="auto"/>
                <w:sz w:val="18"/>
                <w:szCs w:val="18"/>
                <w:highlight w:val="none"/>
                <w:u w:val="none"/>
              </w:rPr>
            </w:pPr>
          </w:p>
        </w:tc>
      </w:tr>
      <w:tr w14:paraId="5254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2A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1B4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LED三基色平板柔光灯</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673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1.光源：1203颗LED灯珠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2.光源寿命:50000小时，节能环保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3.显色指数：Ra≥90，色温：3200K/5600K/双色（3200K+5600K）可选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4.调光：0％-100％线性调光无闪烁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5.出光角度：90度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6.切挡光系统:4叶手动挡光叶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7.频闪效果:0-20Hz高速LED频闪效果、速度可调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8.控制协议：标准DMX512协议、、内置自走,声控程序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9.电控技术:带PFC开关电源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10.智能温控控制和智能风机控制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11.显示屏自动灭屏功能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12.输入电压：AC100-240V  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13.输入功率：630W，功率因数：≥0.98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14.散热铝/铜+静音风扇、机器过热保护，减灯珠功率保证正常使用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15.防护等级:IP20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16.-20~+45℃环境使用温度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18E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C7A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E32C">
            <w:pPr>
              <w:rPr>
                <w:rFonts w:hint="eastAsia" w:ascii="宋体" w:hAnsi="宋体" w:eastAsia="宋体" w:cs="宋体"/>
                <w:i w:val="0"/>
                <w:iCs w:val="0"/>
                <w:color w:val="auto"/>
                <w:sz w:val="18"/>
                <w:szCs w:val="18"/>
                <w:highlight w:val="none"/>
                <w:u w:val="none"/>
              </w:rPr>
            </w:pPr>
          </w:p>
        </w:tc>
      </w:tr>
      <w:tr w14:paraId="4002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7EF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E74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灯光控制台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0E8F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MX512/1990标准，最大1024个DMX控制通道，光电隔离信号输出;最大控制96台电脑灯或96路调光，使用珍珠灯库;内置图形轨迹发生器，有135个内置图形，方便用户对电脑灯进行图形轨迹控制，如画圆，螺旋，彩虹，追逐等多种效果;图形参数(如:振幅，速度，间隔，波浪，方向)均可独立设置; 60个重演场景，用于储存多步场景和单步场景，多步场景最多可储存600步;带背光的LCD显示屏，中英文显示;关机数据保持，U盘备份和升级，专业鹅颈工作灯，适合室内演出使用(选配)，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 AC100 240V/50-60HZ;</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6C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EE1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B6234">
            <w:pPr>
              <w:rPr>
                <w:rFonts w:hint="eastAsia" w:ascii="宋体" w:hAnsi="宋体" w:eastAsia="宋体" w:cs="宋体"/>
                <w:i w:val="0"/>
                <w:iCs w:val="0"/>
                <w:color w:val="auto"/>
                <w:sz w:val="18"/>
                <w:szCs w:val="18"/>
                <w:highlight w:val="none"/>
                <w:u w:val="none"/>
              </w:rPr>
            </w:pPr>
          </w:p>
        </w:tc>
      </w:tr>
      <w:tr w14:paraId="4F01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455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3E3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信号放大器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2FF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1.额定电压: AC110V ～240V, 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2.路数:1路输入，8路输出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3.1路DMX512数码输入，8路DMX512独立放大驱动输出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4.每路设置LED灯信号指示，具有3针和5针DMX两种接口，具有终端信号反馈器，以防止信号终端受干扰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5.输入/输出光电隔离。信号放大整形功能，延长信号传输距离，增强数据总线接入设备数量的能力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★6.提供CNAS出具的产品检验报告证书复印件，并加盖厂家公章。</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9B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83E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3103">
            <w:pPr>
              <w:rPr>
                <w:rFonts w:hint="eastAsia" w:ascii="宋体" w:hAnsi="宋体" w:eastAsia="宋体" w:cs="宋体"/>
                <w:i w:val="0"/>
                <w:iCs w:val="0"/>
                <w:color w:val="auto"/>
                <w:sz w:val="18"/>
                <w:szCs w:val="18"/>
                <w:highlight w:val="none"/>
                <w:u w:val="none"/>
              </w:rPr>
            </w:pPr>
          </w:p>
        </w:tc>
      </w:tr>
      <w:tr w14:paraId="57F2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287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6AA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灯光电缆线</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C972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国产纯铜RVV3*2.5mm²</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F2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015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B8FC9">
            <w:pPr>
              <w:rPr>
                <w:rFonts w:hint="eastAsia" w:ascii="宋体" w:hAnsi="宋体" w:eastAsia="宋体" w:cs="宋体"/>
                <w:i w:val="0"/>
                <w:iCs w:val="0"/>
                <w:color w:val="auto"/>
                <w:sz w:val="18"/>
                <w:szCs w:val="18"/>
                <w:highlight w:val="none"/>
                <w:u w:val="none"/>
              </w:rPr>
            </w:pPr>
          </w:p>
        </w:tc>
      </w:tr>
      <w:tr w14:paraId="7441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B8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E0C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灯光信号线缆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79D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2芯铝箔屏蔽音频安装线，128编+2*1.0信号线缆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82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3A7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A6DC">
            <w:pPr>
              <w:rPr>
                <w:rFonts w:hint="eastAsia" w:ascii="宋体" w:hAnsi="宋体" w:eastAsia="宋体" w:cs="宋体"/>
                <w:i w:val="0"/>
                <w:iCs w:val="0"/>
                <w:color w:val="auto"/>
                <w:sz w:val="18"/>
                <w:szCs w:val="18"/>
                <w:highlight w:val="none"/>
                <w:u w:val="none"/>
              </w:rPr>
            </w:pPr>
          </w:p>
        </w:tc>
      </w:tr>
      <w:tr w14:paraId="10F6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CBF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F8D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灯光系统接插件</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DFB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专用电源、信号接插件等</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D70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281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9A8B2">
            <w:pPr>
              <w:rPr>
                <w:rFonts w:hint="eastAsia" w:ascii="宋体" w:hAnsi="宋体" w:eastAsia="宋体" w:cs="宋体"/>
                <w:i w:val="0"/>
                <w:iCs w:val="0"/>
                <w:color w:val="auto"/>
                <w:sz w:val="18"/>
                <w:szCs w:val="18"/>
                <w:highlight w:val="none"/>
                <w:u w:val="none"/>
              </w:rPr>
            </w:pPr>
          </w:p>
        </w:tc>
      </w:tr>
      <w:tr w14:paraId="407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4B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C8E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灯光固定架</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612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钢制，依据现场实际安装结构制作。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FA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7C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CA611">
            <w:pPr>
              <w:rPr>
                <w:rFonts w:hint="eastAsia" w:ascii="宋体" w:hAnsi="宋体" w:eastAsia="宋体" w:cs="宋体"/>
                <w:i w:val="0"/>
                <w:iCs w:val="0"/>
                <w:color w:val="auto"/>
                <w:sz w:val="18"/>
                <w:szCs w:val="18"/>
                <w:highlight w:val="none"/>
                <w:u w:val="none"/>
              </w:rPr>
            </w:pPr>
          </w:p>
        </w:tc>
      </w:tr>
      <w:tr w14:paraId="482D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33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73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多媒体智能主机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133B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接口参数：具备≥1个电源指示灯、≥1个数据传输指示灯、≥1个红外接收器、≥1路恢复出厂设置按键≥、≥10路RS-232串口、≥1路RS-485串口、≥1路RS-422串口、≥4路红外IR接口、≥4路电平I/O接口、≥4路继电器RELAY接口、≥1路T-BUS总线、≥1路DC 12V/2A供电、≥1路DC 5V/3A供电≥、≥2路USB AF2.0接口、≥1路USB AF3.0接口、≥1个4G天线接口、≥8路HDMI 4K输入接口、≥8路HDMI 4K输出接口、≥4路3.5mm接口立体声输入、≥4路3.5mm接口立体声输出、≥8路RJ-45千兆网口、≥1路DC 24V电源适配器接口、≥1个5寸LCD全彩触摸屏。（需提供CMA、ilac-MRA、CNAS标志的第三方检测报告证明复印件，加盖原厂公章）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功能：内置命令库编辑软件、控制界面设计软件、红外命令学习软件、主机IP设置软件；一次编程即可在平板、安卓、鸿蒙、windows等平台上运行，支持任何字体；简单易学，不需专职人员，不需编写任何程序代码，即可实现复杂的控制功能；支持2D按钮、 3D 按钮、图片按钮等，支持自锁、互锁、连续发码、通讯反馈等动作。（需提供CMA、ilac-MRA、CNAS标志的第三方检测报告证明复印件，加盖原厂公章）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3.主机配合控制软件可实现温度、湿度、PM2.5、E-CO2、TVOC、甲醛等检测，并实时在控制终端显示；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4.各功能组件模块化设计，支持自定义编辑，可按需求设计不同风格和功能的操控界面；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5.支持视频信号预览显示，可拖拽切换预览信号和视频信号；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6.视频输入和输出组件支持任意增加，视频输出组件支持拖拽清空功能；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★7.内置文本、时钟、内置图标、外置图标、互斥按钮、弹窗、滑动推子、回显文字、视频预览、视频输入和视频输出等组件；（需提供CMA、ilac-MRA、CNAS标志的第三方检测报告证明复印件，加盖原厂公章）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8.预览窗口支持任意编辑，支持多个窗口同时预览，可切换视频预览信号；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9.支持任意组件和模块单独复制、框选多个复制以及整个页面复制；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10.支持多服务器连接切换，实现多房间、多项目工程任意切换控制；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系统支持ONVIF、RTSP、SIP、GB/T28181协议，可接入海康、大华、华为、科达、宇视等各品牌摄像头。对支持ONVIF协议的IP摄像机可进行自动搜索，并且IP摄像机画面可接入分布式综合管理系统，搭配视频分发系统支持接入≥3000个IP摄像机信号；支持通过录播服务器对IP摄像机摄像内容存储录制，可通过后台进行预览、下载、视频回放等功能。（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★12.提供文件检索功能，可按摄像头的IP地址和录制时间检索需要查看的视频文件。（需提供CMA、ilac-MRA、CNAS标志的第三方检测报告证明复印件，加盖原厂公章）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13.可扩展存储硬盘。通过存储的网络摄像头个数、保存的最大天数以及视频码率，计算所需的最大存储空间，根据最大容量值，灵活选择所需的硬盘个数。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★14.采用国产化自主可控平台，设备硬件和软件采用国产化自主可控技术，支持麒麟、鸿蒙等国产操作系统（需提供CMA、ilac-MRA、CNAS标志的第三方检测报告证明复印件，加盖原厂公章）；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B/S架构，支持B/S端编程和操控，无需安装软件，直接通过浏览器访问控制主机IP地址进行编程和操控。支持PC/linux/安卓系统/苹果IOS系统/国产系统操控和管理；（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★16.后期系统编程、界面编辑、脚本语言编程，多平台解析软件，可根据日常使用要求定制化管理界面，设置多级管理权限；（需提供CMA、ilac-MRA、CNAS标志的第三方检测报告证明复印件，加盖原厂公章）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★17.支持数据应用安全机制：包括但不限于密码、身份权限、组群权限、阅读时限、操作行为审计、阅读行为审计等（需提供CMA、ilac-MRA、CNAS标志的第三方检测报告证明复印件，加盖原厂公章）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18.AI大模型基座、语音转写主机、多媒体智能主机、综合管理平台、4K@60Hz无损输入输出节点为同一品牌</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5C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A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341D">
            <w:pPr>
              <w:rPr>
                <w:rFonts w:hint="eastAsia" w:ascii="宋体" w:hAnsi="宋体" w:eastAsia="宋体" w:cs="宋体"/>
                <w:i w:val="0"/>
                <w:iCs w:val="0"/>
                <w:color w:val="auto"/>
                <w:sz w:val="18"/>
                <w:szCs w:val="18"/>
                <w:highlight w:val="none"/>
                <w:u w:val="none"/>
              </w:rPr>
            </w:pPr>
          </w:p>
        </w:tc>
      </w:tr>
      <w:tr w14:paraId="0463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F8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E32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4K无损输入输出节点</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66FD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★1、具备≥1路HDMI视频输入接口、≥1路HDMI输出接口、≥1路DP输出接口、≥1路5针凤凰端子平衡立体声输入/输出接口、≥1路3.5音频接口、≥1个KVM USB接口、≥1个USB 3.0接口、≥2个USB 2.0接口、≥1个RJ-45千兆网口、≥1个SFP fiber接口；（须提供具备CMA、ILAC、CNAS认证的第三方权威机构出具的检测报告复印件及产品接口实物图片）；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2、前面板具备≥1个LCD液晶面板、≥1个电源指示灯、≥1个视频信号指示灯、≥1个网络状态及信号信号状态灯、≥1个恢复出厂设置按键；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3、输入输出一体化设计，通过拨码开关自由设置输入输出；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★4、端到端无缝传输延时为≤8ms，信号切换、开窗响应、预案调取的间隔时间≤8ms；（须提供CMA、ilac-MRA及CNAS标识的权威第三方检测报告复印件）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5、支持高低码流同时输入或输出，满足不受距离限制实现多区域互联互通；（须提供CMA、ilac-MRA及CNAS标识的权威第三方检测报告复印件）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6、KVM功能具备0SD菜单支持快速接管方式，支持可视化预览信号源画面及信息；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7、具备大屏拼接管理功能，可实现大屏信号源开窗、拼接、叠加，漫游等功能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★8、支持4K@60Hz、YUV4:4:4视频的输入或输出，支持最高120帧的编解码处理，同时分辨率和帧率支持向下兼容；（须提供CMA、ilac-MRA及CNAS标识的权威第三方检测报告复印件）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★9、支持中控功能，满足不少于2路继电器RELAY接口、4路电平I/O接口、2个RS-232串口、1个RS-485串口、4路红外IR接口；（须提供具备CMA、ILAC、CNAS认证的第三方权威机构出具的检测报告复印件及产品接口实物图片）；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10、具备远程KVM控制，支持多屏间跨屏、漫游，支持多屏间放大缩小，支持多权限管理，支持坐席信号源任意投到大屏上显示。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★11、AI大模型基座、语音转写主机、多媒体智能主机、综合管理平台、4K@60Hz无损输入输出节点为同一品牌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12、产品需具备CCC证书，复印件加盖原厂公章</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6E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94F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5F67B">
            <w:pPr>
              <w:rPr>
                <w:rFonts w:hint="eastAsia" w:ascii="宋体" w:hAnsi="宋体" w:eastAsia="宋体" w:cs="宋体"/>
                <w:i w:val="0"/>
                <w:iCs w:val="0"/>
                <w:color w:val="auto"/>
                <w:sz w:val="18"/>
                <w:szCs w:val="18"/>
                <w:highlight w:val="none"/>
                <w:u w:val="none"/>
              </w:rPr>
            </w:pPr>
          </w:p>
        </w:tc>
      </w:tr>
      <w:tr w14:paraId="09A2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8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6F6C7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电源控制器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72CE3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1、T-BUS，串口，网络控制；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2、最多可以同时使用8路；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3、T-BUS总线控制，可以通过ID拨码设定ID。</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E3F0E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4FA2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18DFCD5">
            <w:pPr>
              <w:rPr>
                <w:rFonts w:hint="eastAsia" w:ascii="宋体" w:hAnsi="宋体" w:eastAsia="宋体" w:cs="宋体"/>
                <w:i w:val="0"/>
                <w:iCs w:val="0"/>
                <w:color w:val="auto"/>
                <w:sz w:val="18"/>
                <w:szCs w:val="18"/>
                <w:highlight w:val="none"/>
                <w:u w:val="none"/>
              </w:rPr>
            </w:pPr>
          </w:p>
        </w:tc>
      </w:tr>
      <w:tr w14:paraId="3123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68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E6EE5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可视化管理平台软件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1C1BD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★1．软件具备严格分级权限控制可通过256位无线加密技术与控制主机进行通讯，根据用户程序设定的 Join Number 发送对应的指令，使控制主机在接收指令后执行相应的控制命令，从而实现人机交互控制功能;对软件进行严格分级权限管理控制。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2．软件具备自定义模块功能可根据现场情况编写各种满足功能需求的程序;对不同场景定义不同功能模块;可自定义软件 LOGO、背景、所控制设备名称、排序、界面位置。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3．软件具备分组管理功能可对不同的显示单元进行分组管理，各组间互不干扰，可显示相同或不同的内容。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4．软件支持可通过信号预览窗口或信号列表选择输入信号源。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5．软件支持展示所有显示单元的回显信号;回显信号可根据需求设置不同分辨率。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★6．软件支持操作按钮包括全屏、单屏、四分屏、九分屏、十六分屏、128 分屏、一键清屏、自定义分屏的操作按钮。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7．软件可根据现场情况将信号源拖至显示单元，并可进行开窗、漫游、叠加、画中画、画外画、拉伸操作。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8．软件支持一键调用根据不同的需求进行不同的场景存储，需要时一键调用。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9．软件可对周边设备(如灯光、窗帘、空调、电视)进行相应控制制。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10．软件支持在多操作系统平台编辑可编辑不同操作系统(包括:Windows、ioS、Android)上应用的CVS操作平台。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11．软件需具备信息安全性、可靠性、维护性、易用性、可移植性。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12．软件可运行于Windows平台上，使用C++语言开发。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★13．提供完全体现以上参数的第三方软件测试报告复印件并加盖生产制造厂商公章。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FE2B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E2D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BD7ACDC">
            <w:pPr>
              <w:rPr>
                <w:rFonts w:hint="eastAsia" w:ascii="宋体" w:hAnsi="宋体" w:eastAsia="宋体" w:cs="宋体"/>
                <w:i w:val="0"/>
                <w:iCs w:val="0"/>
                <w:color w:val="auto"/>
                <w:sz w:val="18"/>
                <w:szCs w:val="18"/>
                <w:highlight w:val="none"/>
                <w:u w:val="none"/>
              </w:rPr>
            </w:pPr>
          </w:p>
        </w:tc>
      </w:tr>
      <w:tr w14:paraId="612A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DC9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86FA87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交互控制面板终端</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5F1F1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13.3英寸，液晶交互面板，电容触摸屏，与多媒体智能终端配合使用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显示背景、操作界面和功能按键可自定义编程配置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支持IP语音对讲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网络远程配置</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E1C5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6AA3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C19719F">
            <w:pPr>
              <w:rPr>
                <w:rFonts w:hint="eastAsia" w:ascii="宋体" w:hAnsi="宋体" w:eastAsia="宋体" w:cs="宋体"/>
                <w:i w:val="0"/>
                <w:iCs w:val="0"/>
                <w:color w:val="auto"/>
                <w:sz w:val="18"/>
                <w:szCs w:val="18"/>
                <w:highlight w:val="none"/>
                <w:u w:val="none"/>
              </w:rPr>
            </w:pPr>
          </w:p>
        </w:tc>
      </w:tr>
      <w:tr w14:paraId="2233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FC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755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系统监视器</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E68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27英寸</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B3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70A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3EC4">
            <w:pPr>
              <w:rPr>
                <w:rFonts w:hint="eastAsia" w:ascii="宋体" w:hAnsi="宋体" w:eastAsia="宋体" w:cs="宋体"/>
                <w:i w:val="0"/>
                <w:iCs w:val="0"/>
                <w:color w:val="auto"/>
                <w:sz w:val="18"/>
                <w:szCs w:val="18"/>
                <w:highlight w:val="none"/>
                <w:u w:val="none"/>
              </w:rPr>
            </w:pPr>
          </w:p>
        </w:tc>
      </w:tr>
      <w:tr w14:paraId="3F42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329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E5BF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主席台返看电视</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8E5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产品定位 全面屏电视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屏幕尺寸 65英寸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分辨率 4K（3840*2160）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屏幕比例 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HDR显示 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音效系统 杜比+DTS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机身接口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HDMI接口 2*HDMI2.0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 1×网络接口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USB接口 2*USB2.0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能效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电源性能 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产品功耗 135W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待机功耗 0.5W</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5E5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93F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527CE">
            <w:pPr>
              <w:rPr>
                <w:rFonts w:hint="eastAsia" w:ascii="宋体" w:hAnsi="宋体" w:eastAsia="宋体" w:cs="宋体"/>
                <w:i w:val="0"/>
                <w:iCs w:val="0"/>
                <w:color w:val="auto"/>
                <w:sz w:val="18"/>
                <w:szCs w:val="18"/>
                <w:highlight w:val="none"/>
                <w:u w:val="none"/>
              </w:rPr>
            </w:pPr>
          </w:p>
        </w:tc>
      </w:tr>
      <w:tr w14:paraId="65F1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E86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E6A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电视推拉支架</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618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钢制，伸缩型落地支架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8B2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B2C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7456">
            <w:pPr>
              <w:rPr>
                <w:rFonts w:hint="eastAsia" w:ascii="宋体" w:hAnsi="宋体" w:eastAsia="宋体" w:cs="宋体"/>
                <w:i w:val="0"/>
                <w:iCs w:val="0"/>
                <w:color w:val="auto"/>
                <w:sz w:val="18"/>
                <w:szCs w:val="18"/>
                <w:highlight w:val="none"/>
                <w:u w:val="none"/>
              </w:rPr>
            </w:pPr>
          </w:p>
        </w:tc>
      </w:tr>
      <w:tr w14:paraId="02F3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63A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57C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4K智能会议摄像机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614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1.4K超高清画面显示: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采用全新一代SONY 1/1.8英寸高品质CMOS，能实现最大4K60超高清分辨率广播及图像画面输出，更加大型场景录制。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2.25倍光学变焦镜头: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搭载25倍超高清光学镜头，支持主流水平视角59.2°，满足更多场景诸如大型大会堂视频会议、阶梯教室黑板板书等真实细节还原。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USB3.0+HDMI+LAN+SDI全接口，丰富的应用场景：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兼容目前主流的所有视频输出接口，HDMI+USB3.0 Type-B+12G-SDI+LAN能同时输出4K60分辨率。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4.低光照：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全新的超高信噪比CMOS图像传感器，可有效降低弱光条件下的图像噪点。 同时应用2D&amp;3D数字降噪，大幅降低图像噪点，即使在超低光照条件下，仍能保持画面干净清晰，图像信噪比高于50dB。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5.红外遥控器信号透传功能：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除了接收自己的红外遥控器信号外，它还可以接收消费者红外遥控器的信号，并通过VISCA 端口发送到视频会议终端。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6.多种视频压缩标准：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不同接口支持YUY2、H265、MJPG、H264多种视频压缩格式。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7.多种网络协议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支持ONVIF、SRT、RTSP、RTMP、Free D、 NDI®|HX3（可选）等网络协议。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8.多种控制协议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支持VISCA（含VISCA Over IP）、PELCO P/D协议、NDI®（可选）协议，支持自动识别协议。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9.内置OLED显示屏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实时显示摄像机IP地址和HDMI输出分辨率。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10.新一代人形+人脸识别跟踪算法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支持智能跟踪、自动取景和手势识别，支持5种手势控制，开启/关闭智能跟踪、自动取景功能，手势切换跟踪目标，自定义追踪大小，通过手势控制放大/缩小镜头倍数。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11.多种安装方式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多种安装方式，可桌面、吸顶、壁挂安装。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E14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39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57227">
            <w:pPr>
              <w:rPr>
                <w:rFonts w:hint="eastAsia" w:ascii="宋体" w:hAnsi="宋体" w:eastAsia="宋体" w:cs="宋体"/>
                <w:i w:val="0"/>
                <w:iCs w:val="0"/>
                <w:color w:val="auto"/>
                <w:sz w:val="18"/>
                <w:szCs w:val="18"/>
                <w:highlight w:val="none"/>
                <w:u w:val="none"/>
              </w:rPr>
            </w:pPr>
          </w:p>
        </w:tc>
      </w:tr>
      <w:tr w14:paraId="127A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6EB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CC6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4K高清会议摄像机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34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1.镜头变焦:30倍光学变焦 + 12倍数字变焦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2.焦距:F= 4.3 to 129.0mm f=1.6(W)-4.7(T)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3.光圈:自动、手动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4.水平视角:4.9°(T)-70.0°(W)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5.聚焦模式:自动、手动、一键触发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6.数字降噪:2D/3D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7.背光补偿:On/Off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8.平移/俯仰角:+/-178°（平移）, - 30°~+90°（俯仰）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9.平移/俯仰速度:0.1°~180°(平移)，0.1°~120°(俯仰)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10.最低照度:0.35lux/0.005lux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11.信噪比:≥50dB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12.快门速度:1～1/10000秒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13.控制协议:VISCA、PELCO-P/D</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5F1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332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75F3">
            <w:pPr>
              <w:rPr>
                <w:rFonts w:hint="eastAsia" w:ascii="宋体" w:hAnsi="宋体" w:eastAsia="宋体" w:cs="宋体"/>
                <w:i w:val="0"/>
                <w:iCs w:val="0"/>
                <w:color w:val="auto"/>
                <w:sz w:val="18"/>
                <w:szCs w:val="18"/>
                <w:highlight w:val="none"/>
                <w:u w:val="none"/>
              </w:rPr>
            </w:pPr>
          </w:p>
        </w:tc>
      </w:tr>
      <w:tr w14:paraId="4220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DF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DB0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高清会议录播一体机</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947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1、系统结构：一体嵌入式结构；1U机架式全铝机箱；内置2T监控级硬盘；视频采集：硬件采集方式；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2、视频输入接口：5路 HDMI (任意选2路4KP30其余1080P60)；视频输出：1路HDMI、1路VGA；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3、输入分辨率：640x480 ~ 3840*2160，支持自动侦测分辨率及帧率功能，不但支持常见的4k,1080P60/50,1024x768@60fps等常见的分辨率，也支持1080P25/P30等分辨率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4、支持4K H264编码及解码； 录制格式：MP4；网络流煤体延时：＜=１秒；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5、支持1个USB3.0接U盘及移动硬盘，1个USB2.0接鼠标，不用接网络即可直接操控本地回放及文件导出等操作；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6、支持选配外接13寸或23寸触摸屏显示图像及触控，实现所见及所得的导播效果；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7、录播功能：同步录制／同步直播／在线点播／远程导播／本地导播/互动录播；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8、录播模式：多流多画面(资源模式)／单流单画面(电影模式)/单流多画面(画中画)；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9、支持一路rtsp/ts流解码，分辨率支持4k，解码流可进行导播后录制,直播及点播，支持解码流全屏显示及声音单独输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10、支持rtmp/http ts/udp ts/rtsp直播协议，内嵌rtmp server功能，不需要安装fms/red5等服务端软件直接实现网页直播；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11、支持浏览器直接观看直播并不用装插件，支持html5点播；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12、提供远程导播软件，可实时监控4画面并实时导播一路导播流，并实时录制，且同时支持网页按纽导播；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13、支持叠加4行字幕，每行字幕可设置开关，字体大小，色彩，坐标，并能支持中英文；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14、支持透明背景logo图片叠加，支持自动叠片头片尾；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15、每路录制文件及直播流均支持1080p60帧H264 HP5.0编码，帧率提高一倍从而可使效果得到极大的提升，彻底消灭切帧现象；HDMI支持4k分辨率及4k分辨率直播，录制及点播；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16、支持开机就录，硬盘录满会自动循环覆盖时间最老文件，支持自动分段且分段时间可设置，彻底实现无人值守的全自动录播；支持ftp自动上传至指定帐号及密码的ftp服务器；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17、程序固化在内置芯片中，稳定高效，使用嵌入式Linux系统，不会中毒，可随时断电及长时间开机。用户可自行安装硬盘，彻底摆脱售后烦恼；支持MP4录制实时保护，断电文件可自动恢复；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18、支持多级用户管理，分管理员用户和一般用户；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19、提供android及apple版本的APP，APP用户及密码由管理员设置，支持200+用户，APP支持实时观看直播及vod点播，端对端延时小于3秒，观看页面可直接切换任意通道观看；</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C4D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EF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A71B">
            <w:pPr>
              <w:rPr>
                <w:rFonts w:hint="eastAsia" w:ascii="宋体" w:hAnsi="宋体" w:eastAsia="宋体" w:cs="宋体"/>
                <w:i w:val="0"/>
                <w:iCs w:val="0"/>
                <w:color w:val="auto"/>
                <w:sz w:val="18"/>
                <w:szCs w:val="18"/>
                <w:highlight w:val="none"/>
                <w:u w:val="none"/>
              </w:rPr>
            </w:pPr>
          </w:p>
        </w:tc>
      </w:tr>
      <w:tr w14:paraId="1489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A2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EE5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会议录播软件</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445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手动、自动、定时等录播方式：由管理人员在导播界面进行切换控制；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315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28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9BD3">
            <w:pPr>
              <w:rPr>
                <w:rFonts w:hint="eastAsia" w:ascii="宋体" w:hAnsi="宋体" w:eastAsia="宋体" w:cs="宋体"/>
                <w:i w:val="0"/>
                <w:iCs w:val="0"/>
                <w:color w:val="auto"/>
                <w:sz w:val="18"/>
                <w:szCs w:val="18"/>
                <w:highlight w:val="none"/>
                <w:u w:val="none"/>
              </w:rPr>
            </w:pPr>
          </w:p>
        </w:tc>
      </w:tr>
      <w:tr w14:paraId="5645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159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F8DC5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专用线材、插件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DE908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HDMI2.0高清线材，视频会议连接线，电源线等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C0CE1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D539B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23ECCE0">
            <w:pPr>
              <w:rPr>
                <w:rFonts w:hint="eastAsia" w:ascii="宋体" w:hAnsi="宋体" w:eastAsia="宋体" w:cs="宋体"/>
                <w:i w:val="0"/>
                <w:iCs w:val="0"/>
                <w:color w:val="auto"/>
                <w:sz w:val="18"/>
                <w:szCs w:val="18"/>
                <w:highlight w:val="none"/>
                <w:u w:val="none"/>
              </w:rPr>
            </w:pPr>
          </w:p>
        </w:tc>
      </w:tr>
      <w:tr w14:paraId="1575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E4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885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线管桥架</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A7C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镀锌金属线管,口径25mm，镀锌桥架150mm含固定配件</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FA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14D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782B2">
            <w:pPr>
              <w:rPr>
                <w:rFonts w:hint="eastAsia" w:ascii="宋体" w:hAnsi="宋体" w:eastAsia="宋体" w:cs="宋体"/>
                <w:i w:val="0"/>
                <w:iCs w:val="0"/>
                <w:color w:val="auto"/>
                <w:sz w:val="18"/>
                <w:szCs w:val="18"/>
                <w:highlight w:val="none"/>
                <w:u w:val="none"/>
              </w:rPr>
            </w:pPr>
          </w:p>
        </w:tc>
      </w:tr>
      <w:tr w14:paraId="3A0A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1C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563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扬声器线缆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3DE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国标2x2.0mm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96F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09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7760">
            <w:pPr>
              <w:rPr>
                <w:rFonts w:hint="eastAsia" w:ascii="宋体" w:hAnsi="宋体" w:eastAsia="宋体" w:cs="宋体"/>
                <w:i w:val="0"/>
                <w:iCs w:val="0"/>
                <w:color w:val="auto"/>
                <w:sz w:val="18"/>
                <w:szCs w:val="18"/>
                <w:highlight w:val="none"/>
                <w:u w:val="none"/>
              </w:rPr>
            </w:pPr>
          </w:p>
        </w:tc>
      </w:tr>
      <w:tr w14:paraId="7FFB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F0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9F9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音频接插件</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449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卡侬成品线缆、3.5音频信号线、欧插头、电源插头等</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92D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E2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77D9">
            <w:pPr>
              <w:rPr>
                <w:rFonts w:hint="eastAsia" w:ascii="宋体" w:hAnsi="宋体" w:eastAsia="宋体" w:cs="宋体"/>
                <w:i w:val="0"/>
                <w:iCs w:val="0"/>
                <w:color w:val="auto"/>
                <w:sz w:val="18"/>
                <w:szCs w:val="18"/>
                <w:highlight w:val="none"/>
                <w:u w:val="none"/>
              </w:rPr>
            </w:pPr>
          </w:p>
        </w:tc>
      </w:tr>
      <w:tr w14:paraId="3944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D1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CCD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音频信号线缆</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76BD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2芯铝箔屏蔽音频安装线，128编+2*1.0信号线缆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1C1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1B2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BE1EE">
            <w:pPr>
              <w:rPr>
                <w:rFonts w:hint="eastAsia" w:ascii="宋体" w:hAnsi="宋体" w:eastAsia="宋体" w:cs="宋体"/>
                <w:i w:val="0"/>
                <w:iCs w:val="0"/>
                <w:color w:val="auto"/>
                <w:sz w:val="18"/>
                <w:szCs w:val="18"/>
                <w:highlight w:val="none"/>
                <w:u w:val="none"/>
              </w:rPr>
            </w:pPr>
          </w:p>
        </w:tc>
      </w:tr>
      <w:tr w14:paraId="4BA4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69E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82FD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多媒体地插</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EFE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2个输入卡侬、1*视频输入、1个电源、1个网口及配套线材</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3F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97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2710">
            <w:pPr>
              <w:rPr>
                <w:rFonts w:hint="eastAsia" w:ascii="宋体" w:hAnsi="宋体" w:eastAsia="宋体" w:cs="宋体"/>
                <w:i w:val="0"/>
                <w:iCs w:val="0"/>
                <w:color w:val="auto"/>
                <w:sz w:val="18"/>
                <w:szCs w:val="18"/>
                <w:highlight w:val="none"/>
                <w:u w:val="none"/>
              </w:rPr>
            </w:pPr>
          </w:p>
        </w:tc>
      </w:tr>
      <w:tr w14:paraId="24B9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8F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1B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多媒体地插</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047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2个欧插接口</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8C8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E7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45F7">
            <w:pPr>
              <w:rPr>
                <w:rFonts w:hint="eastAsia" w:ascii="宋体" w:hAnsi="宋体" w:eastAsia="宋体" w:cs="宋体"/>
                <w:i w:val="0"/>
                <w:iCs w:val="0"/>
                <w:color w:val="auto"/>
                <w:sz w:val="18"/>
                <w:szCs w:val="18"/>
                <w:highlight w:val="none"/>
                <w:u w:val="none"/>
              </w:rPr>
            </w:pPr>
          </w:p>
        </w:tc>
      </w:tr>
      <w:tr w14:paraId="5010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26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6B1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音响专用吊架</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874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钢制、角度可调、承重50Kg。</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2E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388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1974">
            <w:pPr>
              <w:rPr>
                <w:rFonts w:hint="eastAsia" w:ascii="宋体" w:hAnsi="宋体" w:eastAsia="宋体" w:cs="宋体"/>
                <w:i w:val="0"/>
                <w:iCs w:val="0"/>
                <w:color w:val="auto"/>
                <w:sz w:val="18"/>
                <w:szCs w:val="18"/>
                <w:highlight w:val="none"/>
                <w:u w:val="none"/>
              </w:rPr>
            </w:pPr>
          </w:p>
        </w:tc>
      </w:tr>
      <w:tr w14:paraId="6A53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3B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171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设备机柜</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987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镀铝锌板、优良冷轧板，42U</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D33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8B2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49A2">
            <w:pPr>
              <w:rPr>
                <w:rFonts w:hint="eastAsia" w:ascii="宋体" w:hAnsi="宋体" w:eastAsia="宋体" w:cs="宋体"/>
                <w:i w:val="0"/>
                <w:iCs w:val="0"/>
                <w:color w:val="auto"/>
                <w:sz w:val="18"/>
                <w:szCs w:val="18"/>
                <w:highlight w:val="none"/>
                <w:u w:val="none"/>
              </w:rPr>
            </w:pPr>
          </w:p>
        </w:tc>
      </w:tr>
      <w:tr w14:paraId="55FF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B68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24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121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机房操作台</w:t>
            </w:r>
          </w:p>
        </w:tc>
        <w:tc>
          <w:tcPr>
            <w:tcW w:w="7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42F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二联结构，定制型</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D75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BF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51AD">
            <w:pPr>
              <w:rPr>
                <w:rFonts w:hint="eastAsia" w:ascii="宋体" w:hAnsi="宋体" w:eastAsia="宋体" w:cs="宋体"/>
                <w:i w:val="0"/>
                <w:iCs w:val="0"/>
                <w:color w:val="auto"/>
                <w:sz w:val="18"/>
                <w:szCs w:val="18"/>
                <w:highlight w:val="none"/>
                <w:u w:val="none"/>
              </w:rPr>
            </w:pPr>
          </w:p>
        </w:tc>
      </w:tr>
      <w:tr w14:paraId="1A90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323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BDA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会议中心门厅显示屏</w:t>
            </w:r>
          </w:p>
        </w:tc>
      </w:tr>
      <w:tr w14:paraId="64EB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2A7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CABEFD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LED显示屏</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E7F80B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1、点间距≤1.86mm，宽度≥2.4米，高度≥1.35米；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2、显示屏所使用套件采用聚碳酸酯和玻璃纤维材质， PCB板防火阻燃达V-0等级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3、工作电压4.2×（1±10%）V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4、亮度≥770cd/㎡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5、亮度均匀＞98%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6、屏幕水平视角≥168°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7、每平方单元板平均功率  ≤110W/㎡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8、最高对比度≥7500：1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9、灰度级数采用16Bit技术，支持低亮高灰：亮度为10%时信号处理深度（灰度级数）达到14bit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10、换帧频率≥60Hz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11、刷新频率≥3840Hz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12、色温1000K-18000K可调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13、人眼视觉舒适度VICO指数≤1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14、为确保产品稳定，要求产品具有防静电、防电磁干扰、防腐蚀、防虫、防潮、防震动、抗雷击等功能；具有电源过压、过流、断电保护、分布上电措施、防护等级达到IP50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使用寿命 ≥10万小时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15、整屏平整度≤0.1mm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16、画面延时≤500ns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17、工作温度-40℃-80℃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18、调试软件支持鬼影消除、暗亮线消除、十字架消除、毛毛虫消除等功能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19、显示屏在电源插头与屏正面之间以施加试验电压3kv/50Hz，保持1min，无飞弧和击穿现象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20、显示屏经过电磁抗干扰实验，符合Class B标准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21、显示屏盐雾实验等级达到10级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22、显示屏在冷热冲击实验如低温-40℃、高温100℃（3-5min转换时间）试验30min正常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23、显示屏在1m范围内，测试4个位置（前后左右）噪音不大于2dB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24、对LED显示屏进行节能对比，达到能效一级标准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743C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3A76A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BA9FC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18A4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2D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B078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0CAB93B9">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1、支持1路DVI输入和3路HDMI1.4输入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2、支持最大带载390万像素点，最宽可达8192点，或最高可达4096点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3、支持单路最大输入分辨率1920×1200@60Hz，支持分辨率任意设置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4、支持6路网口输出，支持单机或双机冗余备份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5、支持视频源任意切换、任意裁剪、任意缩放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6、支持三画面显示，窗口位置、大小可自由调节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7、支持HDCP协议的高带宽数字内容保护技术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8、双USB2.0高速通讯接口，用于电脑调试和主控间任意级联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9、支持RS232串口协议控制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10、支持亮度、色温调节，支持对比度、色调、饱和度调节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11、支持低亮高灰，能有效地保持低亮下灰阶的完整并完美显示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12、支持卡莱特全系列接收卡、多功能卡、光纤收发器</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C7BF3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4F4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EC410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11BC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723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C661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0FCA60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1.集成8个HUB75，无需再配转接板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2.单卡最大带载128×1024像素，最多支持16组并行数据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3.支持8bit色深视频源输入输出，单色灰阶为256，可搭配出16777216种混合色彩。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4.支持自适应帧率技术，不仅支持23.98/24/29.97/30/50/59.94/60Hz常规及非整数帧率，还可输出显示120/240Hz高帧率画面，大幅提升画面流畅度、减少拖影。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5.支持色温调节，提供调整色温，即饱和度调节，增强画面表现力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6.支持低亮高灰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8.支持箱体标定和快速标序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9.支持画面旋转，单个箱体画面以90°/180°/270°角度进行旋转，配合部分主控可实现单箱体画面任意角度旋转显示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10.支持数据偏移，支持误码侦测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11.支持环路备份，支持固件备份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★12.提供厂家售后服务承诺书和项目授权书；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★13.8bit 精度的色度，亮度一体化逐点校正，能有效消除灯点色差，保证整屏的颜色亮度的均匀性和一致性，提升整体显示效果。需提供具有CMA、CNAS、ilac-MRA认证标识的第三方厂家检测报告，并加盖供应商公章；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★14.检测接收卡之间数据传输质量和误码情况，可以方便快捷地识别出硬件连接异常的箱体，便于维护，需提供具有CMA、CNAS、ilac-MRA认证标识的第三方厂家检测报告，并加盖供应商公章；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★15.支持一帧延迟，发送端到显示端延迟达到一帧，解决系统延迟导致的画面不同步问题 ，需提供具有CMA、CNAS、ilac-MRA认证标识的第三方厂家检测报告，并加盖供应商公章；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★16.通过对伽马表算法的优化，使得显示屏在降低亮度时能保持灰阶的完整无损失、完美显示，呈现低亮度高灰阶的显示效果；需提供具有CMA、CNAS、ilac-MRA认证标识的第三方厂家检测报告，并加盖供应商公章；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★17.为使画面显示效果更加完美，保持整屏一致性，控制系统具有修缝、十字修复功能，并提供供应商盖鲜章的LED显示屏十字线修复软件著作权证书及LED显示屏专业修缝软件著作证书两种证明文件。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C4B3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486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1C161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293F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5F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03820F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配电柜</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6D409B72">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PLC智能配电箱，容量30KW。配电箱中配备的保护措施包括过流、缺相、短路、断路、过压、欠压、温度过高等，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34A30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5F3B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9FBA5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5F54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F1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0C53E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屏体框架</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436C9F3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支撑结构，黑钛拉丝不锈钢工艺包边，上下左右各包边5公分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05EE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5870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7B3DD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499D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81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D4F8B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扩声设备</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30B45F19">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配套扬声器2只+功放1台，满足扩声要求。</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32E6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B87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35A73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4DE4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27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6F0C7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LED屏综合布线</w:t>
            </w:r>
          </w:p>
        </w:tc>
        <w:tc>
          <w:tcPr>
            <w:tcW w:w="7410" w:type="dxa"/>
            <w:tcBorders>
              <w:top w:val="single" w:color="000000" w:sz="4" w:space="0"/>
              <w:left w:val="single" w:color="000000" w:sz="4" w:space="0"/>
              <w:bottom w:val="single" w:color="000000" w:sz="4" w:space="0"/>
              <w:right w:val="single" w:color="000000" w:sz="4" w:space="0"/>
            </w:tcBorders>
            <w:noWrap w:val="0"/>
            <w:vAlign w:val="top"/>
          </w:tcPr>
          <w:p w14:paraId="1DD8D2C8">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主电缆线引致屏体内、主网线引至屏体内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B041D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137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73B7B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r>
      <w:tr w14:paraId="6A52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776A7F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接待室、三个会议室（4间）</w:t>
            </w:r>
          </w:p>
        </w:tc>
      </w:tr>
      <w:tr w14:paraId="3658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3F53E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75900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A56A5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1.原装饰墙、顶、地面拆除，水电管线、灯具、面板等拆除（含垃圾清理外运）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B594F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8032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B10277">
            <w:pPr>
              <w:jc w:val="center"/>
              <w:rPr>
                <w:rFonts w:hint="eastAsia" w:ascii="宋体" w:hAnsi="宋体" w:eastAsia="宋体" w:cs="宋体"/>
                <w:i w:val="0"/>
                <w:iCs w:val="0"/>
                <w:color w:val="auto"/>
                <w:sz w:val="18"/>
                <w:szCs w:val="18"/>
                <w:highlight w:val="none"/>
                <w:u w:val="none"/>
              </w:rPr>
            </w:pPr>
          </w:p>
        </w:tc>
      </w:tr>
      <w:tr w14:paraId="7DCA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965F0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48668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桌椅拆除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AAD5F8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1.桌椅拆除、移至仓库</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02A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84DB3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间</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646EFD2">
            <w:pPr>
              <w:jc w:val="center"/>
              <w:rPr>
                <w:rFonts w:hint="eastAsia" w:ascii="宋体" w:hAnsi="宋体" w:eastAsia="宋体" w:cs="宋体"/>
                <w:i w:val="0"/>
                <w:iCs w:val="0"/>
                <w:color w:val="auto"/>
                <w:sz w:val="18"/>
                <w:szCs w:val="18"/>
                <w:highlight w:val="none"/>
                <w:u w:val="none"/>
              </w:rPr>
            </w:pPr>
          </w:p>
        </w:tc>
      </w:tr>
      <w:tr w14:paraId="5CBE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0E45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D18B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地面：木地板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74934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1.水泥砂浆找平层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2.5mm自流平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3.木地板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4FF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5E0D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BDB59C0">
            <w:pPr>
              <w:jc w:val="center"/>
              <w:rPr>
                <w:rFonts w:hint="eastAsia" w:ascii="宋体" w:hAnsi="宋体" w:eastAsia="宋体" w:cs="宋体"/>
                <w:i w:val="0"/>
                <w:iCs w:val="0"/>
                <w:color w:val="auto"/>
                <w:sz w:val="18"/>
                <w:szCs w:val="18"/>
                <w:highlight w:val="none"/>
                <w:u w:val="none"/>
              </w:rPr>
            </w:pPr>
          </w:p>
        </w:tc>
      </w:tr>
      <w:tr w14:paraId="49C3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BC4EE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BA29F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地面：踢脚线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3CBC8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2.定制不锈钢踢脚线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DBA3F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149.50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4F0C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5B7133">
            <w:pPr>
              <w:jc w:val="center"/>
              <w:rPr>
                <w:rFonts w:hint="eastAsia" w:ascii="宋体" w:hAnsi="宋体" w:eastAsia="宋体" w:cs="宋体"/>
                <w:i w:val="0"/>
                <w:iCs w:val="0"/>
                <w:color w:val="auto"/>
                <w:sz w:val="18"/>
                <w:szCs w:val="18"/>
                <w:highlight w:val="none"/>
                <w:u w:val="none"/>
              </w:rPr>
            </w:pPr>
          </w:p>
        </w:tc>
      </w:tr>
      <w:tr w14:paraId="27D2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15EA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29762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顶面：石膏板造型顶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8F2AD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9.5mm纸面石膏板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0C42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8886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E77B5A">
            <w:pPr>
              <w:jc w:val="center"/>
              <w:rPr>
                <w:rFonts w:hint="eastAsia" w:ascii="宋体" w:hAnsi="宋体" w:eastAsia="宋体" w:cs="宋体"/>
                <w:i w:val="0"/>
                <w:iCs w:val="0"/>
                <w:color w:val="auto"/>
                <w:sz w:val="18"/>
                <w:szCs w:val="18"/>
                <w:highlight w:val="none"/>
                <w:u w:val="none"/>
              </w:rPr>
            </w:pPr>
          </w:p>
        </w:tc>
      </w:tr>
      <w:tr w14:paraId="3231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96E5E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D980D5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顶面：软膜灯箱</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FA398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1.定制软膜灯箱（含灯具）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18A88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32.40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F932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FD17E57">
            <w:pPr>
              <w:jc w:val="center"/>
              <w:rPr>
                <w:rFonts w:hint="eastAsia" w:ascii="宋体" w:hAnsi="宋体" w:eastAsia="宋体" w:cs="宋体"/>
                <w:i w:val="0"/>
                <w:iCs w:val="0"/>
                <w:color w:val="auto"/>
                <w:sz w:val="18"/>
                <w:szCs w:val="18"/>
                <w:highlight w:val="none"/>
                <w:u w:val="none"/>
              </w:rPr>
            </w:pPr>
          </w:p>
        </w:tc>
      </w:tr>
      <w:tr w14:paraId="0401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B60D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DFD4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顶面:窗帘盒</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69489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3.9.5mm纸面石膏板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4399E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BD2A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0A5D7B">
            <w:pPr>
              <w:jc w:val="center"/>
              <w:rPr>
                <w:rFonts w:hint="eastAsia" w:ascii="宋体" w:hAnsi="宋体" w:eastAsia="宋体" w:cs="宋体"/>
                <w:i w:val="0"/>
                <w:iCs w:val="0"/>
                <w:color w:val="auto"/>
                <w:sz w:val="18"/>
                <w:szCs w:val="18"/>
                <w:highlight w:val="none"/>
                <w:u w:val="none"/>
              </w:rPr>
            </w:pPr>
          </w:p>
        </w:tc>
      </w:tr>
      <w:tr w14:paraId="34BC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0F97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6F27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3D83E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B3525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389.88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1BF97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9405CA">
            <w:pPr>
              <w:jc w:val="center"/>
              <w:rPr>
                <w:rFonts w:hint="eastAsia" w:ascii="宋体" w:hAnsi="宋体" w:eastAsia="宋体" w:cs="宋体"/>
                <w:i w:val="0"/>
                <w:iCs w:val="0"/>
                <w:color w:val="auto"/>
                <w:sz w:val="18"/>
                <w:szCs w:val="18"/>
                <w:highlight w:val="none"/>
                <w:u w:val="none"/>
              </w:rPr>
            </w:pPr>
          </w:p>
        </w:tc>
      </w:tr>
      <w:tr w14:paraId="56C8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7CB7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A366A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墙面：背景墙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D0557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CD2AB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92.40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5EB1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F9B94D0">
            <w:pPr>
              <w:jc w:val="center"/>
              <w:rPr>
                <w:rFonts w:hint="eastAsia" w:ascii="宋体" w:hAnsi="宋体" w:eastAsia="宋体" w:cs="宋体"/>
                <w:i w:val="0"/>
                <w:iCs w:val="0"/>
                <w:color w:val="auto"/>
                <w:sz w:val="18"/>
                <w:szCs w:val="18"/>
                <w:highlight w:val="none"/>
                <w:u w:val="none"/>
              </w:rPr>
            </w:pPr>
          </w:p>
        </w:tc>
      </w:tr>
      <w:tr w14:paraId="5E8B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BA53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77B24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墙面：木制饰面板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321134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95A16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345.15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6B2F2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2E8F914">
            <w:pPr>
              <w:jc w:val="center"/>
              <w:rPr>
                <w:rFonts w:hint="eastAsia" w:ascii="宋体" w:hAnsi="宋体" w:eastAsia="宋体" w:cs="宋体"/>
                <w:i w:val="0"/>
                <w:iCs w:val="0"/>
                <w:color w:val="auto"/>
                <w:sz w:val="18"/>
                <w:szCs w:val="18"/>
                <w:highlight w:val="none"/>
                <w:u w:val="none"/>
              </w:rPr>
            </w:pPr>
          </w:p>
        </w:tc>
      </w:tr>
      <w:tr w14:paraId="24FB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0278E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7FF0F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墙面：人造石窗台板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3913F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2.人造石窗台板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81821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41.70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AD2E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FE57AF9">
            <w:pPr>
              <w:jc w:val="center"/>
              <w:rPr>
                <w:rFonts w:hint="eastAsia" w:ascii="宋体" w:hAnsi="宋体" w:eastAsia="宋体" w:cs="宋体"/>
                <w:i w:val="0"/>
                <w:iCs w:val="0"/>
                <w:color w:val="auto"/>
                <w:sz w:val="18"/>
                <w:szCs w:val="18"/>
                <w:highlight w:val="none"/>
                <w:u w:val="none"/>
              </w:rPr>
            </w:pPr>
          </w:p>
        </w:tc>
      </w:tr>
      <w:tr w14:paraId="4F2F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C8F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1BC84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B30D8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E8341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D9FE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9CF99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隔墙背面</w:t>
            </w:r>
          </w:p>
        </w:tc>
      </w:tr>
      <w:tr w14:paraId="6AEF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FD5BF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EE4BAB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门窗：拆除原有防盗门、塑钢窗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F4936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1.拆除原有防盗门（含垃圾清理外运）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00626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D091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DE7B07">
            <w:pPr>
              <w:jc w:val="left"/>
              <w:rPr>
                <w:rFonts w:hint="eastAsia" w:ascii="宋体" w:hAnsi="宋体" w:eastAsia="宋体" w:cs="宋体"/>
                <w:i w:val="0"/>
                <w:iCs w:val="0"/>
                <w:color w:val="auto"/>
                <w:sz w:val="18"/>
                <w:szCs w:val="18"/>
                <w:highlight w:val="none"/>
                <w:u w:val="none"/>
              </w:rPr>
            </w:pPr>
          </w:p>
        </w:tc>
      </w:tr>
      <w:tr w14:paraId="35CA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9303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6E579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门窗：单扇木门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01CEB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1.定制木门（含门套、五金）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A4A43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4B1B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6A456D6">
            <w:pPr>
              <w:jc w:val="left"/>
              <w:rPr>
                <w:rFonts w:hint="eastAsia" w:ascii="宋体" w:hAnsi="宋体" w:eastAsia="宋体" w:cs="宋体"/>
                <w:i w:val="0"/>
                <w:iCs w:val="0"/>
                <w:color w:val="auto"/>
                <w:sz w:val="18"/>
                <w:szCs w:val="18"/>
                <w:highlight w:val="none"/>
                <w:u w:val="none"/>
              </w:rPr>
            </w:pPr>
          </w:p>
        </w:tc>
      </w:tr>
      <w:tr w14:paraId="248C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F4006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6158C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门窗：隔热断桥铝合金窗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BFBEF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1.隔热断桥铝合金窗</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4866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96.72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D7071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47173EA">
            <w:pPr>
              <w:jc w:val="left"/>
              <w:rPr>
                <w:rFonts w:hint="eastAsia" w:ascii="宋体" w:hAnsi="宋体" w:eastAsia="宋体" w:cs="宋体"/>
                <w:i w:val="0"/>
                <w:iCs w:val="0"/>
                <w:color w:val="auto"/>
                <w:sz w:val="18"/>
                <w:szCs w:val="18"/>
                <w:highlight w:val="none"/>
                <w:u w:val="none"/>
              </w:rPr>
            </w:pPr>
          </w:p>
        </w:tc>
      </w:tr>
      <w:tr w14:paraId="04D0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1E35B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224F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其它：加砌块墙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E21BB3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1.200mm厚加砌块墙体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2.水泥砂浆抹灰</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69B7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57.02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486C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99508EF">
            <w:pPr>
              <w:jc w:val="center"/>
              <w:rPr>
                <w:rFonts w:hint="eastAsia" w:ascii="宋体" w:hAnsi="宋体" w:eastAsia="宋体" w:cs="宋体"/>
                <w:i w:val="0"/>
                <w:iCs w:val="0"/>
                <w:color w:val="auto"/>
                <w:sz w:val="18"/>
                <w:szCs w:val="18"/>
                <w:highlight w:val="none"/>
                <w:u w:val="none"/>
              </w:rPr>
            </w:pPr>
          </w:p>
        </w:tc>
      </w:tr>
      <w:tr w14:paraId="5612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2978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BA4C1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C86C3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57DA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30468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8A900F0">
            <w:pPr>
              <w:jc w:val="center"/>
              <w:rPr>
                <w:rFonts w:hint="eastAsia" w:ascii="宋体" w:hAnsi="宋体" w:eastAsia="宋体" w:cs="宋体"/>
                <w:i w:val="0"/>
                <w:iCs w:val="0"/>
                <w:color w:val="auto"/>
                <w:sz w:val="18"/>
                <w:szCs w:val="18"/>
                <w:highlight w:val="none"/>
                <w:u w:val="none"/>
              </w:rPr>
            </w:pPr>
          </w:p>
        </w:tc>
      </w:tr>
      <w:tr w14:paraId="4CF9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8538A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215D8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3D27E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2934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4CE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F2A4E18">
            <w:pPr>
              <w:jc w:val="center"/>
              <w:rPr>
                <w:rFonts w:hint="eastAsia" w:ascii="宋体" w:hAnsi="宋体" w:eastAsia="宋体" w:cs="宋体"/>
                <w:i w:val="0"/>
                <w:iCs w:val="0"/>
                <w:color w:val="auto"/>
                <w:sz w:val="18"/>
                <w:szCs w:val="18"/>
                <w:highlight w:val="none"/>
                <w:u w:val="none"/>
              </w:rPr>
            </w:pPr>
          </w:p>
        </w:tc>
      </w:tr>
      <w:tr w14:paraId="62A3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7814D7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一楼南侧教室走廊</w:t>
            </w:r>
          </w:p>
        </w:tc>
      </w:tr>
      <w:tr w14:paraId="5DEC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0D1E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F74D1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地面：地砖拆除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61CF9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1.原装饰墙、顶、地面拆除，水电管线、灯具、面板等拆除（含垃圾清理外运）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2DCB1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9B94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E8C815">
            <w:pPr>
              <w:jc w:val="center"/>
              <w:rPr>
                <w:rFonts w:hint="eastAsia" w:ascii="宋体" w:hAnsi="宋体" w:eastAsia="宋体" w:cs="宋体"/>
                <w:i w:val="0"/>
                <w:iCs w:val="0"/>
                <w:color w:val="auto"/>
                <w:sz w:val="18"/>
                <w:szCs w:val="18"/>
                <w:highlight w:val="none"/>
                <w:u w:val="none"/>
              </w:rPr>
            </w:pPr>
          </w:p>
        </w:tc>
      </w:tr>
      <w:tr w14:paraId="253C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5B57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DEEB6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地面：地砖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8B656C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2.地砖铺贴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3759B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64.80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78C4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D3DFD33">
            <w:pPr>
              <w:jc w:val="center"/>
              <w:rPr>
                <w:rFonts w:hint="eastAsia" w:ascii="宋体" w:hAnsi="宋体" w:eastAsia="宋体" w:cs="宋体"/>
                <w:i w:val="0"/>
                <w:iCs w:val="0"/>
                <w:color w:val="auto"/>
                <w:sz w:val="18"/>
                <w:szCs w:val="18"/>
                <w:highlight w:val="none"/>
                <w:u w:val="none"/>
              </w:rPr>
            </w:pPr>
          </w:p>
        </w:tc>
      </w:tr>
      <w:tr w14:paraId="1AD9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4330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AA26F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地面：踢脚线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085BC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2.定制不锈钢踢脚线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A7DC4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41.50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D5DD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26D1A8">
            <w:pPr>
              <w:jc w:val="center"/>
              <w:rPr>
                <w:rFonts w:hint="eastAsia" w:ascii="宋体" w:hAnsi="宋体" w:eastAsia="宋体" w:cs="宋体"/>
                <w:i w:val="0"/>
                <w:iCs w:val="0"/>
                <w:color w:val="auto"/>
                <w:sz w:val="18"/>
                <w:szCs w:val="18"/>
                <w:highlight w:val="none"/>
                <w:u w:val="none"/>
              </w:rPr>
            </w:pPr>
          </w:p>
        </w:tc>
      </w:tr>
      <w:tr w14:paraId="293B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7663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3D38D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顶面：石膏板造型顶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560FD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9.5mm纸面石膏板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B511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64.80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41A72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DD8CCE7">
            <w:pPr>
              <w:jc w:val="center"/>
              <w:rPr>
                <w:rFonts w:hint="eastAsia" w:ascii="宋体" w:hAnsi="宋体" w:eastAsia="宋体" w:cs="宋体"/>
                <w:i w:val="0"/>
                <w:iCs w:val="0"/>
                <w:color w:val="auto"/>
                <w:sz w:val="18"/>
                <w:szCs w:val="18"/>
                <w:highlight w:val="none"/>
                <w:u w:val="none"/>
              </w:rPr>
            </w:pPr>
          </w:p>
        </w:tc>
      </w:tr>
      <w:tr w14:paraId="36F2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5377C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D4D2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20679D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F0D85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74.52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A079E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204BFE0">
            <w:pPr>
              <w:jc w:val="center"/>
              <w:rPr>
                <w:rFonts w:hint="eastAsia" w:ascii="宋体" w:hAnsi="宋体" w:eastAsia="宋体" w:cs="宋体"/>
                <w:i w:val="0"/>
                <w:iCs w:val="0"/>
                <w:color w:val="auto"/>
                <w:sz w:val="18"/>
                <w:szCs w:val="18"/>
                <w:highlight w:val="none"/>
                <w:u w:val="none"/>
              </w:rPr>
            </w:pPr>
          </w:p>
        </w:tc>
      </w:tr>
      <w:tr w14:paraId="4E5D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4F07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0AC16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墙面：背景墙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38B6E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DFC60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19.31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1828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0F6F388">
            <w:pPr>
              <w:jc w:val="center"/>
              <w:rPr>
                <w:rFonts w:hint="eastAsia" w:ascii="宋体" w:hAnsi="宋体" w:eastAsia="宋体" w:cs="宋体"/>
                <w:i w:val="0"/>
                <w:iCs w:val="0"/>
                <w:color w:val="auto"/>
                <w:sz w:val="18"/>
                <w:szCs w:val="18"/>
                <w:highlight w:val="none"/>
                <w:u w:val="none"/>
              </w:rPr>
            </w:pPr>
          </w:p>
        </w:tc>
      </w:tr>
      <w:tr w14:paraId="5307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4B8B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1645D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墙面：木制饰面板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EF550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F7DCB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147.03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14C07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0328B8">
            <w:pPr>
              <w:jc w:val="center"/>
              <w:rPr>
                <w:rFonts w:hint="eastAsia" w:ascii="宋体" w:hAnsi="宋体" w:eastAsia="宋体" w:cs="宋体"/>
                <w:i w:val="0"/>
                <w:iCs w:val="0"/>
                <w:color w:val="auto"/>
                <w:sz w:val="18"/>
                <w:szCs w:val="18"/>
                <w:highlight w:val="none"/>
                <w:u w:val="none"/>
              </w:rPr>
            </w:pPr>
          </w:p>
        </w:tc>
      </w:tr>
      <w:tr w14:paraId="027B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4253A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EE66E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其它：加砌块墙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CF521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1.200mm厚加砌块墙体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2.水泥砂浆抹灰</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DAD1F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B546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910850C">
            <w:pPr>
              <w:jc w:val="center"/>
              <w:rPr>
                <w:rFonts w:hint="eastAsia" w:ascii="宋体" w:hAnsi="宋体" w:eastAsia="宋体" w:cs="宋体"/>
                <w:i w:val="0"/>
                <w:iCs w:val="0"/>
                <w:color w:val="auto"/>
                <w:sz w:val="18"/>
                <w:szCs w:val="18"/>
                <w:highlight w:val="none"/>
                <w:u w:val="none"/>
              </w:rPr>
            </w:pPr>
          </w:p>
        </w:tc>
      </w:tr>
      <w:tr w14:paraId="23D3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DD4C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CA55E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其它：原有窗下墙体拆除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2738A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1.原有窗下墙体拆除，垃圾清理外运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15532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D2C86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3D8A98C">
            <w:pPr>
              <w:jc w:val="center"/>
              <w:rPr>
                <w:rFonts w:hint="eastAsia" w:ascii="宋体" w:hAnsi="宋体" w:eastAsia="宋体" w:cs="宋体"/>
                <w:i w:val="0"/>
                <w:iCs w:val="0"/>
                <w:color w:val="auto"/>
                <w:sz w:val="18"/>
                <w:szCs w:val="18"/>
                <w:highlight w:val="none"/>
                <w:u w:val="none"/>
              </w:rPr>
            </w:pPr>
          </w:p>
        </w:tc>
      </w:tr>
      <w:tr w14:paraId="45E4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FA468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05443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门窗：双扇钢制防火门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71B2A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1.双扇钢制防火门</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531AC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FB070D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669395">
            <w:pPr>
              <w:jc w:val="center"/>
              <w:rPr>
                <w:rFonts w:hint="eastAsia" w:ascii="宋体" w:hAnsi="宋体" w:eastAsia="宋体" w:cs="宋体"/>
                <w:i w:val="0"/>
                <w:iCs w:val="0"/>
                <w:color w:val="auto"/>
                <w:sz w:val="18"/>
                <w:szCs w:val="18"/>
                <w:highlight w:val="none"/>
                <w:u w:val="none"/>
              </w:rPr>
            </w:pPr>
          </w:p>
        </w:tc>
      </w:tr>
      <w:tr w14:paraId="3900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3F27F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6EFA0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门窗：玻璃窗拆除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F8370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1.东侧原有玻璃窗拆除，垃圾清理外运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B2CC6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845A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6668A9">
            <w:pPr>
              <w:jc w:val="center"/>
              <w:rPr>
                <w:rFonts w:hint="eastAsia" w:ascii="宋体" w:hAnsi="宋体" w:eastAsia="宋体" w:cs="宋体"/>
                <w:i w:val="0"/>
                <w:iCs w:val="0"/>
                <w:color w:val="auto"/>
                <w:sz w:val="18"/>
                <w:szCs w:val="18"/>
                <w:highlight w:val="none"/>
                <w:u w:val="none"/>
              </w:rPr>
            </w:pPr>
          </w:p>
        </w:tc>
      </w:tr>
      <w:tr w14:paraId="6C0B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C4FA8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7052D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门窗：玻璃隔断</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7413A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1.定制玻璃隔断（含门体）</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ED30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A163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69B924">
            <w:pPr>
              <w:jc w:val="center"/>
              <w:rPr>
                <w:rFonts w:hint="eastAsia" w:ascii="宋体" w:hAnsi="宋体" w:eastAsia="宋体" w:cs="宋体"/>
                <w:i w:val="0"/>
                <w:iCs w:val="0"/>
                <w:color w:val="auto"/>
                <w:sz w:val="18"/>
                <w:szCs w:val="18"/>
                <w:highlight w:val="none"/>
                <w:u w:val="none"/>
              </w:rPr>
            </w:pPr>
          </w:p>
        </w:tc>
      </w:tr>
      <w:tr w14:paraId="75BF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5608A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3C163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门窗：玻璃门五金</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EDF4A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1.玻璃门五金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FAAEB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0516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118176">
            <w:pPr>
              <w:jc w:val="center"/>
              <w:rPr>
                <w:rFonts w:hint="eastAsia" w:ascii="宋体" w:hAnsi="宋体" w:eastAsia="宋体" w:cs="宋体"/>
                <w:i w:val="0"/>
                <w:iCs w:val="0"/>
                <w:color w:val="auto"/>
                <w:sz w:val="18"/>
                <w:szCs w:val="18"/>
                <w:highlight w:val="none"/>
                <w:u w:val="none"/>
              </w:rPr>
            </w:pPr>
          </w:p>
        </w:tc>
      </w:tr>
      <w:tr w14:paraId="74DF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50E35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A661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门窗：电子门吸</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CEFD1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1.电子门吸</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489F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EF6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E4E5EA7">
            <w:pPr>
              <w:jc w:val="center"/>
              <w:rPr>
                <w:rFonts w:hint="eastAsia" w:ascii="宋体" w:hAnsi="宋体" w:eastAsia="宋体" w:cs="宋体"/>
                <w:i w:val="0"/>
                <w:iCs w:val="0"/>
                <w:color w:val="auto"/>
                <w:sz w:val="18"/>
                <w:szCs w:val="18"/>
                <w:highlight w:val="none"/>
                <w:u w:val="none"/>
              </w:rPr>
            </w:pPr>
          </w:p>
        </w:tc>
      </w:tr>
      <w:tr w14:paraId="77E1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F4E8E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B41830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3F2CE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DBD75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64.80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A4E5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A0FAB5C">
            <w:pPr>
              <w:jc w:val="center"/>
              <w:rPr>
                <w:rFonts w:hint="eastAsia" w:ascii="宋体" w:hAnsi="宋体" w:eastAsia="宋体" w:cs="宋体"/>
                <w:i w:val="0"/>
                <w:iCs w:val="0"/>
                <w:color w:val="auto"/>
                <w:sz w:val="18"/>
                <w:szCs w:val="18"/>
                <w:highlight w:val="none"/>
                <w:u w:val="none"/>
              </w:rPr>
            </w:pPr>
          </w:p>
        </w:tc>
      </w:tr>
      <w:tr w14:paraId="7447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D068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4BD5F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ABE86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E8F20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6133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070DE19">
            <w:pPr>
              <w:jc w:val="center"/>
              <w:rPr>
                <w:rFonts w:hint="eastAsia" w:ascii="宋体" w:hAnsi="宋体" w:eastAsia="宋体" w:cs="宋体"/>
                <w:i w:val="0"/>
                <w:iCs w:val="0"/>
                <w:color w:val="auto"/>
                <w:sz w:val="18"/>
                <w:szCs w:val="18"/>
                <w:highlight w:val="none"/>
                <w:u w:val="none"/>
              </w:rPr>
            </w:pPr>
          </w:p>
        </w:tc>
      </w:tr>
      <w:tr w14:paraId="2DE1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28513D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卫生间改贵宾接待室</w:t>
            </w:r>
          </w:p>
        </w:tc>
      </w:tr>
      <w:tr w14:paraId="1ACA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D1109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BBBBA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F76E4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1.原装饰墙、顶、地面拆除，水电管线、灯具、面板等拆除（含垃圾清理外运）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FE6A9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C3DD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B9BCF82">
            <w:pPr>
              <w:jc w:val="center"/>
              <w:rPr>
                <w:rFonts w:hint="eastAsia" w:ascii="宋体" w:hAnsi="宋体" w:eastAsia="宋体" w:cs="宋体"/>
                <w:i w:val="0"/>
                <w:iCs w:val="0"/>
                <w:color w:val="auto"/>
                <w:sz w:val="18"/>
                <w:szCs w:val="18"/>
                <w:highlight w:val="none"/>
                <w:u w:val="none"/>
              </w:rPr>
            </w:pPr>
          </w:p>
        </w:tc>
      </w:tr>
      <w:tr w14:paraId="3421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814DD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23834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地面：木地板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0E27C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1.水泥砂浆找平层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2.5mm自流平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3.木地板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370F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45.33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77FF6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2B206B">
            <w:pPr>
              <w:jc w:val="center"/>
              <w:rPr>
                <w:rFonts w:hint="eastAsia" w:ascii="宋体" w:hAnsi="宋体" w:eastAsia="宋体" w:cs="宋体"/>
                <w:i w:val="0"/>
                <w:iCs w:val="0"/>
                <w:color w:val="auto"/>
                <w:sz w:val="18"/>
                <w:szCs w:val="18"/>
                <w:highlight w:val="none"/>
                <w:u w:val="none"/>
              </w:rPr>
            </w:pPr>
          </w:p>
        </w:tc>
      </w:tr>
      <w:tr w14:paraId="740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38F2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3381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地面：地砖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51B20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2.地砖铺贴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57FCD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9.01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85BC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C760923">
            <w:pPr>
              <w:jc w:val="center"/>
              <w:rPr>
                <w:rFonts w:hint="eastAsia" w:ascii="宋体" w:hAnsi="宋体" w:eastAsia="宋体" w:cs="宋体"/>
                <w:i w:val="0"/>
                <w:iCs w:val="0"/>
                <w:color w:val="auto"/>
                <w:sz w:val="18"/>
                <w:szCs w:val="18"/>
                <w:highlight w:val="none"/>
                <w:u w:val="none"/>
              </w:rPr>
            </w:pPr>
          </w:p>
        </w:tc>
      </w:tr>
      <w:tr w14:paraId="76C8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50600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C76FB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地面：踢脚线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027C2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2.定制不锈钢踢脚线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98E46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24.26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CD4C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DFE186">
            <w:pPr>
              <w:jc w:val="center"/>
              <w:rPr>
                <w:rFonts w:hint="eastAsia" w:ascii="宋体" w:hAnsi="宋体" w:eastAsia="宋体" w:cs="宋体"/>
                <w:i w:val="0"/>
                <w:iCs w:val="0"/>
                <w:color w:val="auto"/>
                <w:sz w:val="18"/>
                <w:szCs w:val="18"/>
                <w:highlight w:val="none"/>
                <w:u w:val="none"/>
              </w:rPr>
            </w:pPr>
          </w:p>
        </w:tc>
      </w:tr>
      <w:tr w14:paraId="7E0B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D01B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9E0ED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顶面：石膏板造型顶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D1D16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9.5mm纸面石膏板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98245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54.34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86927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0F1CE3">
            <w:pPr>
              <w:jc w:val="center"/>
              <w:rPr>
                <w:rFonts w:hint="eastAsia" w:ascii="宋体" w:hAnsi="宋体" w:eastAsia="宋体" w:cs="宋体"/>
                <w:i w:val="0"/>
                <w:iCs w:val="0"/>
                <w:color w:val="auto"/>
                <w:sz w:val="18"/>
                <w:szCs w:val="18"/>
                <w:highlight w:val="none"/>
                <w:u w:val="none"/>
              </w:rPr>
            </w:pPr>
          </w:p>
        </w:tc>
      </w:tr>
      <w:tr w14:paraId="5775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BDCD9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855E0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顶面：软膜灯箱</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5DB4A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1.定制软膜灯箱（含灯具）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60FA0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13.60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530F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799629">
            <w:pPr>
              <w:jc w:val="center"/>
              <w:rPr>
                <w:rFonts w:hint="eastAsia" w:ascii="宋体" w:hAnsi="宋体" w:eastAsia="宋体" w:cs="宋体"/>
                <w:i w:val="0"/>
                <w:iCs w:val="0"/>
                <w:color w:val="auto"/>
                <w:sz w:val="18"/>
                <w:szCs w:val="18"/>
                <w:highlight w:val="none"/>
                <w:u w:val="none"/>
              </w:rPr>
            </w:pPr>
          </w:p>
        </w:tc>
      </w:tr>
      <w:tr w14:paraId="4139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45434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5AFEA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顶面:窗帘盒</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332CD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3.9.5mm纸面石膏板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11005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75AC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10B3F90">
            <w:pPr>
              <w:jc w:val="center"/>
              <w:rPr>
                <w:rFonts w:hint="eastAsia" w:ascii="宋体" w:hAnsi="宋体" w:eastAsia="宋体" w:cs="宋体"/>
                <w:i w:val="0"/>
                <w:iCs w:val="0"/>
                <w:color w:val="auto"/>
                <w:sz w:val="18"/>
                <w:szCs w:val="18"/>
                <w:highlight w:val="none"/>
                <w:u w:val="none"/>
              </w:rPr>
            </w:pPr>
          </w:p>
        </w:tc>
      </w:tr>
      <w:tr w14:paraId="5825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9716D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C4B9E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0F461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99DD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66.09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CF9D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99411FD">
            <w:pPr>
              <w:jc w:val="center"/>
              <w:rPr>
                <w:rFonts w:hint="eastAsia" w:ascii="宋体" w:hAnsi="宋体" w:eastAsia="宋体" w:cs="宋体"/>
                <w:i w:val="0"/>
                <w:iCs w:val="0"/>
                <w:color w:val="auto"/>
                <w:sz w:val="18"/>
                <w:szCs w:val="18"/>
                <w:highlight w:val="none"/>
                <w:u w:val="none"/>
              </w:rPr>
            </w:pPr>
          </w:p>
        </w:tc>
      </w:tr>
      <w:tr w14:paraId="2806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F8B8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F8A76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墙面：木制饰面板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C6779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2E031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80.06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70AF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4A9F15">
            <w:pPr>
              <w:jc w:val="center"/>
              <w:rPr>
                <w:rFonts w:hint="eastAsia" w:ascii="宋体" w:hAnsi="宋体" w:eastAsia="宋体" w:cs="宋体"/>
                <w:i w:val="0"/>
                <w:iCs w:val="0"/>
                <w:color w:val="auto"/>
                <w:sz w:val="18"/>
                <w:szCs w:val="18"/>
                <w:highlight w:val="none"/>
                <w:u w:val="none"/>
              </w:rPr>
            </w:pPr>
          </w:p>
        </w:tc>
      </w:tr>
      <w:tr w14:paraId="23FD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AF56D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3D59F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墙面：墙砖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FD535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2.墙砖粘贴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064FD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37.42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0BCC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6D8818">
            <w:pPr>
              <w:jc w:val="center"/>
              <w:rPr>
                <w:rFonts w:hint="eastAsia" w:ascii="宋体" w:hAnsi="宋体" w:eastAsia="宋体" w:cs="宋体"/>
                <w:i w:val="0"/>
                <w:iCs w:val="0"/>
                <w:color w:val="auto"/>
                <w:sz w:val="18"/>
                <w:szCs w:val="18"/>
                <w:highlight w:val="none"/>
                <w:u w:val="none"/>
              </w:rPr>
            </w:pPr>
          </w:p>
        </w:tc>
      </w:tr>
      <w:tr w14:paraId="09F3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1F515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74FDEF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墙面：玻璃隔断（卫生间）</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91BED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1.定制成品玻璃隔断</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6C605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FCD7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28B4F3">
            <w:pPr>
              <w:jc w:val="center"/>
              <w:rPr>
                <w:rFonts w:hint="eastAsia" w:ascii="宋体" w:hAnsi="宋体" w:eastAsia="宋体" w:cs="宋体"/>
                <w:i w:val="0"/>
                <w:iCs w:val="0"/>
                <w:color w:val="auto"/>
                <w:sz w:val="18"/>
                <w:szCs w:val="18"/>
                <w:highlight w:val="none"/>
                <w:u w:val="none"/>
              </w:rPr>
            </w:pPr>
          </w:p>
        </w:tc>
      </w:tr>
      <w:tr w14:paraId="5535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3B61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80DCE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墙面：人造石窗台板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EC54B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2.人造石窗台板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675B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EAE3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8DDB7">
            <w:pPr>
              <w:jc w:val="center"/>
              <w:rPr>
                <w:rFonts w:hint="eastAsia" w:ascii="宋体" w:hAnsi="宋体" w:eastAsia="宋体" w:cs="宋体"/>
                <w:i w:val="0"/>
                <w:iCs w:val="0"/>
                <w:color w:val="auto"/>
                <w:sz w:val="18"/>
                <w:szCs w:val="18"/>
                <w:highlight w:val="none"/>
                <w:u w:val="none"/>
              </w:rPr>
            </w:pPr>
          </w:p>
        </w:tc>
      </w:tr>
      <w:tr w14:paraId="1969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7FC1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2E943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其它：加砌块墙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F7EA2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1.150/200mm厚加砌块墙体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2.水泥砂浆抹灰</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401E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37.25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79687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226BD38">
            <w:pPr>
              <w:jc w:val="center"/>
              <w:rPr>
                <w:rFonts w:hint="eastAsia" w:ascii="宋体" w:hAnsi="宋体" w:eastAsia="宋体" w:cs="宋体"/>
                <w:i w:val="0"/>
                <w:iCs w:val="0"/>
                <w:color w:val="auto"/>
                <w:sz w:val="18"/>
                <w:szCs w:val="18"/>
                <w:highlight w:val="none"/>
                <w:u w:val="none"/>
              </w:rPr>
            </w:pPr>
          </w:p>
        </w:tc>
      </w:tr>
      <w:tr w14:paraId="1A11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6FF7C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73B3E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门窗：拆除原有门、塑钢窗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1CB4C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1.拆除原有门、塑钢窗（含垃圾清理外运）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60297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7E2B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416DC0">
            <w:pPr>
              <w:jc w:val="left"/>
              <w:rPr>
                <w:rFonts w:hint="eastAsia" w:ascii="宋体" w:hAnsi="宋体" w:eastAsia="宋体" w:cs="宋体"/>
                <w:i w:val="0"/>
                <w:iCs w:val="0"/>
                <w:color w:val="auto"/>
                <w:sz w:val="18"/>
                <w:szCs w:val="18"/>
                <w:highlight w:val="none"/>
                <w:u w:val="none"/>
              </w:rPr>
            </w:pPr>
          </w:p>
        </w:tc>
      </w:tr>
      <w:tr w14:paraId="6AEE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920A0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C4BB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门窗：隔热断桥铝合金窗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2B954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1.隔热断桥铝合金窗</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10E9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18.72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CFDF6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435E81">
            <w:pPr>
              <w:jc w:val="left"/>
              <w:rPr>
                <w:rFonts w:hint="eastAsia" w:ascii="宋体" w:hAnsi="宋体" w:eastAsia="宋体" w:cs="宋体"/>
                <w:i w:val="0"/>
                <w:iCs w:val="0"/>
                <w:color w:val="auto"/>
                <w:sz w:val="18"/>
                <w:szCs w:val="18"/>
                <w:highlight w:val="none"/>
                <w:u w:val="none"/>
              </w:rPr>
            </w:pPr>
          </w:p>
        </w:tc>
      </w:tr>
      <w:tr w14:paraId="5C06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7573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8A0B7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门窗：开门洞</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07947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1.开门洞，洞口加固抹面处理</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BE33B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8BA6C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FB5FE9">
            <w:pPr>
              <w:jc w:val="center"/>
              <w:rPr>
                <w:rFonts w:hint="eastAsia" w:ascii="宋体" w:hAnsi="宋体" w:eastAsia="宋体" w:cs="宋体"/>
                <w:i w:val="0"/>
                <w:iCs w:val="0"/>
                <w:color w:val="auto"/>
                <w:sz w:val="18"/>
                <w:szCs w:val="18"/>
                <w:highlight w:val="none"/>
                <w:u w:val="none"/>
              </w:rPr>
            </w:pPr>
          </w:p>
        </w:tc>
      </w:tr>
      <w:tr w14:paraId="0348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DEF5D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4DCC5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门窗：单扇木门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82A438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1.定制木门（含门套、五金）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D5B6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F7927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FF11072">
            <w:pPr>
              <w:jc w:val="center"/>
              <w:rPr>
                <w:rFonts w:hint="eastAsia" w:ascii="宋体" w:hAnsi="宋体" w:eastAsia="宋体" w:cs="宋体"/>
                <w:i w:val="0"/>
                <w:iCs w:val="0"/>
                <w:color w:val="auto"/>
                <w:sz w:val="18"/>
                <w:szCs w:val="18"/>
                <w:highlight w:val="none"/>
                <w:u w:val="none"/>
              </w:rPr>
            </w:pPr>
          </w:p>
        </w:tc>
      </w:tr>
      <w:tr w14:paraId="00EC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1E48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90F9E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其它：防水</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72266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1.丙纶防水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1BE2D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14.66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0EB9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C70EE8">
            <w:pPr>
              <w:jc w:val="center"/>
              <w:rPr>
                <w:rFonts w:hint="eastAsia" w:ascii="宋体" w:hAnsi="宋体" w:eastAsia="宋体" w:cs="宋体"/>
                <w:i w:val="0"/>
                <w:iCs w:val="0"/>
                <w:color w:val="auto"/>
                <w:sz w:val="18"/>
                <w:szCs w:val="18"/>
                <w:highlight w:val="none"/>
                <w:u w:val="none"/>
              </w:rPr>
            </w:pPr>
          </w:p>
        </w:tc>
      </w:tr>
      <w:tr w14:paraId="23F1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0D63C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EB43C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2A8B7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1FB98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54.34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37BE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F9774EC">
            <w:pPr>
              <w:jc w:val="center"/>
              <w:rPr>
                <w:rFonts w:hint="eastAsia" w:ascii="宋体" w:hAnsi="宋体" w:eastAsia="宋体" w:cs="宋体"/>
                <w:i w:val="0"/>
                <w:iCs w:val="0"/>
                <w:color w:val="auto"/>
                <w:sz w:val="18"/>
                <w:szCs w:val="18"/>
                <w:highlight w:val="none"/>
                <w:u w:val="none"/>
              </w:rPr>
            </w:pPr>
          </w:p>
        </w:tc>
      </w:tr>
      <w:tr w14:paraId="20F5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927B0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ACCE49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DBAC1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772C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1E2F1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E71ABE5">
            <w:pPr>
              <w:jc w:val="center"/>
              <w:rPr>
                <w:rFonts w:hint="eastAsia" w:ascii="宋体" w:hAnsi="宋体" w:eastAsia="宋体" w:cs="宋体"/>
                <w:i w:val="0"/>
                <w:iCs w:val="0"/>
                <w:color w:val="auto"/>
                <w:sz w:val="18"/>
                <w:szCs w:val="18"/>
                <w:highlight w:val="none"/>
                <w:u w:val="none"/>
              </w:rPr>
            </w:pPr>
          </w:p>
        </w:tc>
      </w:tr>
      <w:tr w14:paraId="30EB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FDDD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779E9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其它：给排水管线改造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35192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1.给排水管线改造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AE4B7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D49C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2F492C0">
            <w:pPr>
              <w:jc w:val="center"/>
              <w:rPr>
                <w:rFonts w:hint="eastAsia" w:ascii="宋体" w:hAnsi="宋体" w:eastAsia="宋体" w:cs="宋体"/>
                <w:i w:val="0"/>
                <w:iCs w:val="0"/>
                <w:color w:val="auto"/>
                <w:sz w:val="18"/>
                <w:szCs w:val="18"/>
                <w:highlight w:val="none"/>
                <w:u w:val="none"/>
              </w:rPr>
            </w:pPr>
          </w:p>
        </w:tc>
      </w:tr>
      <w:tr w14:paraId="27E1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07040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58B76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其它：马桶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A650F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1.马桶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185B4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33CE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93F6670">
            <w:pPr>
              <w:jc w:val="center"/>
              <w:rPr>
                <w:rFonts w:hint="eastAsia" w:ascii="宋体" w:hAnsi="宋体" w:eastAsia="宋体" w:cs="宋体"/>
                <w:i w:val="0"/>
                <w:iCs w:val="0"/>
                <w:color w:val="auto"/>
                <w:sz w:val="18"/>
                <w:szCs w:val="18"/>
                <w:highlight w:val="none"/>
                <w:u w:val="none"/>
              </w:rPr>
            </w:pPr>
          </w:p>
        </w:tc>
      </w:tr>
      <w:tr w14:paraId="7251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0901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AA540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其它：地漏</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3B1D1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1.地漏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CA566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7CB84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456D70">
            <w:pPr>
              <w:jc w:val="center"/>
              <w:rPr>
                <w:rFonts w:hint="eastAsia" w:ascii="宋体" w:hAnsi="宋体" w:eastAsia="宋体" w:cs="宋体"/>
                <w:i w:val="0"/>
                <w:iCs w:val="0"/>
                <w:color w:val="auto"/>
                <w:sz w:val="18"/>
                <w:szCs w:val="18"/>
                <w:highlight w:val="none"/>
                <w:u w:val="none"/>
              </w:rPr>
            </w:pPr>
          </w:p>
        </w:tc>
      </w:tr>
      <w:tr w14:paraId="2426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2B0C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23BBF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其它：成品洗手柜</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5F9CB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1.成品洗手柜（含脸盆、龙头、五金等）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2FC2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004AE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E4D6C7B">
            <w:pPr>
              <w:jc w:val="center"/>
              <w:rPr>
                <w:rFonts w:hint="eastAsia" w:ascii="宋体" w:hAnsi="宋体" w:eastAsia="宋体" w:cs="宋体"/>
                <w:i w:val="0"/>
                <w:iCs w:val="0"/>
                <w:color w:val="auto"/>
                <w:sz w:val="18"/>
                <w:szCs w:val="18"/>
                <w:highlight w:val="none"/>
                <w:u w:val="none"/>
              </w:rPr>
            </w:pPr>
          </w:p>
        </w:tc>
      </w:tr>
      <w:tr w14:paraId="10E9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F311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53FF4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其它：镜子</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83CB4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1.镜子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07AA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248E3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467A0D1">
            <w:pPr>
              <w:jc w:val="center"/>
              <w:rPr>
                <w:rFonts w:hint="eastAsia" w:ascii="宋体" w:hAnsi="宋体" w:eastAsia="宋体" w:cs="宋体"/>
                <w:i w:val="0"/>
                <w:iCs w:val="0"/>
                <w:color w:val="auto"/>
                <w:sz w:val="18"/>
                <w:szCs w:val="18"/>
                <w:highlight w:val="none"/>
                <w:u w:val="none"/>
              </w:rPr>
            </w:pPr>
          </w:p>
        </w:tc>
      </w:tr>
      <w:tr w14:paraId="72D4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32FD19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杂物室改茶水间</w:t>
            </w:r>
          </w:p>
        </w:tc>
      </w:tr>
      <w:tr w14:paraId="707A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75E1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DE239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地柜</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6BE6A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1.定制水吧地柜</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B2626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1370E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ED79B1E">
            <w:pPr>
              <w:jc w:val="center"/>
              <w:rPr>
                <w:rFonts w:hint="eastAsia" w:ascii="宋体" w:hAnsi="宋体" w:eastAsia="宋体" w:cs="宋体"/>
                <w:i w:val="0"/>
                <w:iCs w:val="0"/>
                <w:color w:val="auto"/>
                <w:sz w:val="18"/>
                <w:szCs w:val="18"/>
                <w:highlight w:val="none"/>
                <w:u w:val="none"/>
              </w:rPr>
            </w:pPr>
          </w:p>
        </w:tc>
      </w:tr>
      <w:tr w14:paraId="7BA1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F3A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094BA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吊柜</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07F06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1.定制吊柜</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75EF5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849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99CF904">
            <w:pPr>
              <w:jc w:val="center"/>
              <w:rPr>
                <w:rFonts w:hint="eastAsia" w:ascii="宋体" w:hAnsi="宋体" w:eastAsia="宋体" w:cs="宋体"/>
                <w:i w:val="0"/>
                <w:iCs w:val="0"/>
                <w:color w:val="auto"/>
                <w:sz w:val="18"/>
                <w:szCs w:val="18"/>
                <w:highlight w:val="none"/>
                <w:u w:val="none"/>
              </w:rPr>
            </w:pPr>
          </w:p>
        </w:tc>
      </w:tr>
      <w:tr w14:paraId="3FFF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AD9E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D2605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储物柜</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DB5DA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1.定制储物柜</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23634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CCA4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22E0E5">
            <w:pPr>
              <w:jc w:val="center"/>
              <w:rPr>
                <w:rFonts w:hint="eastAsia" w:ascii="宋体" w:hAnsi="宋体" w:eastAsia="宋体" w:cs="宋体"/>
                <w:i w:val="0"/>
                <w:iCs w:val="0"/>
                <w:color w:val="auto"/>
                <w:sz w:val="18"/>
                <w:szCs w:val="18"/>
                <w:highlight w:val="none"/>
                <w:u w:val="none"/>
              </w:rPr>
            </w:pPr>
          </w:p>
        </w:tc>
      </w:tr>
      <w:tr w14:paraId="06BA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CA8D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6FC7C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其它：单扇木门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96D86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1.定制木门（含门套、五金）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700C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3D8F0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69DE4B6">
            <w:pPr>
              <w:jc w:val="center"/>
              <w:rPr>
                <w:rFonts w:hint="eastAsia" w:ascii="宋体" w:hAnsi="宋体" w:eastAsia="宋体" w:cs="宋体"/>
                <w:i w:val="0"/>
                <w:iCs w:val="0"/>
                <w:color w:val="auto"/>
                <w:sz w:val="18"/>
                <w:szCs w:val="18"/>
                <w:highlight w:val="none"/>
                <w:u w:val="none"/>
              </w:rPr>
            </w:pPr>
          </w:p>
        </w:tc>
      </w:tr>
      <w:tr w14:paraId="4824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3F5B8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9D2C6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其它：给排水管线改造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FBA25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1.给排水管线改造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75540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17100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97F3E25">
            <w:pPr>
              <w:jc w:val="center"/>
              <w:rPr>
                <w:rFonts w:hint="eastAsia" w:ascii="宋体" w:hAnsi="宋体" w:eastAsia="宋体" w:cs="宋体"/>
                <w:i w:val="0"/>
                <w:iCs w:val="0"/>
                <w:color w:val="auto"/>
                <w:sz w:val="18"/>
                <w:szCs w:val="18"/>
                <w:highlight w:val="none"/>
                <w:u w:val="none"/>
              </w:rPr>
            </w:pPr>
          </w:p>
        </w:tc>
      </w:tr>
      <w:tr w14:paraId="1B55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709A42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2#演播厅南侧走廊装修</w:t>
            </w:r>
          </w:p>
        </w:tc>
      </w:tr>
      <w:tr w14:paraId="0AA1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55DA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3C670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EC3E7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1.原装饰墙、顶、地面拆除，水电管线、灯具、面板等拆除（含垃圾清理外运）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59F72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73.30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2134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6F9CFE">
            <w:pPr>
              <w:jc w:val="center"/>
              <w:rPr>
                <w:rFonts w:hint="eastAsia" w:ascii="宋体" w:hAnsi="宋体" w:eastAsia="宋体" w:cs="宋体"/>
                <w:i w:val="0"/>
                <w:iCs w:val="0"/>
                <w:color w:val="auto"/>
                <w:sz w:val="18"/>
                <w:szCs w:val="18"/>
                <w:highlight w:val="none"/>
                <w:u w:val="none"/>
              </w:rPr>
            </w:pPr>
          </w:p>
        </w:tc>
      </w:tr>
      <w:tr w14:paraId="0CE1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11DD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79BC3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地面：地砖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D0A6C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2.地砖铺贴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BFCC8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73.30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EDB4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56BFFE">
            <w:pPr>
              <w:jc w:val="center"/>
              <w:rPr>
                <w:rFonts w:hint="eastAsia" w:ascii="宋体" w:hAnsi="宋体" w:eastAsia="宋体" w:cs="宋体"/>
                <w:i w:val="0"/>
                <w:iCs w:val="0"/>
                <w:color w:val="auto"/>
                <w:sz w:val="18"/>
                <w:szCs w:val="18"/>
                <w:highlight w:val="none"/>
                <w:u w:val="none"/>
              </w:rPr>
            </w:pPr>
          </w:p>
        </w:tc>
      </w:tr>
      <w:tr w14:paraId="3D5D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851D1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D0B19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地面：踢脚线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138E9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2.定制不锈钢踢脚线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B0F3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37.35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E15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18668B7">
            <w:pPr>
              <w:jc w:val="center"/>
              <w:rPr>
                <w:rFonts w:hint="eastAsia" w:ascii="宋体" w:hAnsi="宋体" w:eastAsia="宋体" w:cs="宋体"/>
                <w:i w:val="0"/>
                <w:iCs w:val="0"/>
                <w:color w:val="auto"/>
                <w:sz w:val="18"/>
                <w:szCs w:val="18"/>
                <w:highlight w:val="none"/>
                <w:u w:val="none"/>
              </w:rPr>
            </w:pPr>
          </w:p>
        </w:tc>
      </w:tr>
      <w:tr w14:paraId="0A63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88708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3322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顶面：铝方通吊顶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4F377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1.轻钢龙骨、方通专用龙骨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2.铝方通顶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5415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73.30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5355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338683">
            <w:pPr>
              <w:jc w:val="center"/>
              <w:rPr>
                <w:rFonts w:hint="eastAsia" w:ascii="宋体" w:hAnsi="宋体" w:eastAsia="宋体" w:cs="宋体"/>
                <w:i w:val="0"/>
                <w:iCs w:val="0"/>
                <w:color w:val="auto"/>
                <w:sz w:val="18"/>
                <w:szCs w:val="18"/>
                <w:highlight w:val="none"/>
                <w:u w:val="none"/>
              </w:rPr>
            </w:pPr>
          </w:p>
        </w:tc>
      </w:tr>
      <w:tr w14:paraId="66AD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5484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1886C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顶面：深灰色乳胶漆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7168F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1.原顶喷深灰色乳胶漆（含吊顶以上墙面、梁、管道等）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0E97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109.95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07C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CEB0B2">
            <w:pPr>
              <w:jc w:val="center"/>
              <w:rPr>
                <w:rFonts w:hint="eastAsia" w:ascii="宋体" w:hAnsi="宋体" w:eastAsia="宋体" w:cs="宋体"/>
                <w:i w:val="0"/>
                <w:iCs w:val="0"/>
                <w:color w:val="auto"/>
                <w:sz w:val="18"/>
                <w:szCs w:val="18"/>
                <w:highlight w:val="none"/>
                <w:u w:val="none"/>
              </w:rPr>
            </w:pPr>
          </w:p>
        </w:tc>
      </w:tr>
      <w:tr w14:paraId="3702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02F8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D919E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墙面：形象墙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B5304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2C3D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21.05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6C57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4CBAF8">
            <w:pPr>
              <w:jc w:val="center"/>
              <w:rPr>
                <w:rFonts w:hint="eastAsia" w:ascii="宋体" w:hAnsi="宋体" w:eastAsia="宋体" w:cs="宋体"/>
                <w:i w:val="0"/>
                <w:iCs w:val="0"/>
                <w:color w:val="auto"/>
                <w:sz w:val="18"/>
                <w:szCs w:val="18"/>
                <w:highlight w:val="none"/>
                <w:u w:val="none"/>
              </w:rPr>
            </w:pPr>
          </w:p>
        </w:tc>
      </w:tr>
      <w:tr w14:paraId="3944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6DD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147663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843C5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50289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158.20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1622B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DACDB4">
            <w:pPr>
              <w:jc w:val="center"/>
              <w:rPr>
                <w:rFonts w:hint="eastAsia" w:ascii="宋体" w:hAnsi="宋体" w:eastAsia="宋体" w:cs="宋体"/>
                <w:i w:val="0"/>
                <w:iCs w:val="0"/>
                <w:color w:val="auto"/>
                <w:sz w:val="18"/>
                <w:szCs w:val="18"/>
                <w:highlight w:val="none"/>
                <w:u w:val="none"/>
              </w:rPr>
            </w:pPr>
          </w:p>
        </w:tc>
      </w:tr>
      <w:tr w14:paraId="5778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AB5CE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C6528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其它：双扇木门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3E8D8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1.定制木门（含门套、五金）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04C4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CFB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7CAAF1">
            <w:pPr>
              <w:jc w:val="center"/>
              <w:rPr>
                <w:rFonts w:hint="eastAsia" w:ascii="宋体" w:hAnsi="宋体" w:eastAsia="宋体" w:cs="宋体"/>
                <w:i w:val="0"/>
                <w:iCs w:val="0"/>
                <w:color w:val="auto"/>
                <w:sz w:val="18"/>
                <w:szCs w:val="18"/>
                <w:highlight w:val="none"/>
                <w:u w:val="none"/>
              </w:rPr>
            </w:pPr>
          </w:p>
        </w:tc>
      </w:tr>
      <w:tr w14:paraId="196A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23BC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020D3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其它：玻璃隔断</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1F912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1.定制玻璃隔断（含门体）</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0B59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44D8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E2806C5">
            <w:pPr>
              <w:jc w:val="center"/>
              <w:rPr>
                <w:rFonts w:hint="eastAsia" w:ascii="宋体" w:hAnsi="宋体" w:eastAsia="宋体" w:cs="宋体"/>
                <w:i w:val="0"/>
                <w:iCs w:val="0"/>
                <w:color w:val="auto"/>
                <w:sz w:val="18"/>
                <w:szCs w:val="18"/>
                <w:highlight w:val="none"/>
                <w:u w:val="none"/>
              </w:rPr>
            </w:pPr>
          </w:p>
        </w:tc>
      </w:tr>
      <w:tr w14:paraId="044B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7632D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DF6D8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其它：玻璃门五金</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BAB4E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1.玻璃门五金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0B45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FE27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AF83E4">
            <w:pPr>
              <w:jc w:val="center"/>
              <w:rPr>
                <w:rFonts w:hint="eastAsia" w:ascii="宋体" w:hAnsi="宋体" w:eastAsia="宋体" w:cs="宋体"/>
                <w:i w:val="0"/>
                <w:iCs w:val="0"/>
                <w:color w:val="auto"/>
                <w:sz w:val="18"/>
                <w:szCs w:val="18"/>
                <w:highlight w:val="none"/>
                <w:u w:val="none"/>
              </w:rPr>
            </w:pPr>
          </w:p>
        </w:tc>
      </w:tr>
      <w:tr w14:paraId="366F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E3048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6EAF5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750FC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ADD52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73.30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D16D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4847D24">
            <w:pPr>
              <w:jc w:val="center"/>
              <w:rPr>
                <w:rFonts w:hint="eastAsia" w:ascii="宋体" w:hAnsi="宋体" w:eastAsia="宋体" w:cs="宋体"/>
                <w:i w:val="0"/>
                <w:iCs w:val="0"/>
                <w:color w:val="auto"/>
                <w:sz w:val="18"/>
                <w:szCs w:val="18"/>
                <w:highlight w:val="none"/>
                <w:u w:val="none"/>
              </w:rPr>
            </w:pPr>
          </w:p>
        </w:tc>
      </w:tr>
      <w:tr w14:paraId="14AA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1DA9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0EFD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C7B58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1.双头筒灯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BC614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0844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FFBC998">
            <w:pPr>
              <w:jc w:val="center"/>
              <w:rPr>
                <w:rFonts w:hint="eastAsia" w:ascii="宋体" w:hAnsi="宋体" w:eastAsia="宋体" w:cs="宋体"/>
                <w:i w:val="0"/>
                <w:iCs w:val="0"/>
                <w:color w:val="auto"/>
                <w:sz w:val="18"/>
                <w:szCs w:val="18"/>
                <w:highlight w:val="none"/>
                <w:u w:val="none"/>
              </w:rPr>
            </w:pPr>
          </w:p>
        </w:tc>
      </w:tr>
      <w:tr w14:paraId="3C21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F2AC6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A4ADE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其它：空调移机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93C46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1.空调移机</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5938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A16A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36BC63D">
            <w:pPr>
              <w:jc w:val="center"/>
              <w:rPr>
                <w:rFonts w:hint="eastAsia" w:ascii="宋体" w:hAnsi="宋体" w:eastAsia="宋体" w:cs="宋体"/>
                <w:i w:val="0"/>
                <w:iCs w:val="0"/>
                <w:color w:val="auto"/>
                <w:sz w:val="18"/>
                <w:szCs w:val="18"/>
                <w:highlight w:val="none"/>
                <w:u w:val="none"/>
              </w:rPr>
            </w:pPr>
          </w:p>
        </w:tc>
      </w:tr>
      <w:tr w14:paraId="6FE3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339F06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卫生间改造</w:t>
            </w:r>
          </w:p>
        </w:tc>
      </w:tr>
      <w:tr w14:paraId="19AC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997D1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477FD7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D4323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1.原装饰墙、顶、地面拆除，水电管线、灯具、面板、洁具、隔墙等拆除（含垃圾清理外运）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B5D0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132.64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BA1C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A09F5E">
            <w:pPr>
              <w:jc w:val="center"/>
              <w:rPr>
                <w:rFonts w:hint="eastAsia" w:ascii="宋体" w:hAnsi="宋体" w:eastAsia="宋体" w:cs="宋体"/>
                <w:i w:val="0"/>
                <w:iCs w:val="0"/>
                <w:color w:val="auto"/>
                <w:sz w:val="18"/>
                <w:szCs w:val="18"/>
                <w:highlight w:val="none"/>
                <w:u w:val="none"/>
              </w:rPr>
            </w:pPr>
          </w:p>
        </w:tc>
      </w:tr>
      <w:tr w14:paraId="2560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F369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DC885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地面：地砖（卫生间）</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4D261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2.地砖铺贴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3834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83.52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FBAA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C0FBA1">
            <w:pPr>
              <w:jc w:val="center"/>
              <w:rPr>
                <w:rFonts w:hint="eastAsia" w:ascii="宋体" w:hAnsi="宋体" w:eastAsia="宋体" w:cs="宋体"/>
                <w:i w:val="0"/>
                <w:iCs w:val="0"/>
                <w:color w:val="auto"/>
                <w:sz w:val="18"/>
                <w:szCs w:val="18"/>
                <w:highlight w:val="none"/>
                <w:u w:val="none"/>
              </w:rPr>
            </w:pPr>
          </w:p>
        </w:tc>
      </w:tr>
      <w:tr w14:paraId="4F30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74A5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EB7F7B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顶面：铝扣板顶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F28A1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2.0.8mm三角扣板龙骨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0.6mm铝扣板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7C4A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132.64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C026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604CC3">
            <w:pPr>
              <w:jc w:val="center"/>
              <w:rPr>
                <w:rFonts w:hint="eastAsia" w:ascii="宋体" w:hAnsi="宋体" w:eastAsia="宋体" w:cs="宋体"/>
                <w:i w:val="0"/>
                <w:iCs w:val="0"/>
                <w:color w:val="auto"/>
                <w:sz w:val="18"/>
                <w:szCs w:val="18"/>
                <w:highlight w:val="none"/>
                <w:u w:val="none"/>
              </w:rPr>
            </w:pPr>
          </w:p>
        </w:tc>
      </w:tr>
      <w:tr w14:paraId="08B9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28B60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B0015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墙面：墙砖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BE886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2.墙砖粘贴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16BC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282.48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41353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A34CDF7">
            <w:pPr>
              <w:jc w:val="center"/>
              <w:rPr>
                <w:rFonts w:hint="eastAsia" w:ascii="宋体" w:hAnsi="宋体" w:eastAsia="宋体" w:cs="宋体"/>
                <w:i w:val="0"/>
                <w:iCs w:val="0"/>
                <w:color w:val="auto"/>
                <w:sz w:val="18"/>
                <w:szCs w:val="18"/>
                <w:highlight w:val="none"/>
                <w:u w:val="none"/>
              </w:rPr>
            </w:pPr>
          </w:p>
        </w:tc>
      </w:tr>
      <w:tr w14:paraId="163B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6291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AC651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其它：加砌块墙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1B5BE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1.150/200mm厚加砌块墙体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2.水泥砂浆抹灰</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11F5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72.41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5F3B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E3BD260">
            <w:pPr>
              <w:jc w:val="center"/>
              <w:rPr>
                <w:rFonts w:hint="eastAsia" w:ascii="宋体" w:hAnsi="宋体" w:eastAsia="宋体" w:cs="宋体"/>
                <w:i w:val="0"/>
                <w:iCs w:val="0"/>
                <w:color w:val="auto"/>
                <w:sz w:val="18"/>
                <w:szCs w:val="18"/>
                <w:highlight w:val="none"/>
                <w:u w:val="none"/>
              </w:rPr>
            </w:pPr>
          </w:p>
        </w:tc>
      </w:tr>
      <w:tr w14:paraId="6FB5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91EC3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7A57C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其它：单扇木门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D1900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1.定制木门（含门套、五金）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73F47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09DE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247D058">
            <w:pPr>
              <w:jc w:val="center"/>
              <w:rPr>
                <w:rFonts w:hint="eastAsia" w:ascii="宋体" w:hAnsi="宋体" w:eastAsia="宋体" w:cs="宋体"/>
                <w:i w:val="0"/>
                <w:iCs w:val="0"/>
                <w:color w:val="auto"/>
                <w:sz w:val="18"/>
                <w:szCs w:val="18"/>
                <w:highlight w:val="none"/>
                <w:u w:val="none"/>
              </w:rPr>
            </w:pPr>
          </w:p>
        </w:tc>
      </w:tr>
      <w:tr w14:paraId="3A69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37A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E1E91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墙面：不锈钢哑口门套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B8AB5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2.不锈钢饰面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20555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13.60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90F3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FEC8B17">
            <w:pPr>
              <w:jc w:val="center"/>
              <w:rPr>
                <w:rFonts w:hint="eastAsia" w:ascii="宋体" w:hAnsi="宋体" w:eastAsia="宋体" w:cs="宋体"/>
                <w:i w:val="0"/>
                <w:iCs w:val="0"/>
                <w:color w:val="auto"/>
                <w:sz w:val="18"/>
                <w:szCs w:val="18"/>
                <w:highlight w:val="none"/>
                <w:u w:val="none"/>
              </w:rPr>
            </w:pPr>
          </w:p>
        </w:tc>
      </w:tr>
      <w:tr w14:paraId="5FFE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2FD56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698C0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其它：防水</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02635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1.丙纶防水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DC9E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90.51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42D5E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642BFFF">
            <w:pPr>
              <w:jc w:val="center"/>
              <w:rPr>
                <w:rFonts w:hint="eastAsia" w:ascii="宋体" w:hAnsi="宋体" w:eastAsia="宋体" w:cs="宋体"/>
                <w:i w:val="0"/>
                <w:iCs w:val="0"/>
                <w:color w:val="auto"/>
                <w:sz w:val="18"/>
                <w:szCs w:val="18"/>
                <w:highlight w:val="none"/>
                <w:u w:val="none"/>
              </w:rPr>
            </w:pPr>
          </w:p>
        </w:tc>
      </w:tr>
      <w:tr w14:paraId="1CD5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003C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5B4D8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8EC75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3D0E6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132.64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590E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EEA22BF">
            <w:pPr>
              <w:jc w:val="center"/>
              <w:rPr>
                <w:rFonts w:hint="eastAsia" w:ascii="宋体" w:hAnsi="宋体" w:eastAsia="宋体" w:cs="宋体"/>
                <w:i w:val="0"/>
                <w:iCs w:val="0"/>
                <w:color w:val="auto"/>
                <w:sz w:val="18"/>
                <w:szCs w:val="18"/>
                <w:highlight w:val="none"/>
                <w:u w:val="none"/>
              </w:rPr>
            </w:pPr>
          </w:p>
        </w:tc>
      </w:tr>
      <w:tr w14:paraId="098E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9AC2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3139D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C24A8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0F307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8F1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864C583">
            <w:pPr>
              <w:jc w:val="center"/>
              <w:rPr>
                <w:rFonts w:hint="eastAsia" w:ascii="宋体" w:hAnsi="宋体" w:eastAsia="宋体" w:cs="宋体"/>
                <w:i w:val="0"/>
                <w:iCs w:val="0"/>
                <w:color w:val="auto"/>
                <w:sz w:val="18"/>
                <w:szCs w:val="18"/>
                <w:highlight w:val="none"/>
                <w:u w:val="none"/>
              </w:rPr>
            </w:pPr>
          </w:p>
        </w:tc>
      </w:tr>
      <w:tr w14:paraId="4B08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FE817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0101E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其它：给排水管线改造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91192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1.给排水管线改造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28EBF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83.52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5B90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1CBB08">
            <w:pPr>
              <w:jc w:val="center"/>
              <w:rPr>
                <w:rFonts w:hint="eastAsia" w:ascii="宋体" w:hAnsi="宋体" w:eastAsia="宋体" w:cs="宋体"/>
                <w:i w:val="0"/>
                <w:iCs w:val="0"/>
                <w:color w:val="auto"/>
                <w:sz w:val="18"/>
                <w:szCs w:val="18"/>
                <w:highlight w:val="none"/>
                <w:u w:val="none"/>
              </w:rPr>
            </w:pPr>
          </w:p>
        </w:tc>
      </w:tr>
      <w:tr w14:paraId="499C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FA9EC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4C7D3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其它：洗漱台</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9E8A1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1.洗漱台</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FFAE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F81D1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BEC4A11">
            <w:pPr>
              <w:jc w:val="center"/>
              <w:rPr>
                <w:rFonts w:hint="eastAsia" w:ascii="宋体" w:hAnsi="宋体" w:eastAsia="宋体" w:cs="宋体"/>
                <w:i w:val="0"/>
                <w:iCs w:val="0"/>
                <w:color w:val="auto"/>
                <w:sz w:val="18"/>
                <w:szCs w:val="18"/>
                <w:highlight w:val="none"/>
                <w:u w:val="none"/>
              </w:rPr>
            </w:pPr>
          </w:p>
        </w:tc>
      </w:tr>
      <w:tr w14:paraId="58B9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4534F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C8044B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其它：成品洗手盆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B4D5A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1.成品洗手盆（含龙头、下水等五金）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87EB4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238B7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BB8D24D">
            <w:pPr>
              <w:jc w:val="center"/>
              <w:rPr>
                <w:rFonts w:hint="eastAsia" w:ascii="宋体" w:hAnsi="宋体" w:eastAsia="宋体" w:cs="宋体"/>
                <w:i w:val="0"/>
                <w:iCs w:val="0"/>
                <w:color w:val="auto"/>
                <w:sz w:val="18"/>
                <w:szCs w:val="18"/>
                <w:highlight w:val="none"/>
                <w:u w:val="none"/>
              </w:rPr>
            </w:pPr>
          </w:p>
        </w:tc>
      </w:tr>
      <w:tr w14:paraId="6F38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07295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EA208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其它：镜子 </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057C5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1.银镜</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9F3BF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5742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083531">
            <w:pPr>
              <w:jc w:val="center"/>
              <w:rPr>
                <w:rFonts w:hint="eastAsia" w:ascii="宋体" w:hAnsi="宋体" w:eastAsia="宋体" w:cs="宋体"/>
                <w:i w:val="0"/>
                <w:iCs w:val="0"/>
                <w:color w:val="auto"/>
                <w:sz w:val="18"/>
                <w:szCs w:val="18"/>
                <w:highlight w:val="none"/>
                <w:u w:val="none"/>
              </w:rPr>
            </w:pPr>
          </w:p>
        </w:tc>
      </w:tr>
      <w:tr w14:paraId="24D8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8F9A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65DA5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其它：蹲便</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AF724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1.蹲便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6B0A3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D30C4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E2605C">
            <w:pPr>
              <w:jc w:val="center"/>
              <w:rPr>
                <w:rFonts w:hint="eastAsia" w:ascii="宋体" w:hAnsi="宋体" w:eastAsia="宋体" w:cs="宋体"/>
                <w:i w:val="0"/>
                <w:iCs w:val="0"/>
                <w:color w:val="auto"/>
                <w:sz w:val="18"/>
                <w:szCs w:val="18"/>
                <w:highlight w:val="none"/>
                <w:u w:val="none"/>
              </w:rPr>
            </w:pPr>
          </w:p>
        </w:tc>
      </w:tr>
      <w:tr w14:paraId="2598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4E0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05CD4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其它：蹲位隔断</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C8D13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1.蹲位隔断</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6EE2F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174.68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694E7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7884BC">
            <w:pPr>
              <w:jc w:val="center"/>
              <w:rPr>
                <w:rFonts w:hint="eastAsia" w:ascii="宋体" w:hAnsi="宋体" w:eastAsia="宋体" w:cs="宋体"/>
                <w:i w:val="0"/>
                <w:iCs w:val="0"/>
                <w:color w:val="auto"/>
                <w:sz w:val="18"/>
                <w:szCs w:val="18"/>
                <w:highlight w:val="none"/>
                <w:u w:val="none"/>
              </w:rPr>
            </w:pPr>
          </w:p>
        </w:tc>
      </w:tr>
      <w:tr w14:paraId="644F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6586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AE0B5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其它：小便斗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E9B99D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1.小便斗</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C7E2A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C6E2E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A4128D7">
            <w:pPr>
              <w:jc w:val="center"/>
              <w:rPr>
                <w:rFonts w:hint="eastAsia" w:ascii="宋体" w:hAnsi="宋体" w:eastAsia="宋体" w:cs="宋体"/>
                <w:i w:val="0"/>
                <w:iCs w:val="0"/>
                <w:color w:val="auto"/>
                <w:sz w:val="18"/>
                <w:szCs w:val="18"/>
                <w:highlight w:val="none"/>
                <w:u w:val="none"/>
              </w:rPr>
            </w:pPr>
          </w:p>
        </w:tc>
      </w:tr>
      <w:tr w14:paraId="045A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A8A1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B6730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其它：小便冲洗阀</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0AEA4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1.小便冲洗阀</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90B28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79C4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B781A2">
            <w:pPr>
              <w:jc w:val="center"/>
              <w:rPr>
                <w:rFonts w:hint="eastAsia" w:ascii="宋体" w:hAnsi="宋体" w:eastAsia="宋体" w:cs="宋体"/>
                <w:i w:val="0"/>
                <w:iCs w:val="0"/>
                <w:color w:val="auto"/>
                <w:sz w:val="18"/>
                <w:szCs w:val="18"/>
                <w:highlight w:val="none"/>
                <w:u w:val="none"/>
              </w:rPr>
            </w:pPr>
          </w:p>
        </w:tc>
      </w:tr>
      <w:tr w14:paraId="4FBE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6294F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08DEE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其它：拖把池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B0F04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1.拖把池</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D5AE7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0346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0D99CB">
            <w:pPr>
              <w:jc w:val="center"/>
              <w:rPr>
                <w:rFonts w:hint="eastAsia" w:ascii="宋体" w:hAnsi="宋体" w:eastAsia="宋体" w:cs="宋体"/>
                <w:i w:val="0"/>
                <w:iCs w:val="0"/>
                <w:color w:val="auto"/>
                <w:sz w:val="18"/>
                <w:szCs w:val="18"/>
                <w:highlight w:val="none"/>
                <w:u w:val="none"/>
              </w:rPr>
            </w:pPr>
          </w:p>
        </w:tc>
      </w:tr>
      <w:tr w14:paraId="54D6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994A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F1AF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其它：地漏</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8E0D2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1.地漏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F4A0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118D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0BBB83">
            <w:pPr>
              <w:jc w:val="center"/>
              <w:rPr>
                <w:rFonts w:hint="eastAsia" w:ascii="宋体" w:hAnsi="宋体" w:eastAsia="宋体" w:cs="宋体"/>
                <w:i w:val="0"/>
                <w:iCs w:val="0"/>
                <w:color w:val="auto"/>
                <w:sz w:val="18"/>
                <w:szCs w:val="18"/>
                <w:highlight w:val="none"/>
                <w:u w:val="none"/>
              </w:rPr>
            </w:pPr>
          </w:p>
        </w:tc>
      </w:tr>
      <w:tr w14:paraId="2E84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5FED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A50A4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其它：小便隔断</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4B07C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1.小便隔断</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85A6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5649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F45D52">
            <w:pPr>
              <w:jc w:val="center"/>
              <w:rPr>
                <w:rFonts w:hint="eastAsia" w:ascii="宋体" w:hAnsi="宋体" w:eastAsia="宋体" w:cs="宋体"/>
                <w:i w:val="0"/>
                <w:iCs w:val="0"/>
                <w:color w:val="auto"/>
                <w:sz w:val="18"/>
                <w:szCs w:val="18"/>
                <w:highlight w:val="none"/>
                <w:u w:val="none"/>
              </w:rPr>
            </w:pPr>
          </w:p>
        </w:tc>
      </w:tr>
      <w:tr w14:paraId="59A0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20E416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走廊装修</w:t>
            </w:r>
          </w:p>
        </w:tc>
      </w:tr>
      <w:tr w14:paraId="0DDD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5C4D8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440B7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80DC79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1.原装饰顶、地面拆除，水电管线、灯具、面板等拆除（含垃圾清理外运）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F0287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337.90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0780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CD90222">
            <w:pPr>
              <w:jc w:val="center"/>
              <w:rPr>
                <w:rFonts w:hint="eastAsia" w:ascii="宋体" w:hAnsi="宋体" w:eastAsia="宋体" w:cs="宋体"/>
                <w:i w:val="0"/>
                <w:iCs w:val="0"/>
                <w:color w:val="auto"/>
                <w:sz w:val="18"/>
                <w:szCs w:val="18"/>
                <w:highlight w:val="none"/>
                <w:u w:val="none"/>
              </w:rPr>
            </w:pPr>
          </w:p>
        </w:tc>
      </w:tr>
      <w:tr w14:paraId="08C1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D1CF9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A008C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地面：地砖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98C4B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1.水泥砂浆粘贴层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2.地砖铺贴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09953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337.90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A04F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9D8D00D">
            <w:pPr>
              <w:jc w:val="center"/>
              <w:rPr>
                <w:rFonts w:hint="eastAsia" w:ascii="宋体" w:hAnsi="宋体" w:eastAsia="宋体" w:cs="宋体"/>
                <w:i w:val="0"/>
                <w:iCs w:val="0"/>
                <w:color w:val="auto"/>
                <w:sz w:val="18"/>
                <w:szCs w:val="18"/>
                <w:highlight w:val="none"/>
                <w:u w:val="none"/>
              </w:rPr>
            </w:pPr>
          </w:p>
        </w:tc>
      </w:tr>
      <w:tr w14:paraId="75DE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327D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26A5E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顶面：铝方通吊顶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20F50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1.轻钢龙骨、方通专用龙骨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2.铝方通顶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DA05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673.69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747C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F6E63D3">
            <w:pPr>
              <w:jc w:val="center"/>
              <w:rPr>
                <w:rFonts w:hint="eastAsia" w:ascii="宋体" w:hAnsi="宋体" w:eastAsia="宋体" w:cs="宋体"/>
                <w:i w:val="0"/>
                <w:iCs w:val="0"/>
                <w:color w:val="auto"/>
                <w:sz w:val="18"/>
                <w:szCs w:val="18"/>
                <w:highlight w:val="none"/>
                <w:u w:val="none"/>
              </w:rPr>
            </w:pPr>
          </w:p>
        </w:tc>
      </w:tr>
      <w:tr w14:paraId="56C4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72542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A8508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顶面：深灰色乳胶漆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77184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1.原顶喷深灰色乳胶漆（含吊顶以上墙面、梁、管道等）</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3A32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1010.54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3CEDB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74A5601">
            <w:pPr>
              <w:jc w:val="center"/>
              <w:rPr>
                <w:rFonts w:hint="eastAsia" w:ascii="宋体" w:hAnsi="宋体" w:eastAsia="宋体" w:cs="宋体"/>
                <w:i w:val="0"/>
                <w:iCs w:val="0"/>
                <w:color w:val="auto"/>
                <w:sz w:val="18"/>
                <w:szCs w:val="18"/>
                <w:highlight w:val="none"/>
                <w:u w:val="none"/>
              </w:rPr>
            </w:pPr>
          </w:p>
        </w:tc>
      </w:tr>
      <w:tr w14:paraId="13C9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85F05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A9C3E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墙面：形象墙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2A0C2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1.轻钢龙骨/木龙骨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2.木制饰面板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FFED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38.78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BFEA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CF336C1">
            <w:pPr>
              <w:jc w:val="center"/>
              <w:rPr>
                <w:rFonts w:hint="eastAsia" w:ascii="宋体" w:hAnsi="宋体" w:eastAsia="宋体" w:cs="宋体"/>
                <w:i w:val="0"/>
                <w:iCs w:val="0"/>
                <w:color w:val="auto"/>
                <w:sz w:val="18"/>
                <w:szCs w:val="18"/>
                <w:highlight w:val="none"/>
                <w:u w:val="none"/>
              </w:rPr>
            </w:pPr>
          </w:p>
        </w:tc>
      </w:tr>
      <w:tr w14:paraId="1F11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F917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818EF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4524A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24B41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690.13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65899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D721F1">
            <w:pPr>
              <w:jc w:val="center"/>
              <w:rPr>
                <w:rFonts w:hint="eastAsia" w:ascii="宋体" w:hAnsi="宋体" w:eastAsia="宋体" w:cs="宋体"/>
                <w:i w:val="0"/>
                <w:iCs w:val="0"/>
                <w:color w:val="auto"/>
                <w:sz w:val="18"/>
                <w:szCs w:val="18"/>
                <w:highlight w:val="none"/>
                <w:u w:val="none"/>
              </w:rPr>
            </w:pPr>
          </w:p>
        </w:tc>
      </w:tr>
      <w:tr w14:paraId="36EA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6883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2AAB8D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其它：定制成品伸缩缝</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2D250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1.定制成品伸缩缝</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732D0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56.67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CBD6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5F47A4">
            <w:pPr>
              <w:jc w:val="center"/>
              <w:rPr>
                <w:rFonts w:hint="eastAsia" w:ascii="宋体" w:hAnsi="宋体" w:eastAsia="宋体" w:cs="宋体"/>
                <w:i w:val="0"/>
                <w:iCs w:val="0"/>
                <w:color w:val="auto"/>
                <w:sz w:val="18"/>
                <w:szCs w:val="18"/>
                <w:highlight w:val="none"/>
                <w:u w:val="none"/>
              </w:rPr>
            </w:pPr>
          </w:p>
        </w:tc>
      </w:tr>
      <w:tr w14:paraId="7B6D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EA32A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22EB0B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4F60B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92D7A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673.69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3EDE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D854828">
            <w:pPr>
              <w:jc w:val="center"/>
              <w:rPr>
                <w:rFonts w:hint="eastAsia" w:ascii="宋体" w:hAnsi="宋体" w:eastAsia="宋体" w:cs="宋体"/>
                <w:i w:val="0"/>
                <w:iCs w:val="0"/>
                <w:color w:val="auto"/>
                <w:sz w:val="18"/>
                <w:szCs w:val="18"/>
                <w:highlight w:val="none"/>
                <w:u w:val="none"/>
              </w:rPr>
            </w:pPr>
          </w:p>
        </w:tc>
      </w:tr>
      <w:tr w14:paraId="6886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88AE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B634A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16B565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1.双头筒灯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D6503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14F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34BD260">
            <w:pPr>
              <w:jc w:val="center"/>
              <w:rPr>
                <w:rFonts w:hint="eastAsia" w:ascii="宋体" w:hAnsi="宋体" w:eastAsia="宋体" w:cs="宋体"/>
                <w:i w:val="0"/>
                <w:iCs w:val="0"/>
                <w:color w:val="auto"/>
                <w:sz w:val="18"/>
                <w:szCs w:val="18"/>
                <w:highlight w:val="none"/>
                <w:u w:val="none"/>
              </w:rPr>
            </w:pPr>
          </w:p>
        </w:tc>
      </w:tr>
      <w:tr w14:paraId="25C3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74D7C2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3#演播厅</w:t>
            </w:r>
          </w:p>
        </w:tc>
      </w:tr>
      <w:tr w14:paraId="730B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4E16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6A450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地面：舞台布线地插</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2921B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1.舞台预埋地插线槽</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4670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14.60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899D5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3F485B">
            <w:pPr>
              <w:jc w:val="center"/>
              <w:rPr>
                <w:rFonts w:hint="eastAsia" w:ascii="宋体" w:hAnsi="宋体" w:eastAsia="宋体" w:cs="宋体"/>
                <w:i w:val="0"/>
                <w:iCs w:val="0"/>
                <w:color w:val="auto"/>
                <w:sz w:val="18"/>
                <w:szCs w:val="18"/>
                <w:highlight w:val="none"/>
                <w:u w:val="none"/>
              </w:rPr>
            </w:pPr>
          </w:p>
        </w:tc>
      </w:tr>
      <w:tr w14:paraId="353B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A9496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09E4D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墙面：吸音板饰面</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2C360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1.型钢骨架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4.吸音板饰面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E6F89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110.40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6381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60ED62B">
            <w:pPr>
              <w:jc w:val="center"/>
              <w:rPr>
                <w:rFonts w:hint="eastAsia" w:ascii="宋体" w:hAnsi="宋体" w:eastAsia="宋体" w:cs="宋体"/>
                <w:i w:val="0"/>
                <w:iCs w:val="0"/>
                <w:color w:val="auto"/>
                <w:sz w:val="18"/>
                <w:szCs w:val="18"/>
                <w:highlight w:val="none"/>
                <w:u w:val="none"/>
              </w:rPr>
            </w:pPr>
          </w:p>
        </w:tc>
      </w:tr>
      <w:tr w14:paraId="0DD2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0C7466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2#演播厅</w:t>
            </w:r>
          </w:p>
        </w:tc>
      </w:tr>
      <w:tr w14:paraId="6302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DA250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3871E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顶面：石膏板造型顶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66C27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1.50系列轻钢龙骨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9.5mm纸面石膏板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E2A6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DFE0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D2C7E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演播厅内</w:t>
            </w:r>
          </w:p>
        </w:tc>
      </w:tr>
      <w:tr w14:paraId="3273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1026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D60E7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顶面：白色乳胶漆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B9600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1.满刮腻子2遍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2.白色乳胶漆饰面</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A612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345.00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81C03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0660F12">
            <w:pPr>
              <w:jc w:val="center"/>
              <w:rPr>
                <w:rFonts w:hint="eastAsia" w:ascii="宋体" w:hAnsi="宋体" w:eastAsia="宋体" w:cs="宋体"/>
                <w:i w:val="0"/>
                <w:iCs w:val="0"/>
                <w:color w:val="auto"/>
                <w:sz w:val="18"/>
                <w:szCs w:val="18"/>
                <w:highlight w:val="none"/>
                <w:u w:val="none"/>
              </w:rPr>
            </w:pPr>
          </w:p>
        </w:tc>
      </w:tr>
      <w:tr w14:paraId="01F4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C936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78FB9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墙面：吸音板隔墙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C8907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1.型钢骨架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4.吸音板+装饰板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AE3C5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7EE2A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35C8A9">
            <w:pPr>
              <w:jc w:val="center"/>
              <w:rPr>
                <w:rFonts w:hint="eastAsia" w:ascii="宋体" w:hAnsi="宋体" w:eastAsia="宋体" w:cs="宋体"/>
                <w:i w:val="0"/>
                <w:iCs w:val="0"/>
                <w:color w:val="auto"/>
                <w:sz w:val="18"/>
                <w:szCs w:val="18"/>
                <w:highlight w:val="none"/>
                <w:u w:val="none"/>
              </w:rPr>
            </w:pPr>
          </w:p>
        </w:tc>
      </w:tr>
      <w:tr w14:paraId="70A8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4348F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B9E7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墙面：装饰板隔墙</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76EC6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1.型钢骨架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2.内嵌吸音棉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3.15mm阻燃板基层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4.双面装饰板</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DD61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8373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3B10F3">
            <w:pPr>
              <w:jc w:val="center"/>
              <w:rPr>
                <w:rFonts w:hint="eastAsia" w:ascii="宋体" w:hAnsi="宋体" w:eastAsia="宋体" w:cs="宋体"/>
                <w:i w:val="0"/>
                <w:iCs w:val="0"/>
                <w:color w:val="auto"/>
                <w:sz w:val="18"/>
                <w:szCs w:val="18"/>
                <w:highlight w:val="none"/>
                <w:u w:val="none"/>
              </w:rPr>
            </w:pPr>
          </w:p>
        </w:tc>
      </w:tr>
      <w:tr w14:paraId="29B4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893C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DBC0C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其它：单扇木门</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ACE73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1.定制木门（含门套、五金）</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0B53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09E4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CFC4D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暗门</w:t>
            </w:r>
          </w:p>
        </w:tc>
      </w:tr>
      <w:tr w14:paraId="7AD2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AB215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E02C0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门窗：拆除原有防盗门、塑钢窗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9068C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1.拆除原有防盗门（含垃圾清理外运）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CDB15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D6CB9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樘</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04B3305">
            <w:pPr>
              <w:jc w:val="left"/>
              <w:rPr>
                <w:rFonts w:hint="eastAsia" w:ascii="宋体" w:hAnsi="宋体" w:eastAsia="宋体" w:cs="宋体"/>
                <w:i w:val="0"/>
                <w:iCs w:val="0"/>
                <w:color w:val="auto"/>
                <w:sz w:val="18"/>
                <w:szCs w:val="18"/>
                <w:highlight w:val="none"/>
                <w:u w:val="none"/>
              </w:rPr>
            </w:pPr>
          </w:p>
        </w:tc>
      </w:tr>
      <w:tr w14:paraId="4663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BD82C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A00C5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门窗：隔热断桥铝合金窗</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8D754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1.隔热断桥铝合金窗</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C7AC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12E9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8B4179">
            <w:pPr>
              <w:jc w:val="left"/>
              <w:rPr>
                <w:rFonts w:hint="eastAsia" w:ascii="宋体" w:hAnsi="宋体" w:eastAsia="宋体" w:cs="宋体"/>
                <w:i w:val="0"/>
                <w:iCs w:val="0"/>
                <w:color w:val="auto"/>
                <w:sz w:val="18"/>
                <w:szCs w:val="18"/>
                <w:highlight w:val="none"/>
                <w:u w:val="none"/>
              </w:rPr>
            </w:pPr>
          </w:p>
        </w:tc>
      </w:tr>
      <w:tr w14:paraId="4BF5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8B08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72DBF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其它：电气改造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F06CB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1.电气管线敷设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2.开关、插座、灯具、面板安装</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63AC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1214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E38F019">
            <w:pPr>
              <w:jc w:val="center"/>
              <w:rPr>
                <w:rFonts w:hint="eastAsia" w:ascii="宋体" w:hAnsi="宋体" w:eastAsia="宋体" w:cs="宋体"/>
                <w:i w:val="0"/>
                <w:iCs w:val="0"/>
                <w:color w:val="auto"/>
                <w:sz w:val="18"/>
                <w:szCs w:val="18"/>
                <w:highlight w:val="none"/>
                <w:u w:val="none"/>
              </w:rPr>
            </w:pPr>
          </w:p>
        </w:tc>
      </w:tr>
      <w:tr w14:paraId="4F26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F9CDD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BC3BF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其它：灯具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EFFC1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1.双头筒灯</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77F5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E65D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9B0A3B">
            <w:pPr>
              <w:jc w:val="center"/>
              <w:rPr>
                <w:rFonts w:hint="eastAsia" w:ascii="宋体" w:hAnsi="宋体" w:eastAsia="宋体" w:cs="宋体"/>
                <w:i w:val="0"/>
                <w:iCs w:val="0"/>
                <w:color w:val="auto"/>
                <w:sz w:val="18"/>
                <w:szCs w:val="18"/>
                <w:highlight w:val="none"/>
                <w:u w:val="none"/>
              </w:rPr>
            </w:pPr>
          </w:p>
        </w:tc>
      </w:tr>
      <w:tr w14:paraId="607E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35A3D2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大会议室105.86㎡家具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F288B61">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F88B9C1">
            <w:pPr>
              <w:jc w:val="center"/>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251D3E7">
            <w:pPr>
              <w:jc w:val="center"/>
              <w:rPr>
                <w:rFonts w:hint="eastAsia" w:ascii="宋体" w:hAnsi="宋体" w:eastAsia="宋体" w:cs="宋体"/>
                <w:i w:val="0"/>
                <w:iCs w:val="0"/>
                <w:color w:val="auto"/>
                <w:sz w:val="20"/>
                <w:szCs w:val="20"/>
                <w:highlight w:val="none"/>
                <w:u w:val="none"/>
              </w:rPr>
            </w:pPr>
          </w:p>
        </w:tc>
      </w:tr>
      <w:tr w14:paraId="0120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8DFC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EDC64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大会议板台桌</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B84AC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板台尺寸（10200*2000）；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分组1400*800=14组</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DECD5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7504DE4">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13E95C">
            <w:pPr>
              <w:jc w:val="center"/>
              <w:rPr>
                <w:rFonts w:hint="eastAsia" w:ascii="宋体" w:hAnsi="宋体" w:eastAsia="宋体" w:cs="宋体"/>
                <w:i w:val="0"/>
                <w:iCs w:val="0"/>
                <w:color w:val="auto"/>
                <w:sz w:val="20"/>
                <w:szCs w:val="20"/>
                <w:highlight w:val="none"/>
                <w:u w:val="none"/>
              </w:rPr>
            </w:pPr>
          </w:p>
        </w:tc>
      </w:tr>
      <w:tr w14:paraId="1211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A537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8ACBA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大会议室椅子</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F6148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600*600*800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8DD1E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C45C6A">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EF67332">
            <w:pPr>
              <w:jc w:val="center"/>
              <w:rPr>
                <w:rFonts w:hint="eastAsia" w:ascii="宋体" w:hAnsi="宋体" w:eastAsia="宋体" w:cs="宋体"/>
                <w:i w:val="0"/>
                <w:iCs w:val="0"/>
                <w:color w:val="auto"/>
                <w:sz w:val="20"/>
                <w:szCs w:val="20"/>
                <w:highlight w:val="none"/>
                <w:u w:val="none"/>
              </w:rPr>
            </w:pPr>
          </w:p>
        </w:tc>
      </w:tr>
      <w:tr w14:paraId="3866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E7E95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4FB5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F1128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1400*800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3796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7B1D1C">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张</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A2F4D2">
            <w:pPr>
              <w:jc w:val="center"/>
              <w:rPr>
                <w:rFonts w:hint="eastAsia" w:ascii="宋体" w:hAnsi="宋体" w:eastAsia="宋体" w:cs="宋体"/>
                <w:i w:val="0"/>
                <w:iCs w:val="0"/>
                <w:color w:val="auto"/>
                <w:sz w:val="20"/>
                <w:szCs w:val="20"/>
                <w:highlight w:val="none"/>
                <w:u w:val="none"/>
              </w:rPr>
            </w:pPr>
          </w:p>
        </w:tc>
      </w:tr>
      <w:tr w14:paraId="3D14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D989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87F3E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FD0C8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4000*1600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CCBE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DD5B27">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张</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BE1E3A">
            <w:pPr>
              <w:jc w:val="center"/>
              <w:rPr>
                <w:rFonts w:hint="eastAsia" w:ascii="宋体" w:hAnsi="宋体" w:eastAsia="宋体" w:cs="宋体"/>
                <w:i w:val="0"/>
                <w:iCs w:val="0"/>
                <w:color w:val="auto"/>
                <w:sz w:val="20"/>
                <w:szCs w:val="20"/>
                <w:highlight w:val="none"/>
                <w:u w:val="none"/>
              </w:rPr>
            </w:pPr>
          </w:p>
        </w:tc>
      </w:tr>
      <w:tr w14:paraId="1FAE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40F00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CE1A2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会议椅</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4BDE9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600*600*800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DFDE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50F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2CF1422">
            <w:pPr>
              <w:jc w:val="center"/>
              <w:rPr>
                <w:rFonts w:hint="eastAsia" w:ascii="宋体" w:hAnsi="宋体" w:eastAsia="宋体" w:cs="宋体"/>
                <w:i w:val="0"/>
                <w:iCs w:val="0"/>
                <w:color w:val="auto"/>
                <w:sz w:val="20"/>
                <w:szCs w:val="20"/>
                <w:highlight w:val="none"/>
                <w:u w:val="none"/>
              </w:rPr>
            </w:pPr>
          </w:p>
        </w:tc>
      </w:tr>
      <w:tr w14:paraId="40F1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D1D49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B2143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主席椅</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56050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700*600*500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F7804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CEC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F96890F">
            <w:pPr>
              <w:jc w:val="center"/>
              <w:rPr>
                <w:rFonts w:hint="eastAsia" w:ascii="宋体" w:hAnsi="宋体" w:eastAsia="宋体" w:cs="宋体"/>
                <w:i w:val="0"/>
                <w:iCs w:val="0"/>
                <w:color w:val="auto"/>
                <w:sz w:val="20"/>
                <w:szCs w:val="20"/>
                <w:highlight w:val="none"/>
                <w:u w:val="none"/>
              </w:rPr>
            </w:pPr>
          </w:p>
        </w:tc>
      </w:tr>
      <w:tr w14:paraId="3010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3506F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1FDA2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折叠椅</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7D47F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4325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4D1B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3DE973E">
            <w:pPr>
              <w:jc w:val="center"/>
              <w:rPr>
                <w:rFonts w:hint="eastAsia" w:ascii="宋体" w:hAnsi="宋体" w:eastAsia="宋体" w:cs="宋体"/>
                <w:i w:val="0"/>
                <w:iCs w:val="0"/>
                <w:color w:val="auto"/>
                <w:sz w:val="20"/>
                <w:szCs w:val="20"/>
                <w:highlight w:val="none"/>
                <w:u w:val="none"/>
              </w:rPr>
            </w:pPr>
          </w:p>
        </w:tc>
      </w:tr>
      <w:tr w14:paraId="34AB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5F327D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01中型会议室79.66㎡家具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6E52D48">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8085DD">
            <w:pPr>
              <w:jc w:val="center"/>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8374B8A">
            <w:pPr>
              <w:jc w:val="center"/>
              <w:rPr>
                <w:rFonts w:hint="eastAsia" w:ascii="宋体" w:hAnsi="宋体" w:eastAsia="宋体" w:cs="宋体"/>
                <w:i w:val="0"/>
                <w:iCs w:val="0"/>
                <w:color w:val="auto"/>
                <w:sz w:val="20"/>
                <w:szCs w:val="20"/>
                <w:highlight w:val="none"/>
                <w:u w:val="none"/>
              </w:rPr>
            </w:pPr>
          </w:p>
        </w:tc>
      </w:tr>
      <w:tr w14:paraId="735D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BBBCA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7499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61468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板台尺寸（6000*2000）；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分组2000*800=6组</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FDC9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AD85AD">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FFCECC">
            <w:pPr>
              <w:jc w:val="center"/>
              <w:rPr>
                <w:rFonts w:hint="eastAsia" w:ascii="宋体" w:hAnsi="宋体" w:eastAsia="宋体" w:cs="宋体"/>
                <w:i w:val="0"/>
                <w:iCs w:val="0"/>
                <w:color w:val="auto"/>
                <w:sz w:val="20"/>
                <w:szCs w:val="20"/>
                <w:highlight w:val="none"/>
                <w:u w:val="none"/>
              </w:rPr>
            </w:pPr>
          </w:p>
        </w:tc>
      </w:tr>
      <w:tr w14:paraId="21B8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B459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15286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会议室椅子</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3A306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600*600*800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9F6B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13207A">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639F97">
            <w:pPr>
              <w:jc w:val="center"/>
              <w:rPr>
                <w:rFonts w:hint="eastAsia" w:ascii="宋体" w:hAnsi="宋体" w:eastAsia="宋体" w:cs="宋体"/>
                <w:i w:val="0"/>
                <w:iCs w:val="0"/>
                <w:color w:val="auto"/>
                <w:sz w:val="20"/>
                <w:szCs w:val="20"/>
                <w:highlight w:val="none"/>
                <w:u w:val="none"/>
              </w:rPr>
            </w:pPr>
          </w:p>
        </w:tc>
      </w:tr>
      <w:tr w14:paraId="447D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362D2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02中型会议室78.68㎡家具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F8076F4">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A2B81DC">
            <w:pPr>
              <w:jc w:val="center"/>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F2F6702">
            <w:pPr>
              <w:jc w:val="center"/>
              <w:rPr>
                <w:rFonts w:hint="eastAsia" w:ascii="宋体" w:hAnsi="宋体" w:eastAsia="宋体" w:cs="宋体"/>
                <w:i w:val="0"/>
                <w:iCs w:val="0"/>
                <w:color w:val="auto"/>
                <w:sz w:val="20"/>
                <w:szCs w:val="20"/>
                <w:highlight w:val="none"/>
                <w:u w:val="none"/>
              </w:rPr>
            </w:pPr>
          </w:p>
        </w:tc>
      </w:tr>
      <w:tr w14:paraId="0501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4A7F4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278</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37338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方形会议桌</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21B68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方形条桌尺寸（4200*4200）；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分组2100*600=8组</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62753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978E36">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139CFA">
            <w:pPr>
              <w:jc w:val="center"/>
              <w:rPr>
                <w:rFonts w:hint="eastAsia" w:ascii="宋体" w:hAnsi="宋体" w:eastAsia="宋体" w:cs="宋体"/>
                <w:i w:val="0"/>
                <w:iCs w:val="0"/>
                <w:color w:val="auto"/>
                <w:sz w:val="20"/>
                <w:szCs w:val="20"/>
                <w:highlight w:val="none"/>
                <w:u w:val="none"/>
              </w:rPr>
            </w:pPr>
          </w:p>
        </w:tc>
      </w:tr>
      <w:tr w14:paraId="6FFC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208E2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2012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会议室椅子</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1605F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600*600*800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ACF2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40DEF28">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CD23E7B">
            <w:pPr>
              <w:jc w:val="center"/>
              <w:rPr>
                <w:rFonts w:hint="eastAsia" w:ascii="宋体" w:hAnsi="宋体" w:eastAsia="宋体" w:cs="宋体"/>
                <w:i w:val="0"/>
                <w:iCs w:val="0"/>
                <w:color w:val="auto"/>
                <w:sz w:val="20"/>
                <w:szCs w:val="20"/>
                <w:highlight w:val="none"/>
                <w:u w:val="none"/>
              </w:rPr>
            </w:pPr>
          </w:p>
        </w:tc>
      </w:tr>
      <w:tr w14:paraId="156A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1FB57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接待室52㎡+贵宾接待室41㎡家具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95A459D">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2B544E">
            <w:pPr>
              <w:jc w:val="center"/>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2EFBF48">
            <w:pPr>
              <w:jc w:val="center"/>
              <w:rPr>
                <w:rFonts w:hint="eastAsia" w:ascii="宋体" w:hAnsi="宋体" w:eastAsia="宋体" w:cs="宋体"/>
                <w:i w:val="0"/>
                <w:iCs w:val="0"/>
                <w:color w:val="auto"/>
                <w:sz w:val="20"/>
                <w:szCs w:val="20"/>
                <w:highlight w:val="none"/>
                <w:u w:val="none"/>
              </w:rPr>
            </w:pPr>
          </w:p>
        </w:tc>
      </w:tr>
      <w:tr w14:paraId="66B8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F7BA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4DC94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接待室沙发</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36BC7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沙发1050*800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5145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71BB1B">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套</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92ABB24">
            <w:pPr>
              <w:jc w:val="center"/>
              <w:rPr>
                <w:rFonts w:hint="eastAsia" w:ascii="宋体" w:hAnsi="宋体" w:eastAsia="宋体" w:cs="宋体"/>
                <w:i w:val="0"/>
                <w:iCs w:val="0"/>
                <w:color w:val="auto"/>
                <w:sz w:val="20"/>
                <w:szCs w:val="20"/>
                <w:highlight w:val="none"/>
                <w:u w:val="none"/>
              </w:rPr>
            </w:pPr>
          </w:p>
        </w:tc>
      </w:tr>
      <w:tr w14:paraId="2872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88DA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B8FE5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茶几</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474BF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600*600*500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2E654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EF14E3">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00DE3D">
            <w:pPr>
              <w:jc w:val="center"/>
              <w:rPr>
                <w:rFonts w:hint="eastAsia" w:ascii="宋体" w:hAnsi="宋体" w:eastAsia="宋体" w:cs="宋体"/>
                <w:i w:val="0"/>
                <w:iCs w:val="0"/>
                <w:color w:val="auto"/>
                <w:sz w:val="20"/>
                <w:szCs w:val="20"/>
                <w:highlight w:val="none"/>
                <w:u w:val="none"/>
              </w:rPr>
            </w:pPr>
          </w:p>
        </w:tc>
      </w:tr>
      <w:tr w14:paraId="0268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5" w:type="dxa"/>
            <w:gridSpan w:val="6"/>
            <w:tcBorders>
              <w:top w:val="single" w:color="000000" w:sz="4" w:space="0"/>
              <w:left w:val="single" w:color="000000" w:sz="4" w:space="0"/>
              <w:bottom w:val="single" w:color="000000" w:sz="4" w:space="0"/>
              <w:right w:val="single" w:color="000000" w:sz="4" w:space="0"/>
            </w:tcBorders>
            <w:noWrap/>
            <w:vAlign w:val="center"/>
          </w:tcPr>
          <w:p w14:paraId="24FA93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大会议室105.86㎡空调</w:t>
            </w:r>
          </w:p>
        </w:tc>
      </w:tr>
      <w:tr w14:paraId="34EA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FBAFA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4FBEC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中央空调6匹风管机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C923DE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EC498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CC7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F8D4D1B">
            <w:pPr>
              <w:jc w:val="center"/>
              <w:rPr>
                <w:rFonts w:hint="eastAsia" w:ascii="宋体" w:hAnsi="宋体" w:eastAsia="宋体" w:cs="宋体"/>
                <w:i w:val="0"/>
                <w:iCs w:val="0"/>
                <w:color w:val="auto"/>
                <w:sz w:val="18"/>
                <w:szCs w:val="18"/>
                <w:highlight w:val="none"/>
                <w:u w:val="none"/>
              </w:rPr>
            </w:pPr>
          </w:p>
        </w:tc>
      </w:tr>
      <w:tr w14:paraId="0A81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79786E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01中型会议室79.66㎡空调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B53CC9F">
            <w:pPr>
              <w:jc w:val="center"/>
              <w:rPr>
                <w:rFonts w:hint="eastAsia" w:ascii="宋体" w:hAnsi="宋体" w:eastAsia="宋体" w:cs="宋体"/>
                <w:i w:val="0"/>
                <w:iCs w:val="0"/>
                <w:color w:val="auto"/>
                <w:sz w:val="18"/>
                <w:szCs w:val="18"/>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1B879E">
            <w:pPr>
              <w:jc w:val="center"/>
              <w:rPr>
                <w:rFonts w:hint="eastAsia" w:ascii="宋体" w:hAnsi="宋体" w:eastAsia="宋体" w:cs="宋体"/>
                <w:i w:val="0"/>
                <w:iCs w:val="0"/>
                <w:color w:val="auto"/>
                <w:kern w:val="2"/>
                <w:sz w:val="18"/>
                <w:szCs w:val="18"/>
                <w:highlight w:val="none"/>
                <w:u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77951B">
            <w:pPr>
              <w:jc w:val="center"/>
              <w:rPr>
                <w:rFonts w:hint="eastAsia" w:ascii="宋体" w:hAnsi="宋体" w:eastAsia="宋体" w:cs="宋体"/>
                <w:i w:val="0"/>
                <w:iCs w:val="0"/>
                <w:color w:val="auto"/>
                <w:sz w:val="18"/>
                <w:szCs w:val="18"/>
                <w:highlight w:val="none"/>
                <w:u w:val="none"/>
              </w:rPr>
            </w:pPr>
          </w:p>
        </w:tc>
      </w:tr>
      <w:tr w14:paraId="3CAB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5B168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E44E9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中央空调5匹风管机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3C3748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3A27DF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0E7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23F89E">
            <w:pPr>
              <w:jc w:val="center"/>
              <w:rPr>
                <w:rFonts w:hint="eastAsia" w:ascii="宋体" w:hAnsi="宋体" w:eastAsia="宋体" w:cs="宋体"/>
                <w:i w:val="0"/>
                <w:iCs w:val="0"/>
                <w:color w:val="auto"/>
                <w:sz w:val="18"/>
                <w:szCs w:val="18"/>
                <w:highlight w:val="none"/>
                <w:u w:val="none"/>
              </w:rPr>
            </w:pPr>
          </w:p>
        </w:tc>
      </w:tr>
      <w:tr w14:paraId="4EB1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2BB4F25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02中型会议室78.68㎡空调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B7132B0">
            <w:pPr>
              <w:jc w:val="center"/>
              <w:rPr>
                <w:rFonts w:hint="eastAsia" w:ascii="宋体" w:hAnsi="宋体" w:eastAsia="宋体" w:cs="宋体"/>
                <w:i w:val="0"/>
                <w:iCs w:val="0"/>
                <w:color w:val="auto"/>
                <w:sz w:val="18"/>
                <w:szCs w:val="18"/>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2A4275">
            <w:pPr>
              <w:jc w:val="center"/>
              <w:rPr>
                <w:rFonts w:hint="eastAsia" w:ascii="宋体" w:hAnsi="宋体" w:eastAsia="宋体" w:cs="宋体"/>
                <w:i w:val="0"/>
                <w:iCs w:val="0"/>
                <w:color w:val="auto"/>
                <w:kern w:val="2"/>
                <w:sz w:val="18"/>
                <w:szCs w:val="18"/>
                <w:highlight w:val="none"/>
                <w:u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CBC6723">
            <w:pPr>
              <w:jc w:val="center"/>
              <w:rPr>
                <w:rFonts w:hint="eastAsia" w:ascii="宋体" w:hAnsi="宋体" w:eastAsia="宋体" w:cs="宋体"/>
                <w:i w:val="0"/>
                <w:iCs w:val="0"/>
                <w:color w:val="auto"/>
                <w:sz w:val="18"/>
                <w:szCs w:val="18"/>
                <w:highlight w:val="none"/>
                <w:u w:val="none"/>
              </w:rPr>
            </w:pPr>
          </w:p>
        </w:tc>
      </w:tr>
      <w:tr w14:paraId="11BB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78091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C4D5C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中央空调5匹风管机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A23193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30571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0F1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5A21057">
            <w:pPr>
              <w:jc w:val="center"/>
              <w:rPr>
                <w:rFonts w:hint="eastAsia" w:ascii="宋体" w:hAnsi="宋体" w:eastAsia="宋体" w:cs="宋体"/>
                <w:i w:val="0"/>
                <w:iCs w:val="0"/>
                <w:color w:val="auto"/>
                <w:sz w:val="18"/>
                <w:szCs w:val="18"/>
                <w:highlight w:val="none"/>
                <w:u w:val="none"/>
              </w:rPr>
            </w:pPr>
          </w:p>
        </w:tc>
      </w:tr>
      <w:tr w14:paraId="110F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35" w:type="dxa"/>
            <w:gridSpan w:val="3"/>
            <w:tcBorders>
              <w:top w:val="single" w:color="000000" w:sz="4" w:space="0"/>
              <w:left w:val="single" w:color="000000" w:sz="4" w:space="0"/>
              <w:bottom w:val="single" w:color="000000" w:sz="4" w:space="0"/>
              <w:right w:val="single" w:color="000000" w:sz="4" w:space="0"/>
            </w:tcBorders>
            <w:noWrap/>
            <w:vAlign w:val="center"/>
          </w:tcPr>
          <w:p w14:paraId="079BCB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接待室52㎡；贵宾接待室41㎡空调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2412DC9">
            <w:pPr>
              <w:jc w:val="center"/>
              <w:rPr>
                <w:rFonts w:hint="eastAsia" w:ascii="宋体" w:hAnsi="宋体" w:eastAsia="宋体" w:cs="宋体"/>
                <w:i w:val="0"/>
                <w:iCs w:val="0"/>
                <w:color w:val="auto"/>
                <w:sz w:val="18"/>
                <w:szCs w:val="18"/>
                <w:highlight w:val="none"/>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7EC828">
            <w:pPr>
              <w:jc w:val="center"/>
              <w:rPr>
                <w:rFonts w:hint="eastAsia" w:ascii="宋体" w:hAnsi="宋体" w:eastAsia="宋体" w:cs="宋体"/>
                <w:i w:val="0"/>
                <w:iCs w:val="0"/>
                <w:color w:val="auto"/>
                <w:kern w:val="2"/>
                <w:sz w:val="18"/>
                <w:szCs w:val="18"/>
                <w:highlight w:val="none"/>
                <w:u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94ECBCC">
            <w:pPr>
              <w:jc w:val="center"/>
              <w:rPr>
                <w:rFonts w:hint="eastAsia" w:ascii="宋体" w:hAnsi="宋体" w:eastAsia="宋体" w:cs="宋体"/>
                <w:i w:val="0"/>
                <w:iCs w:val="0"/>
                <w:color w:val="auto"/>
                <w:sz w:val="18"/>
                <w:szCs w:val="18"/>
                <w:highlight w:val="none"/>
                <w:u w:val="none"/>
              </w:rPr>
            </w:pPr>
          </w:p>
        </w:tc>
      </w:tr>
      <w:tr w14:paraId="0E26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4CA24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1BB0A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中央空调5匹风管机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8462BD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260C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78F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F247D6">
            <w:pPr>
              <w:jc w:val="center"/>
              <w:rPr>
                <w:rFonts w:hint="eastAsia" w:ascii="宋体" w:hAnsi="宋体" w:eastAsia="宋体" w:cs="宋体"/>
                <w:i w:val="0"/>
                <w:iCs w:val="0"/>
                <w:color w:val="auto"/>
                <w:sz w:val="18"/>
                <w:szCs w:val="18"/>
                <w:highlight w:val="none"/>
                <w:u w:val="none"/>
              </w:rPr>
            </w:pPr>
          </w:p>
        </w:tc>
      </w:tr>
      <w:tr w14:paraId="33F7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37EDA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5F68D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中央空调6匹风管机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114EAF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AEBF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CDC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5C5B95">
            <w:pPr>
              <w:jc w:val="center"/>
              <w:rPr>
                <w:rFonts w:hint="eastAsia" w:ascii="宋体" w:hAnsi="宋体" w:eastAsia="宋体" w:cs="宋体"/>
                <w:i w:val="0"/>
                <w:iCs w:val="0"/>
                <w:color w:val="auto"/>
                <w:sz w:val="18"/>
                <w:szCs w:val="18"/>
                <w:highlight w:val="none"/>
                <w:u w:val="none"/>
              </w:rPr>
            </w:pPr>
          </w:p>
        </w:tc>
      </w:tr>
    </w:tbl>
    <w:p w14:paraId="6BF5ACE7">
      <w:pPr>
        <w:pStyle w:val="27"/>
        <w:spacing w:beforeLines="100" w:afterLines="100" w:line="600" w:lineRule="exact"/>
        <w:jc w:val="center"/>
        <w:outlineLvl w:val="0"/>
        <w:rPr>
          <w:rStyle w:val="66"/>
          <w:rFonts w:hint="eastAsia"/>
          <w:color w:val="auto"/>
          <w:highlight w:val="none"/>
        </w:rPr>
        <w:sectPr>
          <w:pgSz w:w="16840" w:h="11907" w:orient="landscape"/>
          <w:pgMar w:top="1417" w:right="1417" w:bottom="1417" w:left="1417" w:header="777" w:footer="641" w:gutter="0"/>
          <w:cols w:space="720" w:num="1"/>
          <w:docGrid w:type="linesAndChars" w:linePitch="312" w:charSpace="0"/>
        </w:sectPr>
      </w:pPr>
    </w:p>
    <w:bookmarkEnd w:id="848"/>
    <w:bookmarkEnd w:id="1004"/>
    <w:bookmarkEnd w:id="1005"/>
    <w:bookmarkEnd w:id="1006"/>
    <w:bookmarkEnd w:id="1007"/>
    <w:p w14:paraId="2606B75A">
      <w:pPr>
        <w:spacing w:line="360" w:lineRule="auto"/>
        <w:jc w:val="center"/>
        <w:outlineLvl w:val="0"/>
        <w:rPr>
          <w:rStyle w:val="66"/>
          <w:color w:val="auto"/>
          <w:highlight w:val="none"/>
        </w:rPr>
      </w:pPr>
      <w:bookmarkStart w:id="1009" w:name="_Toc21344"/>
      <w:bookmarkStart w:id="1010" w:name="_Toc26770"/>
      <w:r>
        <w:rPr>
          <w:rStyle w:val="66"/>
          <w:rFonts w:hint="eastAsia"/>
          <w:color w:val="auto"/>
          <w:highlight w:val="none"/>
        </w:rPr>
        <w:t>第六章 磋商响应文件格式</w:t>
      </w:r>
      <w:bookmarkEnd w:id="1009"/>
      <w:bookmarkEnd w:id="1010"/>
    </w:p>
    <w:p w14:paraId="785C98F1">
      <w:pPr>
        <w:jc w:val="center"/>
        <w:rPr>
          <w:b/>
          <w:color w:val="auto"/>
          <w:sz w:val="52"/>
          <w:szCs w:val="52"/>
          <w:highlight w:val="none"/>
        </w:rPr>
      </w:pPr>
    </w:p>
    <w:p w14:paraId="517E8F09">
      <w:pPr>
        <w:jc w:val="center"/>
        <w:rPr>
          <w:rFonts w:hint="eastAsia" w:eastAsia="宋体"/>
          <w:b/>
          <w:bCs/>
          <w:color w:val="auto"/>
          <w:sz w:val="44"/>
          <w:szCs w:val="44"/>
          <w:highlight w:val="none"/>
          <w:u w:val="single"/>
          <w:lang w:eastAsia="zh-CN"/>
        </w:rPr>
      </w:pPr>
      <w:r>
        <w:rPr>
          <w:rFonts w:hint="eastAsia"/>
          <w:b/>
          <w:color w:val="auto"/>
          <w:sz w:val="44"/>
          <w:szCs w:val="44"/>
          <w:highlight w:val="none"/>
          <w:lang w:eastAsia="zh-CN"/>
        </w:rPr>
        <w:t>中原工学院龙湖校区会议中心建设及配套设备采购项目</w:t>
      </w:r>
    </w:p>
    <w:p w14:paraId="07D999B4">
      <w:pPr>
        <w:pStyle w:val="27"/>
        <w:spacing w:beforeLines="100" w:afterLines="100" w:line="600" w:lineRule="exact"/>
        <w:jc w:val="center"/>
        <w:rPr>
          <w:b/>
          <w:bCs/>
          <w:color w:val="auto"/>
          <w:sz w:val="32"/>
          <w:highlight w:val="none"/>
        </w:rPr>
      </w:pPr>
    </w:p>
    <w:p w14:paraId="725D46B8">
      <w:pPr>
        <w:pStyle w:val="27"/>
        <w:spacing w:beforeLines="100" w:afterLines="100"/>
        <w:jc w:val="center"/>
        <w:rPr>
          <w:b/>
          <w:bCs/>
          <w:color w:val="auto"/>
          <w:sz w:val="48"/>
          <w:szCs w:val="48"/>
          <w:highlight w:val="none"/>
        </w:rPr>
      </w:pPr>
      <w:r>
        <w:rPr>
          <w:rFonts w:hint="eastAsia"/>
          <w:b/>
          <w:bCs/>
          <w:color w:val="auto"/>
          <w:sz w:val="48"/>
          <w:szCs w:val="48"/>
          <w:highlight w:val="none"/>
        </w:rPr>
        <w:t>竞争性磋商响应文件</w:t>
      </w:r>
    </w:p>
    <w:p w14:paraId="61A9F201">
      <w:pPr>
        <w:pStyle w:val="27"/>
        <w:spacing w:beforeLines="100" w:afterLines="100" w:line="600" w:lineRule="exact"/>
        <w:jc w:val="center"/>
        <w:rPr>
          <w:b/>
          <w:bCs/>
          <w:color w:val="auto"/>
          <w:sz w:val="30"/>
          <w:szCs w:val="30"/>
          <w:highlight w:val="none"/>
        </w:rPr>
      </w:pPr>
    </w:p>
    <w:p w14:paraId="05B156F1">
      <w:pPr>
        <w:pStyle w:val="27"/>
        <w:spacing w:beforeLines="100" w:afterLines="100" w:line="600" w:lineRule="exact"/>
        <w:jc w:val="center"/>
        <w:rPr>
          <w:b/>
          <w:bCs/>
          <w:color w:val="auto"/>
          <w:sz w:val="30"/>
          <w:szCs w:val="30"/>
          <w:highlight w:val="none"/>
        </w:rPr>
      </w:pPr>
      <w:r>
        <w:rPr>
          <w:rFonts w:hint="eastAsia"/>
          <w:b/>
          <w:bCs/>
          <w:color w:val="auto"/>
          <w:sz w:val="30"/>
          <w:szCs w:val="30"/>
          <w:highlight w:val="none"/>
        </w:rPr>
        <w:t>采购编号：</w:t>
      </w:r>
    </w:p>
    <w:p w14:paraId="6FB60536">
      <w:pPr>
        <w:pStyle w:val="27"/>
        <w:spacing w:beforeLines="100" w:afterLines="100" w:line="600" w:lineRule="exact"/>
        <w:jc w:val="center"/>
        <w:rPr>
          <w:b/>
          <w:bCs/>
          <w:color w:val="auto"/>
          <w:sz w:val="32"/>
          <w:highlight w:val="none"/>
          <w:u w:val="single"/>
        </w:rPr>
      </w:pPr>
    </w:p>
    <w:p w14:paraId="2864149E">
      <w:pPr>
        <w:pStyle w:val="27"/>
        <w:spacing w:beforeLines="100" w:afterLines="100" w:line="600" w:lineRule="exact"/>
        <w:ind w:firstLine="627" w:firstLineChars="196"/>
        <w:rPr>
          <w:b/>
          <w:bCs/>
          <w:color w:val="auto"/>
          <w:sz w:val="32"/>
          <w:highlight w:val="none"/>
          <w:u w:val="single"/>
        </w:rPr>
      </w:pPr>
      <w:r>
        <w:rPr>
          <w:rFonts w:hint="eastAsia"/>
          <w:b/>
          <w:bCs/>
          <w:color w:val="auto"/>
          <w:sz w:val="32"/>
          <w:highlight w:val="none"/>
        </w:rPr>
        <w:t>供  应  商：（电子签章）</w:t>
      </w:r>
    </w:p>
    <w:p w14:paraId="48B557EE">
      <w:pPr>
        <w:pStyle w:val="27"/>
        <w:spacing w:beforeLines="100" w:afterLines="100" w:line="600" w:lineRule="exact"/>
        <w:ind w:firstLine="594" w:firstLineChars="198"/>
        <w:rPr>
          <w:b/>
          <w:bCs/>
          <w:color w:val="auto"/>
          <w:sz w:val="30"/>
          <w:szCs w:val="30"/>
          <w:highlight w:val="none"/>
        </w:rPr>
      </w:pPr>
      <w:r>
        <w:rPr>
          <w:rFonts w:hint="eastAsia"/>
          <w:b/>
          <w:bCs/>
          <w:color w:val="auto"/>
          <w:sz w:val="30"/>
          <w:szCs w:val="30"/>
          <w:highlight w:val="none"/>
        </w:rPr>
        <w:t>法定代表人或其委托代理人：（签字或电子签章）</w:t>
      </w:r>
    </w:p>
    <w:p w14:paraId="70C1A0EA">
      <w:pPr>
        <w:pStyle w:val="22"/>
        <w:spacing w:line="500" w:lineRule="exact"/>
        <w:ind w:left="0" w:leftChars="0" w:firstLine="2121" w:firstLineChars="707"/>
        <w:rPr>
          <w:b/>
          <w:bCs/>
          <w:color w:val="auto"/>
          <w:sz w:val="30"/>
          <w:szCs w:val="30"/>
          <w:highlight w:val="none"/>
        </w:rPr>
      </w:pPr>
      <w:r>
        <w:rPr>
          <w:rFonts w:hint="eastAsia"/>
          <w:b/>
          <w:bCs/>
          <w:color w:val="auto"/>
          <w:sz w:val="30"/>
          <w:szCs w:val="30"/>
          <w:highlight w:val="none"/>
        </w:rPr>
        <w:t>日      期：       年    月    日</w:t>
      </w:r>
    </w:p>
    <w:p w14:paraId="0CC8DD37">
      <w:pPr>
        <w:pStyle w:val="22"/>
        <w:spacing w:line="500" w:lineRule="exact"/>
        <w:ind w:left="0" w:leftChars="0" w:firstLine="2121" w:firstLineChars="707"/>
        <w:rPr>
          <w:b/>
          <w:bCs/>
          <w:color w:val="auto"/>
          <w:sz w:val="30"/>
          <w:szCs w:val="30"/>
          <w:highlight w:val="none"/>
        </w:rPr>
      </w:pPr>
    </w:p>
    <w:p w14:paraId="1AA2C891">
      <w:pPr>
        <w:pStyle w:val="22"/>
        <w:spacing w:line="500" w:lineRule="exact"/>
        <w:ind w:left="0" w:leftChars="0" w:firstLine="1979" w:firstLineChars="707"/>
        <w:rPr>
          <w:bCs/>
          <w:color w:val="auto"/>
          <w:sz w:val="28"/>
          <w:szCs w:val="28"/>
          <w:highlight w:val="none"/>
        </w:rPr>
      </w:pPr>
    </w:p>
    <w:p w14:paraId="1ABB30EA">
      <w:pPr>
        <w:jc w:val="center"/>
        <w:rPr>
          <w:b/>
          <w:color w:val="auto"/>
          <w:sz w:val="28"/>
          <w:szCs w:val="28"/>
          <w:highlight w:val="none"/>
        </w:rPr>
      </w:pPr>
      <w:r>
        <w:rPr>
          <w:bCs/>
          <w:color w:val="auto"/>
          <w:sz w:val="28"/>
          <w:szCs w:val="28"/>
          <w:highlight w:val="none"/>
        </w:rPr>
        <w:br w:type="page"/>
      </w:r>
      <w:bookmarkStart w:id="1011" w:name="_Toc2421"/>
      <w:r>
        <w:rPr>
          <w:rFonts w:hint="eastAsia"/>
          <w:b/>
          <w:color w:val="auto"/>
          <w:sz w:val="28"/>
          <w:szCs w:val="28"/>
          <w:highlight w:val="none"/>
        </w:rPr>
        <w:t>响应文件目录</w:t>
      </w:r>
    </w:p>
    <w:p w14:paraId="246C9200">
      <w:pPr>
        <w:wordWrap/>
        <w:topLinePunct w:val="0"/>
        <w:autoSpaceDE w:val="0"/>
        <w:autoSpaceDN w:val="0"/>
        <w:adjustRightInd w:val="0"/>
        <w:spacing w:line="360" w:lineRule="auto"/>
        <w:ind w:left="420" w:leftChars="200" w:right="40"/>
        <w:jc w:val="left"/>
        <w:rPr>
          <w:rFonts w:cs="微软雅黑"/>
          <w:color w:val="auto"/>
          <w:kern w:val="0"/>
          <w:highlight w:val="none"/>
        </w:rPr>
      </w:pPr>
    </w:p>
    <w:p w14:paraId="6D456552">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一、报价函及报价函附录</w:t>
      </w:r>
    </w:p>
    <w:p w14:paraId="2C80EF16">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二、法定代表人身份证明或授权委托书</w:t>
      </w:r>
    </w:p>
    <w:p w14:paraId="1923A45F">
      <w:pPr>
        <w:wordWrap/>
        <w:topLinePunct w:val="0"/>
        <w:autoSpaceDE w:val="0"/>
        <w:autoSpaceDN w:val="0"/>
        <w:adjustRightInd w:val="0"/>
        <w:spacing w:line="360" w:lineRule="auto"/>
        <w:ind w:left="420" w:right="40"/>
        <w:jc w:val="left"/>
        <w:rPr>
          <w:color w:val="auto"/>
          <w:kern w:val="0"/>
          <w:highlight w:val="none"/>
        </w:rPr>
      </w:pPr>
      <w:r>
        <w:rPr>
          <w:rFonts w:hint="eastAsia"/>
          <w:color w:val="auto"/>
          <w:kern w:val="0"/>
          <w:highlight w:val="none"/>
        </w:rPr>
        <w:t>三、响应承诺函</w:t>
      </w:r>
    </w:p>
    <w:p w14:paraId="4B931734">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olor w:val="auto"/>
          <w:kern w:val="0"/>
          <w:highlight w:val="none"/>
        </w:rPr>
        <w:t>四</w:t>
      </w:r>
      <w:r>
        <w:rPr>
          <w:rFonts w:hint="eastAsia" w:cs="微软雅黑"/>
          <w:color w:val="auto"/>
          <w:kern w:val="0"/>
          <w:highlight w:val="none"/>
        </w:rPr>
        <w:t>、供应商资格证明文件</w:t>
      </w:r>
    </w:p>
    <w:p w14:paraId="67E50800">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五、技术部分</w:t>
      </w:r>
    </w:p>
    <w:p w14:paraId="7CFA4B08">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六、商务部分</w:t>
      </w:r>
    </w:p>
    <w:p w14:paraId="4B4AA5DE">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七、反商业贿赂承诺书</w:t>
      </w:r>
    </w:p>
    <w:p w14:paraId="0D3A46C9">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八、中小企业声明函</w:t>
      </w:r>
    </w:p>
    <w:p w14:paraId="261BD017">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九、残疾人福利性单位声明函</w:t>
      </w:r>
    </w:p>
    <w:p w14:paraId="683B5F7D">
      <w:pPr>
        <w:wordWrap/>
        <w:topLinePunct w:val="0"/>
        <w:autoSpaceDE w:val="0"/>
        <w:autoSpaceDN w:val="0"/>
        <w:adjustRightInd w:val="0"/>
        <w:spacing w:line="360" w:lineRule="auto"/>
        <w:ind w:left="420" w:right="40"/>
        <w:jc w:val="left"/>
        <w:rPr>
          <w:color w:val="auto"/>
          <w:highlight w:val="none"/>
        </w:rPr>
      </w:pPr>
      <w:r>
        <w:rPr>
          <w:rFonts w:hint="eastAsia"/>
          <w:color w:val="auto"/>
          <w:highlight w:val="none"/>
        </w:rPr>
        <w:t>十、监狱企业证明文件</w:t>
      </w:r>
    </w:p>
    <w:p w14:paraId="04D99F18">
      <w:pPr>
        <w:wordWrap/>
        <w:topLinePunct w:val="0"/>
        <w:autoSpaceDE w:val="0"/>
        <w:autoSpaceDN w:val="0"/>
        <w:adjustRightInd w:val="0"/>
        <w:spacing w:line="360" w:lineRule="auto"/>
        <w:ind w:left="420" w:right="40"/>
        <w:jc w:val="left"/>
        <w:rPr>
          <w:rFonts w:cs="微软雅黑"/>
          <w:color w:val="auto"/>
          <w:kern w:val="0"/>
          <w:highlight w:val="none"/>
        </w:rPr>
      </w:pPr>
      <w:r>
        <w:rPr>
          <w:rFonts w:hint="eastAsia" w:cs="微软雅黑"/>
          <w:color w:val="auto"/>
          <w:kern w:val="0"/>
          <w:highlight w:val="none"/>
        </w:rPr>
        <w:t>十一、其他资料</w:t>
      </w:r>
    </w:p>
    <w:p w14:paraId="0B217495">
      <w:pPr>
        <w:pStyle w:val="3"/>
        <w:tabs>
          <w:tab w:val="left" w:pos="840"/>
        </w:tabs>
        <w:spacing w:line="360" w:lineRule="auto"/>
        <w:jc w:val="center"/>
        <w:rPr>
          <w:b w:val="0"/>
          <w:color w:val="auto"/>
          <w:sz w:val="28"/>
          <w:szCs w:val="28"/>
          <w:highlight w:val="none"/>
        </w:rPr>
      </w:pPr>
      <w:r>
        <w:rPr>
          <w:bCs w:val="0"/>
          <w:color w:val="auto"/>
          <w:sz w:val="28"/>
          <w:szCs w:val="28"/>
          <w:highlight w:val="none"/>
        </w:rPr>
        <w:br w:type="page"/>
      </w:r>
      <w:bookmarkStart w:id="1012" w:name="_Toc65662075"/>
      <w:bookmarkStart w:id="1013" w:name="_Toc25122"/>
      <w:bookmarkStart w:id="1014" w:name="_Toc20146"/>
      <w:bookmarkStart w:id="1015" w:name="_Toc76134515"/>
      <w:bookmarkStart w:id="1016" w:name="_Toc23534"/>
      <w:bookmarkStart w:id="1017" w:name="_Toc275"/>
      <w:r>
        <w:rPr>
          <w:rFonts w:hint="eastAsia"/>
          <w:bCs w:val="0"/>
          <w:color w:val="auto"/>
          <w:sz w:val="28"/>
          <w:szCs w:val="28"/>
          <w:highlight w:val="none"/>
        </w:rPr>
        <w:t>一、</w:t>
      </w:r>
      <w:r>
        <w:rPr>
          <w:rFonts w:hint="eastAsia" w:cs="Times New Roman"/>
          <w:bCs w:val="0"/>
          <w:color w:val="auto"/>
          <w:szCs w:val="24"/>
          <w:highlight w:val="none"/>
          <w:lang w:val="zh-CN"/>
        </w:rPr>
        <w:t>报价函</w:t>
      </w:r>
      <w:bookmarkEnd w:id="1011"/>
      <w:r>
        <w:rPr>
          <w:rFonts w:hint="eastAsia" w:cs="Times New Roman"/>
          <w:bCs w:val="0"/>
          <w:color w:val="auto"/>
          <w:szCs w:val="24"/>
          <w:highlight w:val="none"/>
          <w:lang w:val="zh-CN"/>
        </w:rPr>
        <w:t>及报价函附录</w:t>
      </w:r>
      <w:bookmarkEnd w:id="1012"/>
      <w:bookmarkEnd w:id="1013"/>
      <w:bookmarkEnd w:id="1014"/>
      <w:bookmarkEnd w:id="1015"/>
      <w:bookmarkEnd w:id="1016"/>
      <w:bookmarkEnd w:id="1017"/>
    </w:p>
    <w:p w14:paraId="1AA0533B">
      <w:pPr>
        <w:pStyle w:val="4"/>
        <w:jc w:val="center"/>
        <w:rPr>
          <w:color w:val="auto"/>
          <w:sz w:val="24"/>
          <w:szCs w:val="24"/>
          <w:highlight w:val="none"/>
        </w:rPr>
      </w:pPr>
      <w:bookmarkStart w:id="1018" w:name="_Toc65662076"/>
      <w:bookmarkStart w:id="1019" w:name="_Toc29054"/>
      <w:bookmarkStart w:id="1020" w:name="_Toc2426"/>
      <w:bookmarkStart w:id="1021" w:name="_Toc4975"/>
      <w:bookmarkStart w:id="1022" w:name="_Toc76134516"/>
      <w:r>
        <w:rPr>
          <w:rFonts w:hint="eastAsia"/>
          <w:color w:val="auto"/>
          <w:sz w:val="24"/>
          <w:szCs w:val="24"/>
          <w:highlight w:val="none"/>
          <w:lang w:val="zh-CN"/>
        </w:rPr>
        <w:t>（一）报价函</w:t>
      </w:r>
      <w:bookmarkEnd w:id="1018"/>
      <w:bookmarkEnd w:id="1019"/>
      <w:bookmarkEnd w:id="1020"/>
      <w:bookmarkEnd w:id="1021"/>
      <w:bookmarkEnd w:id="1022"/>
    </w:p>
    <w:p w14:paraId="05D771CA">
      <w:pPr>
        <w:spacing w:line="440" w:lineRule="exact"/>
        <w:rPr>
          <w:color w:val="auto"/>
          <w:highlight w:val="none"/>
        </w:rPr>
      </w:pPr>
      <w:r>
        <w:rPr>
          <w:rFonts w:hint="eastAsia"/>
          <w:color w:val="auto"/>
          <w:highlight w:val="none"/>
        </w:rPr>
        <w:t>致：（</w:t>
      </w:r>
      <w:r>
        <w:rPr>
          <w:rFonts w:hint="eastAsia"/>
          <w:color w:val="auto"/>
          <w:highlight w:val="none"/>
          <w:u w:val="single"/>
        </w:rPr>
        <w:t>采购人或采购代理机构名称</w:t>
      </w:r>
      <w:r>
        <w:rPr>
          <w:rFonts w:hint="eastAsia"/>
          <w:color w:val="auto"/>
          <w:highlight w:val="none"/>
        </w:rPr>
        <w:t>）</w:t>
      </w:r>
    </w:p>
    <w:p w14:paraId="6117C322">
      <w:pPr>
        <w:pStyle w:val="23"/>
        <w:numPr>
          <w:ilvl w:val="0"/>
          <w:numId w:val="20"/>
        </w:numPr>
        <w:tabs>
          <w:tab w:val="left" w:pos="0"/>
          <w:tab w:val="left" w:pos="630"/>
          <w:tab w:val="clear" w:pos="420"/>
        </w:tabs>
        <w:spacing w:after="0" w:line="440" w:lineRule="exact"/>
        <w:ind w:left="0" w:firstLine="315" w:firstLineChars="150"/>
        <w:rPr>
          <w:color w:val="auto"/>
          <w:sz w:val="21"/>
          <w:highlight w:val="none"/>
        </w:rPr>
      </w:pPr>
      <w:r>
        <w:rPr>
          <w:rFonts w:hint="eastAsia"/>
          <w:color w:val="auto"/>
          <w:sz w:val="21"/>
          <w:highlight w:val="none"/>
        </w:rPr>
        <w:t>我方已仔细研究了</w:t>
      </w:r>
      <w:r>
        <w:rPr>
          <w:rFonts w:hint="eastAsia"/>
          <w:color w:val="auto"/>
          <w:sz w:val="21"/>
          <w:highlight w:val="none"/>
          <w:u w:val="single"/>
        </w:rPr>
        <w:tab/>
      </w:r>
      <w:r>
        <w:rPr>
          <w:rFonts w:hint="eastAsia"/>
          <w:color w:val="auto"/>
          <w:sz w:val="21"/>
          <w:highlight w:val="none"/>
        </w:rPr>
        <w:t xml:space="preserve">（项目名称）采购项目竞争性磋商文件的全部内容，愿意以人民币 </w:t>
      </w:r>
      <w:r>
        <w:rPr>
          <w:rFonts w:hint="eastAsia"/>
          <w:color w:val="auto"/>
          <w:sz w:val="21"/>
          <w:highlight w:val="none"/>
          <w:u w:val="single"/>
        </w:rPr>
        <w:t xml:space="preserve">  （</w:t>
      </w:r>
      <w:r>
        <w:rPr>
          <w:rFonts w:hint="eastAsia"/>
          <w:color w:val="auto"/>
          <w:sz w:val="21"/>
          <w:highlight w:val="none"/>
        </w:rPr>
        <w:t>大写）（¥</w:t>
      </w:r>
      <w:r>
        <w:rPr>
          <w:rFonts w:hint="eastAsia"/>
          <w:color w:val="auto"/>
          <w:sz w:val="21"/>
          <w:highlight w:val="none"/>
          <w:u w:val="single"/>
        </w:rPr>
        <w:tab/>
      </w:r>
      <w:r>
        <w:rPr>
          <w:rFonts w:hint="eastAsia"/>
          <w:color w:val="auto"/>
          <w:sz w:val="21"/>
          <w:highlight w:val="none"/>
        </w:rPr>
        <w:t>）的磋商报价，交货及安装期</w:t>
      </w:r>
      <w:r>
        <w:rPr>
          <w:rFonts w:hint="eastAsia"/>
          <w:color w:val="auto"/>
          <w:sz w:val="21"/>
          <w:highlight w:val="none"/>
          <w:u w:val="single"/>
        </w:rPr>
        <w:t xml:space="preserve">   </w:t>
      </w:r>
      <w:r>
        <w:rPr>
          <w:rFonts w:hint="eastAsia"/>
          <w:color w:val="auto"/>
          <w:sz w:val="21"/>
          <w:highlight w:val="none"/>
        </w:rPr>
        <w:t>日历天，按合同约定完成全部工作。</w:t>
      </w:r>
    </w:p>
    <w:p w14:paraId="3EE6BE36">
      <w:pPr>
        <w:pStyle w:val="23"/>
        <w:numPr>
          <w:ilvl w:val="0"/>
          <w:numId w:val="20"/>
        </w:numPr>
        <w:tabs>
          <w:tab w:val="left" w:pos="0"/>
          <w:tab w:val="left" w:pos="630"/>
          <w:tab w:val="clear" w:pos="420"/>
        </w:tabs>
        <w:spacing w:after="0" w:line="440" w:lineRule="exact"/>
        <w:ind w:left="0" w:firstLine="315" w:firstLineChars="150"/>
        <w:rPr>
          <w:color w:val="auto"/>
          <w:sz w:val="21"/>
          <w:highlight w:val="none"/>
        </w:rPr>
      </w:pPr>
      <w:r>
        <w:rPr>
          <w:rFonts w:hint="eastAsia"/>
          <w:color w:val="auto"/>
          <w:sz w:val="21"/>
          <w:highlight w:val="none"/>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14:paraId="7377D748">
      <w:pPr>
        <w:pStyle w:val="23"/>
        <w:numPr>
          <w:ilvl w:val="0"/>
          <w:numId w:val="20"/>
        </w:numPr>
        <w:tabs>
          <w:tab w:val="left" w:pos="640"/>
          <w:tab w:val="clear" w:pos="420"/>
        </w:tabs>
        <w:spacing w:after="0" w:line="440" w:lineRule="exact"/>
        <w:ind w:left="0" w:firstLine="315" w:firstLineChars="150"/>
        <w:rPr>
          <w:color w:val="auto"/>
          <w:sz w:val="21"/>
          <w:highlight w:val="none"/>
        </w:rPr>
      </w:pPr>
      <w:r>
        <w:rPr>
          <w:rFonts w:hint="eastAsia"/>
          <w:color w:val="auto"/>
          <w:sz w:val="21"/>
          <w:highlight w:val="none"/>
        </w:rPr>
        <w:t>我方已详细审查全部竞争性磋商文件，包括修改文件以及全部参考资料和有关附件。我们完全理解并同意放弃对这方面有不明及误解的权力。</w:t>
      </w:r>
    </w:p>
    <w:p w14:paraId="0DC17069">
      <w:pPr>
        <w:pStyle w:val="23"/>
        <w:numPr>
          <w:ilvl w:val="0"/>
          <w:numId w:val="20"/>
        </w:numPr>
        <w:tabs>
          <w:tab w:val="left" w:pos="640"/>
          <w:tab w:val="clear" w:pos="420"/>
        </w:tabs>
        <w:spacing w:after="0" w:line="440" w:lineRule="exact"/>
        <w:ind w:left="0" w:firstLine="315" w:firstLineChars="150"/>
        <w:rPr>
          <w:color w:val="auto"/>
          <w:sz w:val="21"/>
          <w:highlight w:val="none"/>
        </w:rPr>
      </w:pPr>
      <w:r>
        <w:rPr>
          <w:rFonts w:hint="eastAsia"/>
          <w:color w:val="auto"/>
          <w:sz w:val="21"/>
          <w:highlight w:val="none"/>
        </w:rPr>
        <w:t>磋商有效期为提交首次响应文件的截止之日起</w:t>
      </w:r>
      <w:r>
        <w:rPr>
          <w:rFonts w:hint="eastAsia"/>
          <w:color w:val="auto"/>
          <w:sz w:val="21"/>
          <w:highlight w:val="none"/>
          <w:u w:val="single"/>
        </w:rPr>
        <w:t xml:space="preserve">  60  </w:t>
      </w:r>
      <w:r>
        <w:rPr>
          <w:rFonts w:hint="eastAsia"/>
          <w:color w:val="auto"/>
          <w:sz w:val="21"/>
          <w:highlight w:val="none"/>
        </w:rPr>
        <w:t>日历天。</w:t>
      </w:r>
    </w:p>
    <w:p w14:paraId="140595A4">
      <w:pPr>
        <w:pStyle w:val="23"/>
        <w:numPr>
          <w:ilvl w:val="0"/>
          <w:numId w:val="20"/>
        </w:numPr>
        <w:tabs>
          <w:tab w:val="left" w:pos="640"/>
          <w:tab w:val="clear" w:pos="420"/>
        </w:tabs>
        <w:spacing w:after="0" w:line="440" w:lineRule="exact"/>
        <w:ind w:left="0" w:firstLine="360"/>
        <w:rPr>
          <w:color w:val="auto"/>
          <w:sz w:val="21"/>
          <w:highlight w:val="none"/>
        </w:rPr>
      </w:pPr>
      <w:r>
        <w:rPr>
          <w:rFonts w:hint="eastAsia"/>
          <w:color w:val="auto"/>
          <w:sz w:val="21"/>
          <w:highlight w:val="none"/>
        </w:rPr>
        <w:t>如果在规定的开启时间后，我方在磋商有效期内撤回响应文件，将承担相应责任。</w:t>
      </w:r>
    </w:p>
    <w:p w14:paraId="35CF818E">
      <w:pPr>
        <w:pStyle w:val="23"/>
        <w:numPr>
          <w:ilvl w:val="0"/>
          <w:numId w:val="20"/>
        </w:numPr>
        <w:tabs>
          <w:tab w:val="left" w:pos="640"/>
          <w:tab w:val="clear" w:pos="420"/>
        </w:tabs>
        <w:spacing w:after="0" w:line="440" w:lineRule="exact"/>
        <w:ind w:left="0" w:firstLine="360"/>
        <w:rPr>
          <w:color w:val="auto"/>
          <w:sz w:val="21"/>
          <w:highlight w:val="none"/>
        </w:rPr>
      </w:pPr>
      <w:r>
        <w:rPr>
          <w:rFonts w:hint="eastAsia"/>
          <w:color w:val="auto"/>
          <w:sz w:val="21"/>
          <w:highlight w:val="none"/>
        </w:rPr>
        <w:t>我方在此声明，所递交的响应文件及有关资料内容完整、真实和准确，且不存在第二章“供应商须知”第 1.4.3 项规定的任何一种情形。</w:t>
      </w:r>
    </w:p>
    <w:p w14:paraId="1025B023">
      <w:pPr>
        <w:pStyle w:val="23"/>
        <w:numPr>
          <w:ilvl w:val="0"/>
          <w:numId w:val="20"/>
        </w:numPr>
        <w:tabs>
          <w:tab w:val="left" w:pos="640"/>
          <w:tab w:val="clear" w:pos="420"/>
        </w:tabs>
        <w:spacing w:after="0" w:line="440" w:lineRule="exact"/>
        <w:ind w:left="0" w:firstLine="360"/>
        <w:rPr>
          <w:color w:val="auto"/>
          <w:sz w:val="21"/>
          <w:highlight w:val="none"/>
        </w:rPr>
      </w:pPr>
      <w:r>
        <w:rPr>
          <w:rFonts w:hint="eastAsia"/>
          <w:color w:val="auto"/>
          <w:sz w:val="21"/>
          <w:highlight w:val="none"/>
        </w:rPr>
        <w:t>我方同意提供按照贵方可能要求的与其磋商有关的一切数据或资料，完全理解贵方不一定接受最低价的响应。</w:t>
      </w:r>
    </w:p>
    <w:p w14:paraId="2B6ED4F2">
      <w:pPr>
        <w:spacing w:line="500" w:lineRule="exact"/>
        <w:ind w:firstLine="630" w:firstLineChars="300"/>
        <w:rPr>
          <w:color w:val="auto"/>
          <w:highlight w:val="none"/>
        </w:rPr>
      </w:pPr>
      <w:r>
        <w:rPr>
          <w:rFonts w:hint="eastAsia"/>
          <w:color w:val="auto"/>
          <w:highlight w:val="none"/>
        </w:rPr>
        <w:t xml:space="preserve">地址：　　　　　　　      </w:t>
      </w:r>
    </w:p>
    <w:p w14:paraId="6DC4EEE3">
      <w:pPr>
        <w:spacing w:line="440" w:lineRule="exact"/>
        <w:ind w:firstLine="630" w:firstLineChars="300"/>
        <w:rPr>
          <w:color w:val="auto"/>
          <w:highlight w:val="none"/>
        </w:rPr>
      </w:pPr>
      <w:r>
        <w:rPr>
          <w:rFonts w:hint="eastAsia"/>
          <w:color w:val="auto"/>
          <w:highlight w:val="none"/>
        </w:rPr>
        <w:t xml:space="preserve">邮政编码：                </w:t>
      </w:r>
    </w:p>
    <w:p w14:paraId="66F073C7">
      <w:pPr>
        <w:spacing w:line="440" w:lineRule="exact"/>
        <w:ind w:firstLine="630" w:firstLineChars="300"/>
        <w:rPr>
          <w:color w:val="auto"/>
          <w:highlight w:val="none"/>
        </w:rPr>
      </w:pPr>
      <w:r>
        <w:rPr>
          <w:rFonts w:hint="eastAsia"/>
          <w:color w:val="auto"/>
          <w:highlight w:val="none"/>
        </w:rPr>
        <w:t xml:space="preserve">电话：　　　       </w:t>
      </w:r>
    </w:p>
    <w:p w14:paraId="6F0766E7">
      <w:pPr>
        <w:rPr>
          <w:color w:val="auto"/>
          <w:highlight w:val="none"/>
        </w:rPr>
      </w:pPr>
    </w:p>
    <w:p w14:paraId="28D0430F">
      <w:pPr>
        <w:spacing w:line="500" w:lineRule="exact"/>
        <w:rPr>
          <w:color w:val="auto"/>
          <w:highlight w:val="none"/>
        </w:rPr>
      </w:pPr>
      <w:r>
        <w:rPr>
          <w:rFonts w:hint="eastAsia"/>
          <w:color w:val="auto"/>
          <w:highlight w:val="none"/>
        </w:rPr>
        <w:t xml:space="preserve">                                      供应商：（电子签章）</w:t>
      </w:r>
    </w:p>
    <w:p w14:paraId="0A0C2497">
      <w:pPr>
        <w:spacing w:line="440" w:lineRule="exact"/>
        <w:rPr>
          <w:color w:val="auto"/>
          <w:highlight w:val="none"/>
        </w:rPr>
      </w:pPr>
      <w:r>
        <w:rPr>
          <w:rFonts w:hint="eastAsia"/>
          <w:color w:val="auto"/>
          <w:highlight w:val="none"/>
        </w:rPr>
        <w:t xml:space="preserve">                                      法定代表人或其委托代理人：（签字或电子签章）</w:t>
      </w:r>
    </w:p>
    <w:p w14:paraId="4EC779A2">
      <w:pPr>
        <w:spacing w:line="440" w:lineRule="exact"/>
        <w:ind w:firstLine="3990" w:firstLineChars="1900"/>
        <w:rPr>
          <w:color w:val="auto"/>
          <w:highlight w:val="none"/>
        </w:rPr>
      </w:pPr>
      <w:r>
        <w:rPr>
          <w:rFonts w:hint="eastAsia"/>
          <w:color w:val="auto"/>
          <w:highlight w:val="none"/>
        </w:rPr>
        <w:t>日  期：    年   月    日</w:t>
      </w:r>
    </w:p>
    <w:p w14:paraId="3119B7E3">
      <w:pPr>
        <w:spacing w:afterLines="50" w:line="480" w:lineRule="exact"/>
        <w:rPr>
          <w:color w:val="auto"/>
          <w:sz w:val="28"/>
          <w:szCs w:val="28"/>
          <w:highlight w:val="none"/>
        </w:rPr>
        <w:sectPr>
          <w:footerReference r:id="rId12" w:type="default"/>
          <w:pgSz w:w="11907" w:h="16840"/>
          <w:pgMar w:top="1400" w:right="1418" w:bottom="1089" w:left="1418" w:header="624" w:footer="748" w:gutter="0"/>
          <w:cols w:space="720" w:num="1"/>
          <w:docGrid w:type="linesAndChars" w:linePitch="312" w:charSpace="0"/>
        </w:sectPr>
      </w:pPr>
    </w:p>
    <w:p w14:paraId="5217D8A0">
      <w:pPr>
        <w:pStyle w:val="4"/>
        <w:jc w:val="center"/>
        <w:rPr>
          <w:color w:val="auto"/>
          <w:sz w:val="24"/>
          <w:szCs w:val="24"/>
          <w:highlight w:val="none"/>
          <w:lang w:val="zh-CN"/>
        </w:rPr>
      </w:pPr>
      <w:bookmarkStart w:id="1023" w:name="_Toc21386"/>
      <w:bookmarkStart w:id="1024" w:name="_Toc76134517"/>
      <w:bookmarkStart w:id="1025" w:name="_Toc65662077"/>
      <w:bookmarkStart w:id="1026" w:name="_Toc27960"/>
      <w:bookmarkStart w:id="1027" w:name="_Toc3896"/>
      <w:bookmarkStart w:id="1028" w:name="_Toc17415"/>
      <w:bookmarkStart w:id="1029" w:name="_Toc32219"/>
      <w:bookmarkStart w:id="1030" w:name="_Toc21652"/>
      <w:r>
        <w:rPr>
          <w:rFonts w:hint="eastAsia"/>
          <w:color w:val="auto"/>
          <w:sz w:val="24"/>
          <w:szCs w:val="24"/>
          <w:highlight w:val="none"/>
          <w:lang w:val="zh-CN"/>
        </w:rPr>
        <w:t>（二）报价函附录（第一轮报价）</w:t>
      </w:r>
      <w:bookmarkEnd w:id="1023"/>
      <w:bookmarkEnd w:id="1024"/>
      <w:bookmarkEnd w:id="1025"/>
      <w:bookmarkEnd w:id="1026"/>
      <w:bookmarkEnd w:id="1027"/>
      <w:bookmarkEnd w:id="1028"/>
      <w:bookmarkEnd w:id="1029"/>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34A1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7B7E7038">
            <w:pPr>
              <w:widowControl/>
              <w:spacing w:line="360" w:lineRule="auto"/>
              <w:jc w:val="center"/>
              <w:rPr>
                <w:color w:val="auto"/>
                <w:highlight w:val="none"/>
              </w:rPr>
            </w:pPr>
            <w:r>
              <w:rPr>
                <w:rFonts w:hint="eastAsia"/>
                <w:color w:val="auto"/>
                <w:highlight w:val="none"/>
              </w:rPr>
              <w:t>项目名称</w:t>
            </w:r>
          </w:p>
        </w:tc>
        <w:tc>
          <w:tcPr>
            <w:tcW w:w="6015" w:type="dxa"/>
            <w:tcBorders>
              <w:top w:val="single" w:color="auto" w:sz="4" w:space="0"/>
              <w:left w:val="single" w:color="auto" w:sz="4" w:space="0"/>
              <w:bottom w:val="single" w:color="auto" w:sz="4" w:space="0"/>
              <w:right w:val="single" w:color="auto" w:sz="4" w:space="0"/>
            </w:tcBorders>
            <w:noWrap/>
            <w:vAlign w:val="center"/>
          </w:tcPr>
          <w:p w14:paraId="46864F86">
            <w:pPr>
              <w:widowControl/>
              <w:spacing w:line="360" w:lineRule="auto"/>
              <w:jc w:val="center"/>
              <w:rPr>
                <w:color w:val="auto"/>
                <w:highlight w:val="none"/>
              </w:rPr>
            </w:pPr>
          </w:p>
        </w:tc>
      </w:tr>
      <w:tr w14:paraId="695F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594BB02C">
            <w:pPr>
              <w:widowControl/>
              <w:spacing w:line="360" w:lineRule="auto"/>
              <w:jc w:val="center"/>
              <w:rPr>
                <w:color w:val="auto"/>
                <w:highlight w:val="none"/>
              </w:rPr>
            </w:pPr>
            <w:r>
              <w:rPr>
                <w:rFonts w:hint="eastAsia"/>
                <w:color w:val="auto"/>
                <w:highlight w:val="none"/>
              </w:rPr>
              <w:t>供应商</w:t>
            </w:r>
          </w:p>
        </w:tc>
        <w:tc>
          <w:tcPr>
            <w:tcW w:w="6015" w:type="dxa"/>
            <w:tcBorders>
              <w:top w:val="single" w:color="auto" w:sz="4" w:space="0"/>
              <w:left w:val="single" w:color="auto" w:sz="4" w:space="0"/>
              <w:bottom w:val="single" w:color="auto" w:sz="4" w:space="0"/>
              <w:right w:val="single" w:color="auto" w:sz="4" w:space="0"/>
            </w:tcBorders>
            <w:noWrap/>
            <w:vAlign w:val="center"/>
          </w:tcPr>
          <w:p w14:paraId="462AA133">
            <w:pPr>
              <w:widowControl/>
              <w:spacing w:line="360" w:lineRule="auto"/>
              <w:jc w:val="center"/>
              <w:rPr>
                <w:color w:val="auto"/>
                <w:highlight w:val="none"/>
              </w:rPr>
            </w:pPr>
          </w:p>
        </w:tc>
      </w:tr>
      <w:tr w14:paraId="62FA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6343151D">
            <w:pPr>
              <w:widowControl/>
              <w:spacing w:line="360" w:lineRule="auto"/>
              <w:jc w:val="center"/>
              <w:rPr>
                <w:color w:val="auto"/>
                <w:highlight w:val="none"/>
              </w:rPr>
            </w:pPr>
            <w:r>
              <w:rPr>
                <w:rFonts w:hint="eastAsia"/>
                <w:color w:val="auto"/>
                <w:highlight w:val="none"/>
              </w:rPr>
              <w:t>采购内容</w:t>
            </w:r>
          </w:p>
        </w:tc>
        <w:tc>
          <w:tcPr>
            <w:tcW w:w="6015" w:type="dxa"/>
            <w:tcBorders>
              <w:top w:val="single" w:color="auto" w:sz="4" w:space="0"/>
              <w:left w:val="single" w:color="auto" w:sz="4" w:space="0"/>
              <w:bottom w:val="single" w:color="auto" w:sz="4" w:space="0"/>
              <w:right w:val="single" w:color="auto" w:sz="4" w:space="0"/>
            </w:tcBorders>
            <w:noWrap/>
            <w:vAlign w:val="center"/>
          </w:tcPr>
          <w:p w14:paraId="213B7ADD">
            <w:pPr>
              <w:widowControl/>
              <w:spacing w:line="360" w:lineRule="auto"/>
              <w:jc w:val="center"/>
              <w:rPr>
                <w:color w:val="auto"/>
                <w:highlight w:val="none"/>
              </w:rPr>
            </w:pPr>
          </w:p>
        </w:tc>
      </w:tr>
      <w:tr w14:paraId="0BCF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336AAF6A">
            <w:pPr>
              <w:widowControl/>
              <w:spacing w:line="360" w:lineRule="auto"/>
              <w:jc w:val="center"/>
              <w:rPr>
                <w:color w:val="auto"/>
                <w:highlight w:val="none"/>
              </w:rPr>
            </w:pPr>
            <w:r>
              <w:rPr>
                <w:rFonts w:hint="eastAsia"/>
                <w:color w:val="auto"/>
                <w:highlight w:val="none"/>
              </w:rPr>
              <w:t>采购编号</w:t>
            </w:r>
          </w:p>
        </w:tc>
        <w:tc>
          <w:tcPr>
            <w:tcW w:w="6015" w:type="dxa"/>
            <w:tcBorders>
              <w:top w:val="single" w:color="auto" w:sz="4" w:space="0"/>
              <w:left w:val="single" w:color="auto" w:sz="4" w:space="0"/>
              <w:bottom w:val="single" w:color="auto" w:sz="4" w:space="0"/>
              <w:right w:val="single" w:color="auto" w:sz="4" w:space="0"/>
            </w:tcBorders>
            <w:noWrap/>
            <w:vAlign w:val="center"/>
          </w:tcPr>
          <w:p w14:paraId="6BB03065">
            <w:pPr>
              <w:widowControl/>
              <w:spacing w:line="500" w:lineRule="exact"/>
              <w:jc w:val="center"/>
              <w:rPr>
                <w:b/>
                <w:bCs/>
                <w:color w:val="auto"/>
                <w:highlight w:val="none"/>
              </w:rPr>
            </w:pPr>
          </w:p>
        </w:tc>
      </w:tr>
      <w:tr w14:paraId="34F7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389" w:type="dxa"/>
            <w:tcBorders>
              <w:top w:val="single" w:color="auto" w:sz="4" w:space="0"/>
              <w:left w:val="single" w:color="auto" w:sz="4" w:space="0"/>
              <w:right w:val="single" w:color="auto" w:sz="4" w:space="0"/>
            </w:tcBorders>
            <w:noWrap/>
            <w:vAlign w:val="center"/>
          </w:tcPr>
          <w:p w14:paraId="1CAA1724">
            <w:pPr>
              <w:widowControl/>
              <w:jc w:val="center"/>
              <w:rPr>
                <w:color w:val="auto"/>
                <w:highlight w:val="none"/>
              </w:rPr>
            </w:pPr>
            <w:r>
              <w:rPr>
                <w:rFonts w:hint="eastAsia"/>
                <w:color w:val="auto"/>
                <w:highlight w:val="none"/>
              </w:rPr>
              <w:t>磋商报价</w:t>
            </w:r>
          </w:p>
        </w:tc>
        <w:tc>
          <w:tcPr>
            <w:tcW w:w="6015" w:type="dxa"/>
            <w:tcBorders>
              <w:top w:val="single" w:color="auto" w:sz="4" w:space="0"/>
              <w:left w:val="single" w:color="auto" w:sz="4" w:space="0"/>
              <w:right w:val="single" w:color="auto" w:sz="4" w:space="0"/>
            </w:tcBorders>
            <w:noWrap/>
            <w:vAlign w:val="center"/>
          </w:tcPr>
          <w:p w14:paraId="5B26EE86">
            <w:pPr>
              <w:spacing w:line="480" w:lineRule="auto"/>
              <w:rPr>
                <w:color w:val="auto"/>
                <w:highlight w:val="none"/>
                <w:u w:val="single"/>
              </w:rPr>
            </w:pPr>
            <w:r>
              <w:rPr>
                <w:rFonts w:hint="eastAsia"/>
                <w:color w:val="auto"/>
                <w:highlight w:val="none"/>
              </w:rPr>
              <w:t>大写：</w:t>
            </w:r>
          </w:p>
          <w:p w14:paraId="731B140C">
            <w:pPr>
              <w:spacing w:line="480" w:lineRule="auto"/>
              <w:rPr>
                <w:color w:val="auto"/>
                <w:highlight w:val="none"/>
                <w:u w:val="single"/>
              </w:rPr>
            </w:pPr>
            <w:r>
              <w:rPr>
                <w:rFonts w:hint="eastAsia"/>
                <w:color w:val="auto"/>
                <w:highlight w:val="none"/>
              </w:rPr>
              <w:t>小写：</w:t>
            </w:r>
            <w:r>
              <w:rPr>
                <w:rFonts w:hint="eastAsia"/>
                <w:color w:val="auto"/>
                <w:highlight w:val="none"/>
                <w:u w:val="single"/>
              </w:rPr>
              <w:t xml:space="preserve">￥              </w:t>
            </w:r>
          </w:p>
          <w:p w14:paraId="0F80CD8D">
            <w:pPr>
              <w:widowControl/>
              <w:spacing w:line="500" w:lineRule="exact"/>
              <w:jc w:val="center"/>
              <w:rPr>
                <w:b/>
                <w:bCs/>
                <w:color w:val="auto"/>
                <w:highlight w:val="none"/>
              </w:rPr>
            </w:pPr>
            <w:r>
              <w:rPr>
                <w:rFonts w:hint="eastAsia"/>
                <w:b/>
                <w:bCs/>
                <w:color w:val="auto"/>
                <w:highlight w:val="none"/>
              </w:rPr>
              <w:t>（供应商应在此填列第一次报价，但以供应商最后一次的磋商报价为成交价）</w:t>
            </w:r>
          </w:p>
        </w:tc>
      </w:tr>
      <w:tr w14:paraId="12D7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89" w:type="dxa"/>
            <w:tcBorders>
              <w:top w:val="single" w:color="auto" w:sz="4" w:space="0"/>
              <w:left w:val="single" w:color="auto" w:sz="4" w:space="0"/>
              <w:right w:val="single" w:color="auto" w:sz="4" w:space="0"/>
            </w:tcBorders>
            <w:noWrap/>
            <w:vAlign w:val="center"/>
          </w:tcPr>
          <w:p w14:paraId="64A48E71">
            <w:pPr>
              <w:widowControl/>
              <w:jc w:val="center"/>
              <w:rPr>
                <w:color w:val="auto"/>
                <w:highlight w:val="none"/>
              </w:rPr>
            </w:pPr>
            <w:r>
              <w:rPr>
                <w:rFonts w:hint="eastAsia"/>
                <w:color w:val="auto"/>
                <w:highlight w:val="none"/>
              </w:rPr>
              <w:t>服务地点</w:t>
            </w:r>
          </w:p>
        </w:tc>
        <w:tc>
          <w:tcPr>
            <w:tcW w:w="6015" w:type="dxa"/>
            <w:tcBorders>
              <w:top w:val="single" w:color="auto" w:sz="4" w:space="0"/>
              <w:left w:val="single" w:color="auto" w:sz="4" w:space="0"/>
              <w:right w:val="single" w:color="auto" w:sz="4" w:space="0"/>
            </w:tcBorders>
            <w:noWrap/>
            <w:vAlign w:val="center"/>
          </w:tcPr>
          <w:p w14:paraId="1EB7EE41">
            <w:pPr>
              <w:widowControl/>
              <w:spacing w:line="500" w:lineRule="exact"/>
              <w:jc w:val="center"/>
              <w:rPr>
                <w:b/>
                <w:bCs/>
                <w:color w:val="auto"/>
                <w:highlight w:val="none"/>
              </w:rPr>
            </w:pPr>
          </w:p>
        </w:tc>
      </w:tr>
      <w:tr w14:paraId="0B38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20A80A6D">
            <w:pPr>
              <w:widowControl/>
              <w:spacing w:line="360" w:lineRule="auto"/>
              <w:jc w:val="center"/>
              <w:rPr>
                <w:color w:val="auto"/>
                <w:highlight w:val="none"/>
              </w:rPr>
            </w:pPr>
            <w:r>
              <w:rPr>
                <w:rFonts w:hint="eastAsia"/>
                <w:color w:val="auto"/>
                <w:highlight w:val="none"/>
              </w:rPr>
              <w:t>交货及安装期</w:t>
            </w:r>
          </w:p>
        </w:tc>
        <w:tc>
          <w:tcPr>
            <w:tcW w:w="6015" w:type="dxa"/>
            <w:tcBorders>
              <w:top w:val="single" w:color="auto" w:sz="4" w:space="0"/>
              <w:left w:val="single" w:color="auto" w:sz="4" w:space="0"/>
              <w:bottom w:val="single" w:color="auto" w:sz="4" w:space="0"/>
              <w:right w:val="single" w:color="auto" w:sz="4" w:space="0"/>
            </w:tcBorders>
            <w:noWrap/>
            <w:vAlign w:val="center"/>
          </w:tcPr>
          <w:p w14:paraId="30FAA934">
            <w:pPr>
              <w:widowControl/>
              <w:spacing w:line="360" w:lineRule="auto"/>
              <w:jc w:val="center"/>
              <w:rPr>
                <w:color w:val="auto"/>
                <w:highlight w:val="none"/>
              </w:rPr>
            </w:pPr>
          </w:p>
        </w:tc>
      </w:tr>
      <w:tr w14:paraId="16A4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38186B43">
            <w:pPr>
              <w:widowControl/>
              <w:spacing w:line="360" w:lineRule="auto"/>
              <w:jc w:val="center"/>
              <w:rPr>
                <w:color w:val="auto"/>
                <w:highlight w:val="none"/>
              </w:rPr>
            </w:pPr>
            <w:r>
              <w:rPr>
                <w:rFonts w:hint="eastAsia"/>
                <w:color w:val="auto"/>
                <w:highlight w:val="none"/>
              </w:rPr>
              <w:t>质量要求</w:t>
            </w:r>
          </w:p>
        </w:tc>
        <w:tc>
          <w:tcPr>
            <w:tcW w:w="6015" w:type="dxa"/>
            <w:tcBorders>
              <w:top w:val="single" w:color="auto" w:sz="4" w:space="0"/>
              <w:left w:val="single" w:color="auto" w:sz="4" w:space="0"/>
              <w:bottom w:val="single" w:color="auto" w:sz="4" w:space="0"/>
              <w:right w:val="single" w:color="auto" w:sz="4" w:space="0"/>
            </w:tcBorders>
            <w:noWrap/>
            <w:vAlign w:val="center"/>
          </w:tcPr>
          <w:p w14:paraId="666D3376">
            <w:pPr>
              <w:widowControl/>
              <w:spacing w:line="360" w:lineRule="auto"/>
              <w:jc w:val="center"/>
              <w:rPr>
                <w:color w:val="auto"/>
                <w:highlight w:val="none"/>
              </w:rPr>
            </w:pPr>
          </w:p>
        </w:tc>
      </w:tr>
      <w:tr w14:paraId="7119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1F2D59F6">
            <w:pPr>
              <w:widowControl/>
              <w:spacing w:line="360" w:lineRule="auto"/>
              <w:jc w:val="center"/>
              <w:rPr>
                <w:rFonts w:hint="eastAsia" w:eastAsia="宋体"/>
                <w:color w:val="auto"/>
                <w:highlight w:val="none"/>
                <w:lang w:val="en-US" w:eastAsia="zh-CN"/>
              </w:rPr>
            </w:pPr>
            <w:r>
              <w:rPr>
                <w:rFonts w:hint="eastAsia"/>
                <w:color w:val="auto"/>
                <w:highlight w:val="none"/>
                <w:lang w:val="en-US" w:eastAsia="zh-CN"/>
              </w:rPr>
              <w:t>质保期</w:t>
            </w:r>
          </w:p>
        </w:tc>
        <w:tc>
          <w:tcPr>
            <w:tcW w:w="6015" w:type="dxa"/>
            <w:tcBorders>
              <w:top w:val="single" w:color="auto" w:sz="4" w:space="0"/>
              <w:left w:val="single" w:color="auto" w:sz="4" w:space="0"/>
              <w:bottom w:val="single" w:color="auto" w:sz="4" w:space="0"/>
              <w:right w:val="single" w:color="auto" w:sz="4" w:space="0"/>
            </w:tcBorders>
            <w:noWrap/>
            <w:vAlign w:val="center"/>
          </w:tcPr>
          <w:p w14:paraId="4707B4F0">
            <w:pPr>
              <w:widowControl/>
              <w:spacing w:line="360" w:lineRule="auto"/>
              <w:jc w:val="center"/>
              <w:rPr>
                <w:color w:val="auto"/>
                <w:highlight w:val="none"/>
              </w:rPr>
            </w:pPr>
          </w:p>
        </w:tc>
      </w:tr>
      <w:tr w14:paraId="138C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5D5DAB9C">
            <w:pPr>
              <w:widowControl/>
              <w:spacing w:line="360" w:lineRule="auto"/>
              <w:jc w:val="center"/>
              <w:rPr>
                <w:color w:val="auto"/>
                <w:highlight w:val="none"/>
              </w:rPr>
            </w:pPr>
            <w:r>
              <w:rPr>
                <w:rFonts w:hint="eastAsia"/>
                <w:color w:val="auto"/>
                <w:highlight w:val="none"/>
              </w:rPr>
              <w:t>磋商有效期</w:t>
            </w:r>
          </w:p>
        </w:tc>
        <w:tc>
          <w:tcPr>
            <w:tcW w:w="6015" w:type="dxa"/>
            <w:tcBorders>
              <w:top w:val="single" w:color="auto" w:sz="4" w:space="0"/>
              <w:left w:val="single" w:color="auto" w:sz="4" w:space="0"/>
              <w:bottom w:val="single" w:color="auto" w:sz="4" w:space="0"/>
              <w:right w:val="single" w:color="auto" w:sz="4" w:space="0"/>
            </w:tcBorders>
            <w:noWrap/>
            <w:vAlign w:val="center"/>
          </w:tcPr>
          <w:p w14:paraId="6CBF88F3">
            <w:pPr>
              <w:widowControl/>
              <w:spacing w:line="360" w:lineRule="auto"/>
              <w:jc w:val="center"/>
              <w:rPr>
                <w:color w:val="auto"/>
                <w:highlight w:val="none"/>
              </w:rPr>
            </w:pPr>
            <w:r>
              <w:rPr>
                <w:rFonts w:hint="eastAsia"/>
                <w:color w:val="auto"/>
                <w:highlight w:val="none"/>
              </w:rPr>
              <w:t>响应文件递交截止之日起</w:t>
            </w:r>
            <w:r>
              <w:rPr>
                <w:rFonts w:hint="eastAsia"/>
                <w:color w:val="auto"/>
                <w:highlight w:val="none"/>
                <w:u w:val="single"/>
              </w:rPr>
              <w:t xml:space="preserve">  60  </w:t>
            </w:r>
            <w:r>
              <w:rPr>
                <w:rFonts w:hint="eastAsia"/>
                <w:color w:val="auto"/>
                <w:highlight w:val="none"/>
              </w:rPr>
              <w:t>日历天</w:t>
            </w:r>
          </w:p>
        </w:tc>
      </w:tr>
      <w:tr w14:paraId="56AA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3C093C5C">
            <w:pPr>
              <w:widowControl/>
              <w:spacing w:line="360" w:lineRule="exact"/>
              <w:jc w:val="center"/>
              <w:rPr>
                <w:color w:val="auto"/>
                <w:highlight w:val="none"/>
              </w:rPr>
            </w:pPr>
            <w:r>
              <w:rPr>
                <w:rFonts w:hint="eastAsia"/>
                <w:color w:val="auto"/>
                <w:highlight w:val="none"/>
              </w:rPr>
              <w:t>优惠与</w:t>
            </w:r>
          </w:p>
          <w:p w14:paraId="07861C07">
            <w:pPr>
              <w:widowControl/>
              <w:spacing w:line="360" w:lineRule="exact"/>
              <w:jc w:val="center"/>
              <w:rPr>
                <w:color w:val="auto"/>
                <w:highlight w:val="none"/>
              </w:rPr>
            </w:pPr>
            <w:r>
              <w:rPr>
                <w:rFonts w:hint="eastAsia"/>
                <w:color w:val="auto"/>
                <w:highlight w:val="none"/>
              </w:rPr>
              <w:t>服务承诺</w:t>
            </w:r>
          </w:p>
        </w:tc>
        <w:tc>
          <w:tcPr>
            <w:tcW w:w="6015" w:type="dxa"/>
            <w:tcBorders>
              <w:top w:val="single" w:color="auto" w:sz="4" w:space="0"/>
              <w:left w:val="single" w:color="auto" w:sz="4" w:space="0"/>
              <w:bottom w:val="single" w:color="auto" w:sz="4" w:space="0"/>
              <w:right w:val="single" w:color="auto" w:sz="4" w:space="0"/>
            </w:tcBorders>
            <w:noWrap/>
            <w:vAlign w:val="center"/>
          </w:tcPr>
          <w:p w14:paraId="11D578F5">
            <w:pPr>
              <w:widowControl/>
              <w:spacing w:line="360" w:lineRule="exact"/>
              <w:jc w:val="center"/>
              <w:rPr>
                <w:color w:val="auto"/>
                <w:highlight w:val="none"/>
              </w:rPr>
            </w:pPr>
            <w:r>
              <w:rPr>
                <w:rFonts w:hint="eastAsia"/>
                <w:color w:val="auto"/>
                <w:highlight w:val="none"/>
              </w:rPr>
              <w:t>（可另附页）</w:t>
            </w:r>
          </w:p>
        </w:tc>
      </w:tr>
      <w:tr w14:paraId="2198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noWrap/>
            <w:vAlign w:val="center"/>
          </w:tcPr>
          <w:p w14:paraId="4DB50438">
            <w:pPr>
              <w:spacing w:line="360" w:lineRule="auto"/>
              <w:jc w:val="center"/>
              <w:rPr>
                <w:color w:val="auto"/>
                <w:highlight w:val="none"/>
              </w:rPr>
            </w:pPr>
            <w:r>
              <w:rPr>
                <w:rFonts w:hint="eastAsia"/>
                <w:color w:val="auto"/>
                <w:highlight w:val="none"/>
              </w:rPr>
              <w:t>备  注</w:t>
            </w:r>
          </w:p>
        </w:tc>
        <w:tc>
          <w:tcPr>
            <w:tcW w:w="6015" w:type="dxa"/>
            <w:tcBorders>
              <w:top w:val="single" w:color="auto" w:sz="4" w:space="0"/>
              <w:left w:val="single" w:color="auto" w:sz="4" w:space="0"/>
              <w:bottom w:val="single" w:color="auto" w:sz="4" w:space="0"/>
              <w:right w:val="single" w:color="auto" w:sz="4" w:space="0"/>
            </w:tcBorders>
            <w:noWrap/>
            <w:vAlign w:val="center"/>
          </w:tcPr>
          <w:p w14:paraId="02F5D257">
            <w:pPr>
              <w:widowControl/>
              <w:spacing w:line="360" w:lineRule="auto"/>
              <w:jc w:val="center"/>
              <w:rPr>
                <w:color w:val="auto"/>
                <w:highlight w:val="none"/>
              </w:rPr>
            </w:pPr>
          </w:p>
        </w:tc>
      </w:tr>
    </w:tbl>
    <w:p w14:paraId="319D5BB0">
      <w:pPr>
        <w:rPr>
          <w:color w:val="auto"/>
          <w:highlight w:val="none"/>
        </w:rPr>
      </w:pPr>
    </w:p>
    <w:p w14:paraId="5FD4C723">
      <w:pPr>
        <w:rPr>
          <w:color w:val="auto"/>
          <w:highlight w:val="none"/>
        </w:rPr>
      </w:pPr>
    </w:p>
    <w:p w14:paraId="2A5807E3">
      <w:pPr>
        <w:rPr>
          <w:color w:val="auto"/>
          <w:highlight w:val="none"/>
        </w:rPr>
      </w:pPr>
    </w:p>
    <w:p w14:paraId="538CFA42">
      <w:pPr>
        <w:rPr>
          <w:color w:val="auto"/>
          <w:highlight w:val="none"/>
        </w:rPr>
      </w:pPr>
    </w:p>
    <w:p w14:paraId="3A41F323">
      <w:pPr>
        <w:rPr>
          <w:color w:val="auto"/>
          <w:highlight w:val="none"/>
        </w:rPr>
      </w:pPr>
      <w:r>
        <w:rPr>
          <w:rFonts w:hint="eastAsia"/>
          <w:color w:val="auto"/>
          <w:highlight w:val="none"/>
        </w:rPr>
        <w:t>供应商：（电子签章）</w:t>
      </w:r>
    </w:p>
    <w:p w14:paraId="3AF1E18B">
      <w:pPr>
        <w:rPr>
          <w:color w:val="auto"/>
          <w:highlight w:val="none"/>
        </w:rPr>
      </w:pPr>
    </w:p>
    <w:p w14:paraId="74E58D2F">
      <w:pPr>
        <w:rPr>
          <w:color w:val="auto"/>
          <w:highlight w:val="none"/>
        </w:rPr>
      </w:pPr>
      <w:r>
        <w:rPr>
          <w:rFonts w:hint="eastAsia"/>
          <w:color w:val="auto"/>
          <w:highlight w:val="none"/>
        </w:rPr>
        <w:t>法定代表人或其委托代理人：（签字或电子签章）</w:t>
      </w:r>
    </w:p>
    <w:p w14:paraId="38CB9BC2">
      <w:pPr>
        <w:rPr>
          <w:color w:val="auto"/>
          <w:highlight w:val="none"/>
        </w:rPr>
      </w:pPr>
    </w:p>
    <w:p w14:paraId="37531980">
      <w:pPr>
        <w:tabs>
          <w:tab w:val="left" w:pos="5380"/>
          <w:tab w:val="left" w:pos="6520"/>
          <w:tab w:val="left" w:pos="7680"/>
        </w:tabs>
        <w:autoSpaceDE w:val="0"/>
        <w:autoSpaceDN w:val="0"/>
        <w:adjustRightInd w:val="0"/>
        <w:ind w:right="-20" w:firstLine="1050" w:firstLineChars="500"/>
        <w:jc w:val="left"/>
        <w:rPr>
          <w:color w:val="auto"/>
          <w:kern w:val="0"/>
          <w:highlight w:val="none"/>
        </w:rPr>
      </w:pPr>
      <w:r>
        <w:rPr>
          <w:rFonts w:hint="eastAsia"/>
          <w:color w:val="auto"/>
          <w:kern w:val="0"/>
          <w:highlight w:val="none"/>
        </w:rPr>
        <w:t>年 月 日</w:t>
      </w:r>
    </w:p>
    <w:p w14:paraId="1AFC4246">
      <w:pPr>
        <w:rPr>
          <w:color w:val="auto"/>
          <w:highlight w:val="none"/>
        </w:rPr>
      </w:pPr>
    </w:p>
    <w:p w14:paraId="52841EE2">
      <w:pPr>
        <w:pStyle w:val="3"/>
        <w:tabs>
          <w:tab w:val="left" w:pos="840"/>
        </w:tabs>
        <w:jc w:val="center"/>
        <w:rPr>
          <w:bCs w:val="0"/>
          <w:color w:val="auto"/>
          <w:szCs w:val="24"/>
          <w:highlight w:val="none"/>
          <w:lang w:val="zh-CN"/>
        </w:rPr>
        <w:sectPr>
          <w:footerReference r:id="rId15" w:type="first"/>
          <w:footerReference r:id="rId13" w:type="default"/>
          <w:footerReference r:id="rId14" w:type="even"/>
          <w:pgSz w:w="11906" w:h="16838"/>
          <w:pgMar w:top="1304" w:right="1797" w:bottom="1304" w:left="1797" w:header="851" w:footer="754" w:gutter="0"/>
          <w:cols w:space="720" w:num="1"/>
          <w:docGrid w:type="lines" w:linePitch="312" w:charSpace="0"/>
        </w:sectPr>
      </w:pPr>
    </w:p>
    <w:p w14:paraId="0B033829">
      <w:pPr>
        <w:pStyle w:val="4"/>
        <w:numPr>
          <w:ilvl w:val="0"/>
          <w:numId w:val="21"/>
        </w:numPr>
        <w:jc w:val="center"/>
        <w:rPr>
          <w:color w:val="auto"/>
          <w:highlight w:val="none"/>
        </w:rPr>
      </w:pPr>
      <w:bookmarkStart w:id="1031" w:name="_Toc17860"/>
      <w:bookmarkStart w:id="1032" w:name="_Toc31419"/>
      <w:r>
        <w:rPr>
          <w:rFonts w:hint="eastAsia"/>
          <w:color w:val="auto"/>
          <w:highlight w:val="none"/>
        </w:rPr>
        <w:t>报价分项明细表</w:t>
      </w:r>
      <w:bookmarkEnd w:id="1031"/>
      <w:bookmarkEnd w:id="1032"/>
    </w:p>
    <w:p w14:paraId="76490ADA">
      <w:pPr>
        <w:rPr>
          <w:color w:val="auto"/>
          <w:highlight w:val="none"/>
        </w:rPr>
      </w:pPr>
    </w:p>
    <w:p w14:paraId="0F77BAF4">
      <w:pPr>
        <w:rPr>
          <w:color w:val="auto"/>
          <w:highlight w:val="none"/>
        </w:rPr>
      </w:pPr>
    </w:p>
    <w:p w14:paraId="7E4AE2E4">
      <w:pPr>
        <w:pStyle w:val="27"/>
        <w:keepNext w:val="0"/>
        <w:keepLines w:val="0"/>
        <w:pageBreakBefore w:val="0"/>
        <w:widowControl w:val="0"/>
        <w:kinsoku/>
        <w:wordWrap w:val="0"/>
        <w:overflowPunct/>
        <w:topLinePunct/>
        <w:autoSpaceDE/>
        <w:autoSpaceDN/>
        <w:bidi w:val="0"/>
        <w:adjustRightInd/>
        <w:snapToGrid/>
        <w:spacing w:beforeLines="100" w:afterLines="100" w:line="600" w:lineRule="exact"/>
        <w:jc w:val="center"/>
        <w:textAlignment w:val="auto"/>
        <w:outlineLvl w:val="9"/>
        <w:rPr>
          <w:rStyle w:val="66"/>
          <w:rFonts w:hint="default" w:eastAsia="宋体"/>
          <w:color w:val="auto"/>
          <w:sz w:val="24"/>
          <w:szCs w:val="24"/>
          <w:highlight w:val="none"/>
          <w:lang w:val="en-US" w:eastAsia="zh-CN"/>
        </w:rPr>
      </w:pPr>
      <w:r>
        <w:rPr>
          <w:rFonts w:hint="eastAsia" w:hAnsi="宋体"/>
          <w:b/>
          <w:color w:val="auto"/>
          <w:sz w:val="24"/>
          <w:szCs w:val="24"/>
          <w:highlight w:val="none"/>
          <w:lang w:val="en-US" w:eastAsia="zh-CN"/>
        </w:rPr>
        <w:t>按第五章采购需求中</w:t>
      </w:r>
      <w:r>
        <w:rPr>
          <w:rFonts w:hint="eastAsia" w:ascii="宋体" w:hAnsi="宋体"/>
          <w:b/>
          <w:color w:val="auto"/>
          <w:sz w:val="24"/>
          <w:szCs w:val="24"/>
          <w:highlight w:val="none"/>
        </w:rPr>
        <w:t>项目</w:t>
      </w:r>
      <w:r>
        <w:rPr>
          <w:rFonts w:hint="eastAsia" w:ascii="宋体" w:hAnsi="宋体"/>
          <w:b/>
          <w:bCs/>
          <w:color w:val="auto"/>
          <w:sz w:val="24"/>
          <w:szCs w:val="24"/>
          <w:highlight w:val="none"/>
          <w:lang w:val="en-US" w:eastAsia="zh-CN"/>
        </w:rPr>
        <w:t>货物</w:t>
      </w:r>
      <w:r>
        <w:rPr>
          <w:rFonts w:hint="eastAsia" w:ascii="宋体" w:hAnsi="宋体"/>
          <w:b/>
          <w:bCs/>
          <w:color w:val="auto"/>
          <w:sz w:val="24"/>
          <w:szCs w:val="24"/>
          <w:highlight w:val="none"/>
        </w:rPr>
        <w:t>技术功能要求一览表</w:t>
      </w:r>
      <w:r>
        <w:rPr>
          <w:rFonts w:hint="eastAsia" w:hAnsi="宋体"/>
          <w:b/>
          <w:bCs/>
          <w:color w:val="auto"/>
          <w:sz w:val="24"/>
          <w:szCs w:val="24"/>
          <w:highlight w:val="none"/>
          <w:lang w:val="en-US" w:eastAsia="zh-CN"/>
        </w:rPr>
        <w:t>格式填写（需体现所投品牌及规格型号，格式自拟）</w:t>
      </w:r>
    </w:p>
    <w:p w14:paraId="141037A4">
      <w:pPr>
        <w:rPr>
          <w:color w:val="auto"/>
          <w:highlight w:val="none"/>
        </w:rPr>
      </w:pPr>
    </w:p>
    <w:p w14:paraId="197F94E3">
      <w:pPr>
        <w:tabs>
          <w:tab w:val="left" w:pos="1418"/>
        </w:tabs>
        <w:spacing w:beforeLines="50" w:afterLines="50" w:line="440" w:lineRule="exact"/>
        <w:ind w:firstLine="241" w:firstLineChars="100"/>
        <w:jc w:val="left"/>
        <w:rPr>
          <w:b/>
          <w:bCs/>
          <w:color w:val="auto"/>
          <w:sz w:val="24"/>
          <w:highlight w:val="none"/>
        </w:rPr>
      </w:pPr>
      <w:r>
        <w:rPr>
          <w:rFonts w:hint="eastAsia"/>
          <w:b/>
          <w:bCs/>
          <w:color w:val="auto"/>
          <w:sz w:val="24"/>
          <w:highlight w:val="none"/>
        </w:rPr>
        <w:t>备注：投标报价中的单价包含人工费、材料费、机械费、安文费、规费、税金等的全部费用单价，不再产生其他任何费用。</w:t>
      </w:r>
    </w:p>
    <w:p w14:paraId="4B2A95C8">
      <w:pPr>
        <w:tabs>
          <w:tab w:val="left" w:pos="1418"/>
        </w:tabs>
        <w:spacing w:beforeLines="50" w:afterLines="50" w:line="440" w:lineRule="exact"/>
        <w:ind w:firstLine="210" w:firstLineChars="100"/>
        <w:jc w:val="left"/>
        <w:rPr>
          <w:color w:val="auto"/>
          <w:highlight w:val="none"/>
        </w:rPr>
      </w:pPr>
    </w:p>
    <w:p w14:paraId="550A82FB">
      <w:pPr>
        <w:autoSpaceDE w:val="0"/>
        <w:autoSpaceDN w:val="0"/>
        <w:adjustRightInd w:val="0"/>
        <w:spacing w:line="420" w:lineRule="exact"/>
        <w:ind w:firstLine="2520" w:firstLineChars="1200"/>
        <w:jc w:val="right"/>
        <w:rPr>
          <w:color w:val="auto"/>
          <w:kern w:val="0"/>
          <w:highlight w:val="none"/>
        </w:rPr>
      </w:pPr>
      <w:r>
        <w:rPr>
          <w:rFonts w:hint="eastAsia"/>
          <w:color w:val="auto"/>
          <w:kern w:val="0"/>
          <w:highlight w:val="none"/>
        </w:rPr>
        <w:t>供应商： （</w:t>
      </w:r>
      <w:r>
        <w:rPr>
          <w:rFonts w:hint="eastAsia"/>
          <w:color w:val="auto"/>
          <w:highlight w:val="none"/>
        </w:rPr>
        <w:t>电子签章</w:t>
      </w:r>
      <w:r>
        <w:rPr>
          <w:rFonts w:hint="eastAsia"/>
          <w:color w:val="auto"/>
          <w:kern w:val="0"/>
          <w:highlight w:val="none"/>
        </w:rPr>
        <w:t>）</w:t>
      </w:r>
    </w:p>
    <w:p w14:paraId="7469C0F1">
      <w:pPr>
        <w:autoSpaceDE w:val="0"/>
        <w:autoSpaceDN w:val="0"/>
        <w:adjustRightInd w:val="0"/>
        <w:spacing w:line="420" w:lineRule="exact"/>
        <w:ind w:firstLine="2520" w:firstLineChars="1200"/>
        <w:jc w:val="right"/>
        <w:rPr>
          <w:color w:val="auto"/>
          <w:kern w:val="0"/>
          <w:highlight w:val="none"/>
        </w:rPr>
      </w:pPr>
      <w:r>
        <w:rPr>
          <w:rFonts w:hint="eastAsia"/>
          <w:color w:val="auto"/>
          <w:kern w:val="0"/>
          <w:highlight w:val="none"/>
        </w:rPr>
        <w:t>法定代表人或其委托代理人：  （</w:t>
      </w:r>
      <w:r>
        <w:rPr>
          <w:rFonts w:hint="eastAsia"/>
          <w:color w:val="auto"/>
          <w:highlight w:val="none"/>
        </w:rPr>
        <w:t>签字或电子签章</w:t>
      </w:r>
      <w:r>
        <w:rPr>
          <w:rFonts w:hint="eastAsia"/>
          <w:color w:val="auto"/>
          <w:kern w:val="0"/>
          <w:highlight w:val="none"/>
        </w:rPr>
        <w:t>）</w:t>
      </w:r>
    </w:p>
    <w:p w14:paraId="276364B0">
      <w:pPr>
        <w:autoSpaceDE w:val="0"/>
        <w:autoSpaceDN w:val="0"/>
        <w:adjustRightInd w:val="0"/>
        <w:spacing w:line="420" w:lineRule="exact"/>
        <w:ind w:firstLine="5145" w:firstLineChars="2450"/>
        <w:jc w:val="right"/>
        <w:rPr>
          <w:color w:val="auto"/>
          <w:highlight w:val="none"/>
        </w:rPr>
        <w:sectPr>
          <w:pgSz w:w="11906" w:h="16838"/>
          <w:pgMar w:top="1304" w:right="1797" w:bottom="1304" w:left="1797" w:header="851" w:footer="754" w:gutter="0"/>
          <w:cols w:space="720" w:num="1"/>
          <w:docGrid w:type="lines" w:linePitch="312" w:charSpace="0"/>
        </w:sectPr>
      </w:pPr>
      <w:r>
        <w:rPr>
          <w:rFonts w:hint="eastAsia"/>
          <w:color w:val="auto"/>
          <w:kern w:val="0"/>
          <w:highlight w:val="none"/>
        </w:rPr>
        <w:t>年 月 日</w:t>
      </w:r>
    </w:p>
    <w:p w14:paraId="29AD89B4">
      <w:pPr>
        <w:pStyle w:val="3"/>
        <w:tabs>
          <w:tab w:val="left" w:pos="840"/>
        </w:tabs>
        <w:jc w:val="center"/>
        <w:rPr>
          <w:bCs w:val="0"/>
          <w:color w:val="auto"/>
          <w:szCs w:val="24"/>
          <w:highlight w:val="none"/>
          <w:lang w:val="zh-CN"/>
        </w:rPr>
      </w:pPr>
      <w:bookmarkStart w:id="1033" w:name="_Toc65662078"/>
      <w:bookmarkStart w:id="1034" w:name="_Toc5256"/>
      <w:bookmarkStart w:id="1035" w:name="_Toc12355"/>
      <w:bookmarkStart w:id="1036" w:name="_Toc76134518"/>
      <w:bookmarkStart w:id="1037" w:name="_Toc15910"/>
      <w:bookmarkStart w:id="1038" w:name="_Toc12948"/>
      <w:r>
        <w:rPr>
          <w:rStyle w:val="64"/>
          <w:rFonts w:hint="eastAsia"/>
          <w:b/>
          <w:bCs/>
          <w:color w:val="auto"/>
          <w:highlight w:val="none"/>
        </w:rPr>
        <w:t>二、</w:t>
      </w:r>
      <w:r>
        <w:rPr>
          <w:rStyle w:val="64"/>
          <w:rFonts w:hint="eastAsia"/>
          <w:b/>
          <w:bCs/>
          <w:color w:val="auto"/>
          <w:highlight w:val="none"/>
          <w:lang w:val="zh-CN"/>
        </w:rPr>
        <w:t>法定代表人身份证明</w:t>
      </w:r>
      <w:bookmarkEnd w:id="1030"/>
      <w:bookmarkEnd w:id="1033"/>
      <w:bookmarkEnd w:id="1034"/>
      <w:bookmarkEnd w:id="1035"/>
      <w:bookmarkEnd w:id="1036"/>
      <w:bookmarkEnd w:id="1037"/>
      <w:bookmarkEnd w:id="1038"/>
    </w:p>
    <w:p w14:paraId="0978305F">
      <w:pPr>
        <w:wordWrap/>
        <w:topLinePunct w:val="0"/>
        <w:autoSpaceDE w:val="0"/>
        <w:autoSpaceDN w:val="0"/>
        <w:adjustRightInd w:val="0"/>
        <w:spacing w:line="480" w:lineRule="auto"/>
        <w:rPr>
          <w:color w:val="auto"/>
          <w:kern w:val="0"/>
          <w:highlight w:val="none"/>
        </w:rPr>
      </w:pPr>
    </w:p>
    <w:p w14:paraId="572ECB0D">
      <w:pPr>
        <w:wordWrap/>
        <w:topLinePunct w:val="0"/>
        <w:autoSpaceDE w:val="0"/>
        <w:autoSpaceDN w:val="0"/>
        <w:adjustRightInd w:val="0"/>
        <w:spacing w:line="480" w:lineRule="auto"/>
        <w:rPr>
          <w:color w:val="auto"/>
          <w:kern w:val="0"/>
          <w:highlight w:val="none"/>
          <w:u w:val="single"/>
        </w:rPr>
      </w:pPr>
      <w:r>
        <w:rPr>
          <w:rFonts w:hint="eastAsia"/>
          <w:color w:val="auto"/>
          <w:kern w:val="0"/>
          <w:highlight w:val="none"/>
        </w:rPr>
        <w:t>供应商名称：</w:t>
      </w:r>
      <w:r>
        <w:rPr>
          <w:rFonts w:hint="eastAsia"/>
          <w:color w:val="auto"/>
          <w:kern w:val="0"/>
          <w:highlight w:val="none"/>
          <w:u w:val="single"/>
        </w:rPr>
        <w:t xml:space="preserve">                </w:t>
      </w:r>
      <w:r>
        <w:rPr>
          <w:rFonts w:hint="eastAsia"/>
          <w:color w:val="auto"/>
          <w:kern w:val="0"/>
          <w:highlight w:val="none"/>
        </w:rPr>
        <w:t xml:space="preserve"> </w:t>
      </w:r>
    </w:p>
    <w:p w14:paraId="44611C3D">
      <w:pPr>
        <w:wordWrap/>
        <w:topLinePunct w:val="0"/>
        <w:autoSpaceDE w:val="0"/>
        <w:autoSpaceDN w:val="0"/>
        <w:adjustRightInd w:val="0"/>
        <w:spacing w:line="480" w:lineRule="auto"/>
        <w:rPr>
          <w:color w:val="auto"/>
          <w:kern w:val="0"/>
          <w:highlight w:val="none"/>
        </w:rPr>
      </w:pPr>
      <w:r>
        <w:rPr>
          <w:rFonts w:hint="eastAsia"/>
          <w:color w:val="auto"/>
          <w:kern w:val="0"/>
          <w:highlight w:val="none"/>
        </w:rPr>
        <w:t>姓名：</w:t>
      </w:r>
      <w:r>
        <w:rPr>
          <w:rFonts w:hint="eastAsia"/>
          <w:color w:val="auto"/>
          <w:kern w:val="0"/>
          <w:highlight w:val="none"/>
          <w:u w:val="single"/>
        </w:rPr>
        <w:t xml:space="preserve">      </w:t>
      </w:r>
      <w:r>
        <w:rPr>
          <w:rFonts w:hint="eastAsia"/>
          <w:color w:val="auto"/>
          <w:kern w:val="0"/>
          <w:highlight w:val="none"/>
        </w:rPr>
        <w:t>性别：</w:t>
      </w:r>
      <w:r>
        <w:rPr>
          <w:rFonts w:hint="eastAsia"/>
          <w:color w:val="auto"/>
          <w:kern w:val="0"/>
          <w:highlight w:val="none"/>
          <w:u w:val="single"/>
        </w:rPr>
        <w:t xml:space="preserve">     </w:t>
      </w:r>
      <w:r>
        <w:rPr>
          <w:rFonts w:hint="eastAsia"/>
          <w:color w:val="auto"/>
          <w:kern w:val="0"/>
          <w:highlight w:val="none"/>
        </w:rPr>
        <w:t>年龄：</w:t>
      </w:r>
      <w:r>
        <w:rPr>
          <w:rFonts w:hint="eastAsia"/>
          <w:color w:val="auto"/>
          <w:kern w:val="0"/>
          <w:highlight w:val="none"/>
          <w:u w:val="single"/>
        </w:rPr>
        <w:t xml:space="preserve">    </w:t>
      </w:r>
      <w:r>
        <w:rPr>
          <w:rFonts w:hint="eastAsia"/>
          <w:color w:val="auto"/>
          <w:kern w:val="0"/>
          <w:highlight w:val="none"/>
        </w:rPr>
        <w:t xml:space="preserve"> 职务：</w:t>
      </w:r>
      <w:r>
        <w:rPr>
          <w:rFonts w:hint="eastAsia"/>
          <w:color w:val="auto"/>
          <w:kern w:val="0"/>
          <w:highlight w:val="none"/>
          <w:u w:val="single"/>
        </w:rPr>
        <w:t xml:space="preserve">    </w:t>
      </w:r>
    </w:p>
    <w:p w14:paraId="634ED44C">
      <w:pPr>
        <w:wordWrap/>
        <w:topLinePunct w:val="0"/>
        <w:autoSpaceDE w:val="0"/>
        <w:autoSpaceDN w:val="0"/>
        <w:adjustRightInd w:val="0"/>
        <w:spacing w:line="480" w:lineRule="auto"/>
        <w:rPr>
          <w:color w:val="auto"/>
          <w:kern w:val="0"/>
          <w:highlight w:val="none"/>
        </w:rPr>
      </w:pPr>
      <w:r>
        <w:rPr>
          <w:rFonts w:hint="eastAsia"/>
          <w:color w:val="auto"/>
          <w:kern w:val="0"/>
          <w:highlight w:val="none"/>
        </w:rPr>
        <w:t xml:space="preserve">系 </w:t>
      </w:r>
      <w:r>
        <w:rPr>
          <w:rFonts w:hint="eastAsia"/>
          <w:color w:val="auto"/>
          <w:kern w:val="0"/>
          <w:highlight w:val="none"/>
          <w:u w:val="single"/>
        </w:rPr>
        <w:t xml:space="preserve">     </w:t>
      </w:r>
      <w:r>
        <w:rPr>
          <w:rFonts w:hint="eastAsia"/>
          <w:color w:val="auto"/>
          <w:kern w:val="0"/>
          <w:highlight w:val="none"/>
        </w:rPr>
        <w:t>（供应商名称）的法定代表人。</w:t>
      </w:r>
    </w:p>
    <w:p w14:paraId="5F074521">
      <w:pPr>
        <w:wordWrap/>
        <w:topLinePunct w:val="0"/>
        <w:autoSpaceDE w:val="0"/>
        <w:autoSpaceDN w:val="0"/>
        <w:adjustRightInd w:val="0"/>
        <w:spacing w:line="480" w:lineRule="auto"/>
        <w:rPr>
          <w:color w:val="auto"/>
          <w:kern w:val="0"/>
          <w:highlight w:val="none"/>
        </w:rPr>
      </w:pPr>
      <w:r>
        <w:rPr>
          <w:rFonts w:hint="eastAsia"/>
          <w:color w:val="auto"/>
          <w:kern w:val="0"/>
          <w:highlight w:val="none"/>
        </w:rPr>
        <w:t>特此证明。</w:t>
      </w:r>
    </w:p>
    <w:p w14:paraId="5477CEE8">
      <w:pPr>
        <w:wordWrap/>
        <w:topLinePunct w:val="0"/>
        <w:autoSpaceDE w:val="0"/>
        <w:autoSpaceDN w:val="0"/>
        <w:adjustRightInd w:val="0"/>
        <w:spacing w:line="480" w:lineRule="auto"/>
        <w:rPr>
          <w:color w:val="auto"/>
          <w:kern w:val="0"/>
          <w:highlight w:val="none"/>
        </w:rPr>
      </w:pPr>
      <w:r>
        <w:rPr>
          <w:rFonts w:hint="eastAsia"/>
          <w:color w:val="auto"/>
          <w:kern w:val="0"/>
          <w:highlight w:val="none"/>
        </w:rPr>
        <w:t xml:space="preserve">附：法定代表人身份证复印件。 </w:t>
      </w:r>
    </w:p>
    <w:p w14:paraId="22EBFB25">
      <w:pPr>
        <w:wordWrap/>
        <w:topLinePunct w:val="0"/>
        <w:autoSpaceDE w:val="0"/>
        <w:autoSpaceDN w:val="0"/>
        <w:adjustRightInd w:val="0"/>
        <w:spacing w:line="480" w:lineRule="auto"/>
        <w:rPr>
          <w:color w:val="auto"/>
          <w:kern w:val="0"/>
          <w:highlight w:val="none"/>
        </w:rPr>
      </w:pPr>
      <w:r>
        <w:rPr>
          <w:rFonts w:hint="eastAsia"/>
          <w:color w:val="auto"/>
          <w:kern w:val="0"/>
          <w:highlight w:val="none"/>
        </w:rPr>
        <w:t>注：本身份证明需由供应商加盖单位公章。</w:t>
      </w:r>
    </w:p>
    <w:p w14:paraId="07F1387A">
      <w:pPr>
        <w:wordWrap/>
        <w:topLinePunct w:val="0"/>
        <w:autoSpaceDE w:val="0"/>
        <w:autoSpaceDN w:val="0"/>
        <w:adjustRightInd w:val="0"/>
        <w:spacing w:line="480" w:lineRule="auto"/>
        <w:rPr>
          <w:color w:val="auto"/>
          <w:kern w:val="0"/>
          <w:highlight w:val="none"/>
        </w:rPr>
      </w:pPr>
    </w:p>
    <w:p w14:paraId="1DFC053B">
      <w:pPr>
        <w:wordWrap/>
        <w:topLinePunct w:val="0"/>
        <w:autoSpaceDE w:val="0"/>
        <w:autoSpaceDN w:val="0"/>
        <w:adjustRightInd w:val="0"/>
        <w:spacing w:line="480" w:lineRule="auto"/>
        <w:rPr>
          <w:color w:val="auto"/>
          <w:kern w:val="0"/>
          <w:highlight w:val="none"/>
        </w:rPr>
      </w:pPr>
    </w:p>
    <w:p w14:paraId="2FFF405D">
      <w:pPr>
        <w:wordWrap/>
        <w:topLinePunct w:val="0"/>
        <w:autoSpaceDE w:val="0"/>
        <w:autoSpaceDN w:val="0"/>
        <w:adjustRightInd w:val="0"/>
        <w:spacing w:line="480" w:lineRule="auto"/>
        <w:rPr>
          <w:color w:val="auto"/>
          <w:kern w:val="0"/>
          <w:highlight w:val="none"/>
        </w:rPr>
      </w:pPr>
    </w:p>
    <w:p w14:paraId="27AEB3BF">
      <w:pPr>
        <w:wordWrap/>
        <w:topLinePunct w:val="0"/>
        <w:autoSpaceDE w:val="0"/>
        <w:autoSpaceDN w:val="0"/>
        <w:adjustRightInd w:val="0"/>
        <w:spacing w:line="480" w:lineRule="auto"/>
        <w:rPr>
          <w:color w:val="auto"/>
          <w:kern w:val="0"/>
          <w:highlight w:val="none"/>
        </w:rPr>
      </w:pPr>
    </w:p>
    <w:p w14:paraId="00146965">
      <w:pPr>
        <w:rPr>
          <w:color w:val="auto"/>
          <w:highlight w:val="none"/>
        </w:rPr>
      </w:pPr>
      <w:r>
        <w:rPr>
          <w:rFonts w:hint="eastAsia"/>
          <w:color w:val="auto"/>
          <w:highlight w:val="none"/>
        </w:rPr>
        <w:t>供应商：（电子签章）</w:t>
      </w:r>
    </w:p>
    <w:p w14:paraId="6BD7D917">
      <w:pPr>
        <w:rPr>
          <w:color w:val="auto"/>
          <w:highlight w:val="none"/>
        </w:rPr>
      </w:pPr>
    </w:p>
    <w:p w14:paraId="67F11D62">
      <w:pPr>
        <w:tabs>
          <w:tab w:val="left" w:pos="5380"/>
          <w:tab w:val="left" w:pos="6520"/>
          <w:tab w:val="left" w:pos="7680"/>
        </w:tabs>
        <w:autoSpaceDE w:val="0"/>
        <w:autoSpaceDN w:val="0"/>
        <w:adjustRightInd w:val="0"/>
        <w:ind w:right="-20" w:firstLine="1050" w:firstLineChars="500"/>
        <w:jc w:val="left"/>
        <w:rPr>
          <w:color w:val="auto"/>
          <w:kern w:val="0"/>
          <w:highlight w:val="none"/>
        </w:rPr>
      </w:pPr>
      <w:r>
        <w:rPr>
          <w:rFonts w:hint="eastAsia"/>
          <w:color w:val="auto"/>
          <w:kern w:val="0"/>
          <w:highlight w:val="none"/>
        </w:rPr>
        <w:t>年 月 日</w:t>
      </w:r>
    </w:p>
    <w:p w14:paraId="5894D52D">
      <w:pPr>
        <w:tabs>
          <w:tab w:val="left" w:pos="5340"/>
          <w:tab w:val="left" w:pos="6180"/>
          <w:tab w:val="left" w:pos="7020"/>
        </w:tabs>
        <w:autoSpaceDE w:val="0"/>
        <w:autoSpaceDN w:val="0"/>
        <w:adjustRightInd w:val="0"/>
        <w:ind w:left="4721" w:right="-20"/>
        <w:rPr>
          <w:color w:val="auto"/>
          <w:kern w:val="0"/>
          <w:highlight w:val="none"/>
        </w:rPr>
      </w:pPr>
    </w:p>
    <w:p w14:paraId="7EC67D58">
      <w:pPr>
        <w:rPr>
          <w:color w:val="auto"/>
          <w:highlight w:val="none"/>
        </w:rPr>
      </w:pPr>
      <w:r>
        <w:rPr>
          <w:rFonts w:hint="eastAsia"/>
          <w:color w:val="auto"/>
          <w:highlight w:val="none"/>
        </w:rPr>
        <w:br w:type="page"/>
      </w:r>
    </w:p>
    <w:p w14:paraId="71584427">
      <w:pPr>
        <w:pStyle w:val="3"/>
        <w:numPr>
          <w:ilvl w:val="0"/>
          <w:numId w:val="22"/>
        </w:numPr>
        <w:tabs>
          <w:tab w:val="left" w:pos="840"/>
        </w:tabs>
        <w:spacing w:line="360" w:lineRule="auto"/>
        <w:jc w:val="center"/>
        <w:rPr>
          <w:rFonts w:cs="Times New Roman"/>
          <w:bCs w:val="0"/>
          <w:color w:val="auto"/>
          <w:szCs w:val="24"/>
          <w:highlight w:val="none"/>
          <w:lang w:val="zh-CN"/>
        </w:rPr>
      </w:pPr>
      <w:bookmarkStart w:id="1039" w:name="_Toc6674"/>
      <w:bookmarkStart w:id="1040" w:name="_Toc76134519"/>
      <w:bookmarkStart w:id="1041" w:name="_Toc12134"/>
      <w:bookmarkStart w:id="1042" w:name="_Toc28309"/>
      <w:bookmarkStart w:id="1043" w:name="_Toc65662079"/>
      <w:bookmarkStart w:id="1044" w:name="_Toc6762"/>
      <w:bookmarkStart w:id="1045" w:name="_Toc14530"/>
      <w:bookmarkStart w:id="1046" w:name="_Toc20216"/>
      <w:bookmarkStart w:id="1047" w:name="_Toc11764"/>
      <w:r>
        <w:rPr>
          <w:rFonts w:hint="eastAsia" w:cs="Times New Roman"/>
          <w:bCs w:val="0"/>
          <w:color w:val="auto"/>
          <w:szCs w:val="24"/>
          <w:highlight w:val="none"/>
          <w:lang w:val="zh-CN"/>
        </w:rPr>
        <w:t>法定代表人授权委托书</w:t>
      </w:r>
      <w:bookmarkEnd w:id="1039"/>
      <w:bookmarkEnd w:id="1040"/>
      <w:bookmarkEnd w:id="1041"/>
      <w:bookmarkEnd w:id="1042"/>
      <w:bookmarkEnd w:id="1043"/>
      <w:bookmarkEnd w:id="1044"/>
      <w:bookmarkEnd w:id="1045"/>
      <w:bookmarkEnd w:id="1046"/>
      <w:bookmarkEnd w:id="1047"/>
    </w:p>
    <w:p w14:paraId="379B72B7">
      <w:pPr>
        <w:autoSpaceDE w:val="0"/>
        <w:autoSpaceDN w:val="0"/>
        <w:adjustRightInd w:val="0"/>
        <w:spacing w:line="200" w:lineRule="exact"/>
        <w:rPr>
          <w:rFonts w:ascii="微软雅黑" w:hAnsi="Times New Roman" w:eastAsia="微软雅黑" w:cs="微软雅黑"/>
          <w:color w:val="auto"/>
          <w:kern w:val="0"/>
          <w:sz w:val="20"/>
          <w:szCs w:val="20"/>
          <w:highlight w:val="none"/>
        </w:rPr>
      </w:pPr>
    </w:p>
    <w:p w14:paraId="5E167AB2">
      <w:pPr>
        <w:tabs>
          <w:tab w:val="left" w:pos="3880"/>
        </w:tabs>
        <w:wordWrap/>
        <w:topLinePunct w:val="0"/>
        <w:autoSpaceDE w:val="0"/>
        <w:autoSpaceDN w:val="0"/>
        <w:adjustRightInd w:val="0"/>
        <w:spacing w:line="360" w:lineRule="auto"/>
        <w:ind w:firstLine="420" w:firstLineChars="200"/>
        <w:rPr>
          <w:color w:val="auto"/>
          <w:highlight w:val="none"/>
        </w:rPr>
      </w:pPr>
      <w:r>
        <w:rPr>
          <w:rFonts w:hint="eastAsia"/>
          <w:color w:val="auto"/>
          <w:highlight w:val="none"/>
        </w:rPr>
        <w:t>本人</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（供应商名称）的法定代表人，现委托</w:t>
      </w:r>
      <w:r>
        <w:rPr>
          <w:rFonts w:hint="eastAsia"/>
          <w:color w:val="auto"/>
          <w:highlight w:val="none"/>
          <w:u w:val="single"/>
        </w:rPr>
        <w:t xml:space="preserve">  </w:t>
      </w:r>
      <w:r>
        <w:rPr>
          <w:rFonts w:hint="eastAsia"/>
          <w:color w:val="auto"/>
          <w:highlight w:val="none"/>
        </w:rPr>
        <w:t>（姓名、职务）为我方代理人。</w:t>
      </w:r>
      <w:r>
        <w:rPr>
          <w:rFonts w:hint="eastAsia"/>
          <w:color w:val="auto"/>
          <w:kern w:val="0"/>
          <w:position w:val="-2"/>
          <w:highlight w:val="none"/>
        </w:rPr>
        <w:t>代理</w:t>
      </w:r>
      <w:r>
        <w:rPr>
          <w:rFonts w:hint="eastAsia"/>
          <w:color w:val="auto"/>
          <w:spacing w:val="-2"/>
          <w:kern w:val="0"/>
          <w:position w:val="-2"/>
          <w:highlight w:val="none"/>
        </w:rPr>
        <w:t>人</w:t>
      </w:r>
      <w:r>
        <w:rPr>
          <w:rFonts w:hint="eastAsia"/>
          <w:color w:val="auto"/>
          <w:kern w:val="0"/>
          <w:position w:val="-2"/>
          <w:highlight w:val="none"/>
        </w:rPr>
        <w:t>根据授权，</w:t>
      </w:r>
      <w:r>
        <w:rPr>
          <w:rFonts w:hint="eastAsia"/>
          <w:color w:val="auto"/>
          <w:spacing w:val="-2"/>
          <w:kern w:val="0"/>
          <w:position w:val="-2"/>
          <w:highlight w:val="none"/>
        </w:rPr>
        <w:t>以</w:t>
      </w:r>
      <w:r>
        <w:rPr>
          <w:rFonts w:hint="eastAsia"/>
          <w:color w:val="auto"/>
          <w:kern w:val="0"/>
          <w:position w:val="-2"/>
          <w:highlight w:val="none"/>
        </w:rPr>
        <w:t>我方名</w:t>
      </w:r>
      <w:r>
        <w:rPr>
          <w:rFonts w:hint="eastAsia"/>
          <w:color w:val="auto"/>
          <w:highlight w:val="none"/>
        </w:rPr>
        <w:t>义签署、澄清确认、递交、撤回、修改</w:t>
      </w:r>
      <w:r>
        <w:rPr>
          <w:rFonts w:hint="eastAsia"/>
          <w:color w:val="auto"/>
          <w:highlight w:val="none"/>
          <w:u w:val="single"/>
        </w:rPr>
        <w:t xml:space="preserve">   </w:t>
      </w:r>
      <w:r>
        <w:rPr>
          <w:rFonts w:hint="eastAsia"/>
          <w:color w:val="auto"/>
          <w:highlight w:val="none"/>
        </w:rPr>
        <w:t>（项目名称）响应文件、签订合同和处理有关事宜，其法律后果由我方承担。</w:t>
      </w:r>
    </w:p>
    <w:p w14:paraId="408A0333">
      <w:pPr>
        <w:wordWrap/>
        <w:topLinePunct w:val="0"/>
        <w:spacing w:line="360" w:lineRule="auto"/>
        <w:ind w:firstLine="420"/>
        <w:rPr>
          <w:color w:val="auto"/>
          <w:highlight w:val="none"/>
        </w:rPr>
      </w:pPr>
    </w:p>
    <w:p w14:paraId="4B41C09A">
      <w:pPr>
        <w:spacing w:line="500" w:lineRule="exact"/>
        <w:ind w:firstLine="420" w:firstLineChars="200"/>
        <w:rPr>
          <w:color w:val="auto"/>
          <w:highlight w:val="none"/>
          <w:u w:val="single"/>
        </w:rPr>
      </w:pPr>
      <w:r>
        <w:rPr>
          <w:rFonts w:hint="eastAsia"/>
          <w:color w:val="auto"/>
          <w:highlight w:val="none"/>
        </w:rPr>
        <w:t>委托期限：</w:t>
      </w:r>
      <w:r>
        <w:rPr>
          <w:rFonts w:hint="eastAsia"/>
          <w:color w:val="auto"/>
          <w:highlight w:val="none"/>
          <w:u w:val="single"/>
        </w:rPr>
        <w:t xml:space="preserve">       </w:t>
      </w:r>
    </w:p>
    <w:p w14:paraId="2B7367DF">
      <w:pPr>
        <w:spacing w:line="500" w:lineRule="exact"/>
        <w:ind w:firstLine="420" w:firstLineChars="200"/>
        <w:rPr>
          <w:color w:val="auto"/>
          <w:highlight w:val="none"/>
        </w:rPr>
      </w:pPr>
      <w:r>
        <w:rPr>
          <w:rFonts w:hint="eastAsia"/>
          <w:color w:val="auto"/>
          <w:highlight w:val="none"/>
        </w:rPr>
        <w:t>代理人无转委托权。</w:t>
      </w:r>
    </w:p>
    <w:p w14:paraId="01C871A2">
      <w:pPr>
        <w:spacing w:line="500" w:lineRule="exact"/>
        <w:ind w:firstLine="420" w:firstLineChars="200"/>
        <w:rPr>
          <w:color w:val="auto"/>
          <w:highlight w:val="none"/>
        </w:rPr>
      </w:pPr>
      <w:r>
        <w:rPr>
          <w:rFonts w:hint="eastAsia"/>
          <w:color w:val="auto"/>
          <w:highlight w:val="none"/>
        </w:rPr>
        <w:t>附：</w:t>
      </w:r>
      <w:r>
        <w:rPr>
          <w:rFonts w:hint="eastAsia"/>
          <w:color w:val="auto"/>
          <w:spacing w:val="-2"/>
          <w:kern w:val="0"/>
          <w:highlight w:val="none"/>
        </w:rPr>
        <w:t>法</w:t>
      </w:r>
      <w:r>
        <w:rPr>
          <w:rFonts w:hint="eastAsia"/>
          <w:color w:val="auto"/>
          <w:kern w:val="0"/>
          <w:highlight w:val="none"/>
        </w:rPr>
        <w:t>定</w:t>
      </w:r>
      <w:r>
        <w:rPr>
          <w:rFonts w:hint="eastAsia"/>
          <w:color w:val="auto"/>
          <w:spacing w:val="-2"/>
          <w:kern w:val="0"/>
          <w:highlight w:val="none"/>
        </w:rPr>
        <w:t>代</w:t>
      </w:r>
      <w:r>
        <w:rPr>
          <w:rFonts w:hint="eastAsia"/>
          <w:color w:val="auto"/>
          <w:kern w:val="0"/>
          <w:highlight w:val="none"/>
        </w:rPr>
        <w:t>表</w:t>
      </w:r>
      <w:r>
        <w:rPr>
          <w:rFonts w:hint="eastAsia"/>
          <w:color w:val="auto"/>
          <w:spacing w:val="-2"/>
          <w:kern w:val="0"/>
          <w:highlight w:val="none"/>
        </w:rPr>
        <w:t>人</w:t>
      </w:r>
      <w:r>
        <w:rPr>
          <w:rFonts w:hint="eastAsia"/>
          <w:color w:val="auto"/>
          <w:kern w:val="0"/>
          <w:highlight w:val="none"/>
        </w:rPr>
        <w:t>身</w:t>
      </w:r>
      <w:r>
        <w:rPr>
          <w:rFonts w:hint="eastAsia"/>
          <w:color w:val="auto"/>
          <w:spacing w:val="-2"/>
          <w:kern w:val="0"/>
          <w:highlight w:val="none"/>
        </w:rPr>
        <w:t>份</w:t>
      </w:r>
      <w:r>
        <w:rPr>
          <w:rFonts w:hint="eastAsia"/>
          <w:color w:val="auto"/>
          <w:kern w:val="0"/>
          <w:highlight w:val="none"/>
        </w:rPr>
        <w:t>证</w:t>
      </w:r>
      <w:r>
        <w:rPr>
          <w:rFonts w:hint="eastAsia"/>
          <w:color w:val="auto"/>
          <w:spacing w:val="-2"/>
          <w:kern w:val="0"/>
          <w:highlight w:val="none"/>
        </w:rPr>
        <w:t>复</w:t>
      </w:r>
      <w:r>
        <w:rPr>
          <w:rFonts w:hint="eastAsia"/>
          <w:color w:val="auto"/>
          <w:kern w:val="0"/>
          <w:highlight w:val="none"/>
        </w:rPr>
        <w:t>印件</w:t>
      </w:r>
      <w:r>
        <w:rPr>
          <w:rFonts w:hint="eastAsia"/>
          <w:color w:val="auto"/>
          <w:spacing w:val="-2"/>
          <w:kern w:val="0"/>
          <w:highlight w:val="none"/>
        </w:rPr>
        <w:t>及</w:t>
      </w:r>
      <w:r>
        <w:rPr>
          <w:rFonts w:hint="eastAsia"/>
          <w:color w:val="auto"/>
          <w:kern w:val="0"/>
          <w:highlight w:val="none"/>
        </w:rPr>
        <w:t>委</w:t>
      </w:r>
      <w:r>
        <w:rPr>
          <w:rFonts w:hint="eastAsia"/>
          <w:color w:val="auto"/>
          <w:spacing w:val="-2"/>
          <w:kern w:val="0"/>
          <w:highlight w:val="none"/>
        </w:rPr>
        <w:t>托</w:t>
      </w:r>
      <w:r>
        <w:rPr>
          <w:rFonts w:hint="eastAsia"/>
          <w:color w:val="auto"/>
          <w:kern w:val="0"/>
          <w:highlight w:val="none"/>
        </w:rPr>
        <w:t>代</w:t>
      </w:r>
      <w:r>
        <w:rPr>
          <w:rFonts w:hint="eastAsia"/>
          <w:color w:val="auto"/>
          <w:spacing w:val="-2"/>
          <w:kern w:val="0"/>
          <w:highlight w:val="none"/>
        </w:rPr>
        <w:t>理</w:t>
      </w:r>
      <w:r>
        <w:rPr>
          <w:rFonts w:hint="eastAsia"/>
          <w:color w:val="auto"/>
          <w:kern w:val="0"/>
          <w:highlight w:val="none"/>
        </w:rPr>
        <w:t>人</w:t>
      </w:r>
      <w:r>
        <w:rPr>
          <w:rFonts w:hint="eastAsia"/>
          <w:color w:val="auto"/>
          <w:spacing w:val="-2"/>
          <w:kern w:val="0"/>
          <w:highlight w:val="none"/>
        </w:rPr>
        <w:t>身</w:t>
      </w:r>
      <w:r>
        <w:rPr>
          <w:rFonts w:hint="eastAsia"/>
          <w:color w:val="auto"/>
          <w:kern w:val="0"/>
          <w:highlight w:val="none"/>
        </w:rPr>
        <w:t>份</w:t>
      </w:r>
      <w:r>
        <w:rPr>
          <w:rFonts w:hint="eastAsia"/>
          <w:color w:val="auto"/>
          <w:spacing w:val="-2"/>
          <w:kern w:val="0"/>
          <w:highlight w:val="none"/>
        </w:rPr>
        <w:t>证</w:t>
      </w:r>
      <w:r>
        <w:rPr>
          <w:rFonts w:hint="eastAsia"/>
          <w:color w:val="auto"/>
          <w:kern w:val="0"/>
          <w:highlight w:val="none"/>
        </w:rPr>
        <w:t>复印件</w:t>
      </w:r>
    </w:p>
    <w:p w14:paraId="37DB6807">
      <w:pPr>
        <w:spacing w:line="500" w:lineRule="exact"/>
        <w:rPr>
          <w:color w:val="auto"/>
          <w:highlight w:val="none"/>
        </w:rPr>
      </w:pPr>
    </w:p>
    <w:p w14:paraId="30AFB64B">
      <w:pPr>
        <w:spacing w:line="500" w:lineRule="exact"/>
        <w:rPr>
          <w:color w:val="auto"/>
          <w:highlight w:val="none"/>
        </w:rPr>
      </w:pPr>
    </w:p>
    <w:p w14:paraId="7F7A9C89">
      <w:pPr>
        <w:spacing w:line="480" w:lineRule="auto"/>
        <w:rPr>
          <w:color w:val="auto"/>
          <w:highlight w:val="none"/>
        </w:rPr>
      </w:pPr>
      <w:r>
        <w:rPr>
          <w:rFonts w:hint="eastAsia"/>
          <w:color w:val="auto"/>
          <w:highlight w:val="none"/>
        </w:rPr>
        <w:t>供应商：   （电子签章）</w:t>
      </w:r>
    </w:p>
    <w:p w14:paraId="6A71BD63">
      <w:pPr>
        <w:pStyle w:val="147"/>
        <w:spacing w:line="480" w:lineRule="auto"/>
        <w:rPr>
          <w:rFonts w:hAnsi="宋体"/>
          <w:color w:val="auto"/>
          <w:kern w:val="2"/>
          <w:sz w:val="21"/>
          <w:szCs w:val="21"/>
          <w:highlight w:val="none"/>
        </w:rPr>
      </w:pPr>
      <w:r>
        <w:rPr>
          <w:rFonts w:hint="eastAsia" w:hAnsi="宋体"/>
          <w:color w:val="auto"/>
          <w:kern w:val="2"/>
          <w:sz w:val="21"/>
          <w:szCs w:val="21"/>
          <w:highlight w:val="none"/>
        </w:rPr>
        <w:t>法定代表人： （签字或电子签章）</w:t>
      </w:r>
    </w:p>
    <w:p w14:paraId="5EADD078">
      <w:pPr>
        <w:pStyle w:val="147"/>
        <w:spacing w:line="480" w:lineRule="auto"/>
        <w:rPr>
          <w:rFonts w:hAnsi="宋体"/>
          <w:color w:val="auto"/>
          <w:kern w:val="2"/>
          <w:sz w:val="21"/>
          <w:szCs w:val="21"/>
          <w:highlight w:val="none"/>
        </w:rPr>
      </w:pPr>
      <w:r>
        <w:rPr>
          <w:rFonts w:hint="eastAsia" w:hAnsi="宋体"/>
          <w:color w:val="auto"/>
          <w:kern w:val="2"/>
          <w:sz w:val="21"/>
          <w:szCs w:val="21"/>
          <w:highlight w:val="none"/>
        </w:rPr>
        <w:t>身份证号：</w:t>
      </w:r>
    </w:p>
    <w:p w14:paraId="51335C5B">
      <w:pPr>
        <w:spacing w:line="480" w:lineRule="auto"/>
        <w:rPr>
          <w:color w:val="auto"/>
          <w:highlight w:val="none"/>
        </w:rPr>
      </w:pPr>
      <w:r>
        <w:rPr>
          <w:rFonts w:hint="eastAsia"/>
          <w:color w:val="auto"/>
          <w:highlight w:val="none"/>
        </w:rPr>
        <w:t>委托代理人：  （签字或电子签章）</w:t>
      </w:r>
    </w:p>
    <w:p w14:paraId="1624DA57">
      <w:pPr>
        <w:pStyle w:val="147"/>
        <w:spacing w:line="480" w:lineRule="auto"/>
        <w:rPr>
          <w:rFonts w:hAnsi="宋体"/>
          <w:color w:val="auto"/>
          <w:kern w:val="2"/>
          <w:sz w:val="21"/>
          <w:szCs w:val="21"/>
          <w:highlight w:val="none"/>
        </w:rPr>
      </w:pPr>
      <w:r>
        <w:rPr>
          <w:rFonts w:hint="eastAsia" w:hAnsi="宋体"/>
          <w:color w:val="auto"/>
          <w:kern w:val="2"/>
          <w:sz w:val="21"/>
          <w:szCs w:val="21"/>
          <w:highlight w:val="none"/>
        </w:rPr>
        <w:t>身份证号：</w:t>
      </w:r>
    </w:p>
    <w:p w14:paraId="49F9C3B0">
      <w:pPr>
        <w:spacing w:line="360" w:lineRule="auto"/>
        <w:rPr>
          <w:color w:val="auto"/>
          <w:highlight w:val="none"/>
        </w:rPr>
      </w:pPr>
    </w:p>
    <w:p w14:paraId="4956F591">
      <w:pPr>
        <w:tabs>
          <w:tab w:val="left" w:pos="5380"/>
          <w:tab w:val="left" w:pos="6520"/>
          <w:tab w:val="left" w:pos="7680"/>
        </w:tabs>
        <w:autoSpaceDE w:val="0"/>
        <w:autoSpaceDN w:val="0"/>
        <w:adjustRightInd w:val="0"/>
        <w:spacing w:line="360" w:lineRule="auto"/>
        <w:ind w:right="-20" w:firstLine="1050" w:firstLineChars="500"/>
        <w:jc w:val="left"/>
        <w:rPr>
          <w:color w:val="auto"/>
          <w:kern w:val="0"/>
          <w:highlight w:val="none"/>
        </w:rPr>
      </w:pPr>
      <w:r>
        <w:rPr>
          <w:rFonts w:hint="eastAsia"/>
          <w:color w:val="auto"/>
          <w:kern w:val="0"/>
          <w:highlight w:val="none"/>
        </w:rPr>
        <w:t>年  月  日</w:t>
      </w:r>
    </w:p>
    <w:p w14:paraId="791E922C">
      <w:pPr>
        <w:spacing w:line="500" w:lineRule="exact"/>
        <w:rPr>
          <w:color w:val="auto"/>
          <w:highlight w:val="none"/>
        </w:rPr>
      </w:pPr>
    </w:p>
    <w:p w14:paraId="00083BAB">
      <w:pPr>
        <w:spacing w:line="360" w:lineRule="auto"/>
        <w:jc w:val="center"/>
        <w:outlineLvl w:val="1"/>
        <w:rPr>
          <w:rFonts w:cs="Times New Roman"/>
          <w:bCs/>
          <w:color w:val="auto"/>
          <w:szCs w:val="24"/>
          <w:highlight w:val="none"/>
        </w:rPr>
      </w:pPr>
      <w:r>
        <w:rPr>
          <w:rFonts w:hint="eastAsia" w:cs="黑体"/>
          <w:b/>
          <w:color w:val="auto"/>
          <w:sz w:val="28"/>
          <w:szCs w:val="28"/>
          <w:highlight w:val="none"/>
        </w:rPr>
        <w:br w:type="page"/>
      </w:r>
      <w:bookmarkStart w:id="1048" w:name="_Toc76134520"/>
      <w:bookmarkStart w:id="1049" w:name="_Toc20616"/>
      <w:bookmarkStart w:id="1050" w:name="_Toc24084"/>
      <w:bookmarkStart w:id="1051" w:name="_Toc23498"/>
      <w:bookmarkStart w:id="1052" w:name="_Toc65662080"/>
      <w:bookmarkStart w:id="1053" w:name="_Toc265572092"/>
      <w:r>
        <w:rPr>
          <w:rFonts w:hint="eastAsia" w:cs="黑体"/>
          <w:b/>
          <w:color w:val="auto"/>
          <w:sz w:val="28"/>
          <w:szCs w:val="28"/>
          <w:highlight w:val="none"/>
        </w:rPr>
        <w:t>三、</w:t>
      </w:r>
      <w:r>
        <w:rPr>
          <w:rFonts w:hint="eastAsia" w:cs="Times New Roman"/>
          <w:b/>
          <w:color w:val="auto"/>
          <w:sz w:val="24"/>
          <w:szCs w:val="24"/>
          <w:highlight w:val="none"/>
        </w:rPr>
        <w:t>响应承诺函</w:t>
      </w:r>
      <w:bookmarkEnd w:id="1048"/>
      <w:bookmarkEnd w:id="1049"/>
      <w:bookmarkEnd w:id="1050"/>
      <w:bookmarkEnd w:id="1051"/>
      <w:bookmarkEnd w:id="1052"/>
    </w:p>
    <w:p w14:paraId="0A8CCC1D">
      <w:pPr>
        <w:wordWrap/>
        <w:topLinePunct w:val="0"/>
        <w:spacing w:line="360" w:lineRule="auto"/>
        <w:rPr>
          <w:color w:val="auto"/>
          <w:highlight w:val="none"/>
        </w:rPr>
      </w:pPr>
      <w:r>
        <w:rPr>
          <w:rFonts w:hint="eastAsia"/>
          <w:color w:val="auto"/>
          <w:highlight w:val="none"/>
        </w:rPr>
        <w:t>（采购人或采购代理机构）：</w:t>
      </w:r>
    </w:p>
    <w:p w14:paraId="547E2D87">
      <w:pPr>
        <w:pStyle w:val="147"/>
        <w:spacing w:line="360" w:lineRule="auto"/>
        <w:ind w:firstLine="420" w:firstLineChars="200"/>
        <w:rPr>
          <w:color w:val="auto"/>
          <w:sz w:val="21"/>
          <w:szCs w:val="21"/>
          <w:highlight w:val="none"/>
        </w:rPr>
      </w:pPr>
      <w:r>
        <w:rPr>
          <w:rFonts w:hint="eastAsia"/>
          <w:color w:val="auto"/>
          <w:sz w:val="21"/>
          <w:szCs w:val="21"/>
          <w:highlight w:val="none"/>
        </w:rPr>
        <w:t>我单位在此郑重承诺,如有以下情形之一的：</w:t>
      </w:r>
    </w:p>
    <w:p w14:paraId="408B4FE8">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在竞争性磋商文件规定的磋商有效期内撤回投标；</w:t>
      </w:r>
    </w:p>
    <w:p w14:paraId="2205C9D8">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在响应文件中提供虚假材料；</w:t>
      </w:r>
    </w:p>
    <w:p w14:paraId="5E3CFBE2">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成交后无正当理由不与采购人或者采购代理机构签订合同；</w:t>
      </w:r>
    </w:p>
    <w:p w14:paraId="2DA63495">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未能按竞争性磋商文件规定提交履约保证金；</w:t>
      </w:r>
    </w:p>
    <w:p w14:paraId="69923CA4">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将成交项目转让给他人，或者在响应文件中未说明，且未经采购人同意，将成交项目分包给他人的；</w:t>
      </w:r>
    </w:p>
    <w:p w14:paraId="4EA4D689">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拒绝履行合同义务；</w:t>
      </w:r>
    </w:p>
    <w:p w14:paraId="210CBB7D">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与采购人、其他供应商或者采购代理机构恶意串通；</w:t>
      </w:r>
    </w:p>
    <w:p w14:paraId="5261E728">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在履约过程中未按竞争性磋商文件、响应文件、生效的政府采购合同等约定,提供货物、工程和服务；</w:t>
      </w:r>
    </w:p>
    <w:p w14:paraId="59F4AAB7">
      <w:pPr>
        <w:numPr>
          <w:ilvl w:val="0"/>
          <w:numId w:val="23"/>
        </w:numPr>
        <w:wordWrap/>
        <w:topLinePunct w:val="0"/>
        <w:autoSpaceDE w:val="0"/>
        <w:autoSpaceDN w:val="0"/>
        <w:adjustRightInd w:val="0"/>
        <w:spacing w:line="360" w:lineRule="auto"/>
        <w:ind w:left="0" w:right="40" w:firstLine="420" w:firstLineChars="200"/>
        <w:jc w:val="left"/>
        <w:rPr>
          <w:rFonts w:cs="微软雅黑"/>
          <w:color w:val="auto"/>
          <w:kern w:val="0"/>
          <w:highlight w:val="none"/>
        </w:rPr>
      </w:pPr>
      <w:r>
        <w:rPr>
          <w:rFonts w:hint="eastAsia" w:cs="微软雅黑"/>
          <w:color w:val="auto"/>
          <w:kern w:val="0"/>
          <w:highlight w:val="none"/>
        </w:rPr>
        <w:t>未按竞争性磋商文件规定缴纳招标代理服务费；</w:t>
      </w:r>
    </w:p>
    <w:p w14:paraId="3088BC88">
      <w:pPr>
        <w:wordWrap/>
        <w:topLinePunct w:val="0"/>
        <w:autoSpaceDE w:val="0"/>
        <w:autoSpaceDN w:val="0"/>
        <w:adjustRightInd w:val="0"/>
        <w:spacing w:line="360" w:lineRule="auto"/>
        <w:ind w:left="420" w:leftChars="200" w:right="40"/>
        <w:jc w:val="left"/>
        <w:rPr>
          <w:rFonts w:cs="微软雅黑"/>
          <w:color w:val="auto"/>
          <w:kern w:val="0"/>
          <w:highlight w:val="none"/>
        </w:rPr>
      </w:pPr>
      <w:r>
        <w:rPr>
          <w:rFonts w:hint="eastAsia" w:cs="微软雅黑"/>
          <w:color w:val="auto"/>
          <w:kern w:val="0"/>
          <w:highlight w:val="none"/>
        </w:rPr>
        <w:t>（10）存在其他违法违规行为。</w:t>
      </w:r>
    </w:p>
    <w:p w14:paraId="564E7D06">
      <w:pPr>
        <w:wordWrap/>
        <w:topLinePunct w:val="0"/>
        <w:autoSpaceDE w:val="0"/>
        <w:autoSpaceDN w:val="0"/>
        <w:adjustRightInd w:val="0"/>
        <w:spacing w:line="360" w:lineRule="auto"/>
        <w:ind w:right="40" w:firstLine="420" w:firstLineChars="200"/>
        <w:jc w:val="left"/>
        <w:rPr>
          <w:color w:val="auto"/>
          <w:highlight w:val="none"/>
        </w:rPr>
      </w:pPr>
      <w:r>
        <w:rPr>
          <w:rFonts w:hint="eastAsia" w:cs="微软雅黑"/>
          <w:color w:val="auto"/>
          <w:kern w:val="0"/>
          <w:highlight w:val="none"/>
        </w:rPr>
        <w:t>我单位</w:t>
      </w:r>
      <w:r>
        <w:rPr>
          <w:rFonts w:hint="eastAsia"/>
          <w:color w:val="auto"/>
          <w:highlight w:val="none"/>
        </w:rPr>
        <w:t>自愿接受被处以成交无效，采购金额千分之五以上千分之十以下的罚款并赔偿采购人及采购代理机构的损失</w:t>
      </w:r>
      <w:r>
        <w:rPr>
          <w:rFonts w:hint="eastAsia" w:cs="微软雅黑"/>
          <w:color w:val="auto"/>
          <w:kern w:val="0"/>
          <w:highlight w:val="none"/>
        </w:rPr>
        <w:t>，</w:t>
      </w:r>
      <w:r>
        <w:rPr>
          <w:rFonts w:hint="eastAsia"/>
          <w:color w:val="auto"/>
          <w:highlight w:val="none"/>
        </w:rPr>
        <w:t>列入不良行为记录名单</w:t>
      </w:r>
      <w:r>
        <w:rPr>
          <w:rFonts w:hint="eastAsia" w:cs="微软雅黑"/>
          <w:color w:val="auto"/>
          <w:kern w:val="0"/>
          <w:highlight w:val="none"/>
        </w:rPr>
        <w:t>，</w:t>
      </w:r>
      <w:r>
        <w:rPr>
          <w:rFonts w:hint="eastAsia"/>
          <w:color w:val="auto"/>
          <w:highlight w:val="none"/>
        </w:rPr>
        <w:t>在一至三年内禁止参加政府采购活动</w:t>
      </w:r>
      <w:r>
        <w:rPr>
          <w:rFonts w:hint="eastAsia" w:cs="微软雅黑"/>
          <w:color w:val="auto"/>
          <w:kern w:val="0"/>
          <w:highlight w:val="none"/>
        </w:rPr>
        <w:t>，</w:t>
      </w:r>
      <w:r>
        <w:rPr>
          <w:rFonts w:hint="eastAsia"/>
          <w:color w:val="auto"/>
          <w:highlight w:val="none"/>
        </w:rPr>
        <w:t>有违法所得的</w:t>
      </w:r>
      <w:r>
        <w:rPr>
          <w:rFonts w:hint="eastAsia" w:cs="微软雅黑"/>
          <w:color w:val="auto"/>
          <w:kern w:val="0"/>
          <w:highlight w:val="none"/>
        </w:rPr>
        <w:t>，</w:t>
      </w:r>
      <w:r>
        <w:rPr>
          <w:rFonts w:hint="eastAsia"/>
          <w:color w:val="auto"/>
          <w:highlight w:val="none"/>
        </w:rPr>
        <w:t>并处没收违法所得，情节严重的，由市场监督管理部门吊销营业执照；构成犯罪的，依法追究刑事责任。</w:t>
      </w:r>
    </w:p>
    <w:p w14:paraId="7E05E996">
      <w:pPr>
        <w:pStyle w:val="147"/>
        <w:rPr>
          <w:color w:val="auto"/>
          <w:sz w:val="21"/>
          <w:szCs w:val="21"/>
          <w:highlight w:val="none"/>
        </w:rPr>
      </w:pPr>
    </w:p>
    <w:p w14:paraId="475C3219">
      <w:pPr>
        <w:pStyle w:val="147"/>
        <w:rPr>
          <w:color w:val="auto"/>
          <w:highlight w:val="none"/>
        </w:rPr>
      </w:pPr>
    </w:p>
    <w:p w14:paraId="0C7BC7AC">
      <w:pPr>
        <w:pStyle w:val="147"/>
        <w:rPr>
          <w:rFonts w:hAnsi="宋体" w:cs="微软雅黑"/>
          <w:color w:val="auto"/>
          <w:sz w:val="21"/>
          <w:szCs w:val="21"/>
          <w:highlight w:val="none"/>
        </w:rPr>
      </w:pPr>
    </w:p>
    <w:p w14:paraId="36040BA3">
      <w:pPr>
        <w:spacing w:line="480" w:lineRule="exact"/>
        <w:rPr>
          <w:bCs/>
          <w:color w:val="auto"/>
          <w:highlight w:val="none"/>
        </w:rPr>
      </w:pPr>
      <w:r>
        <w:rPr>
          <w:rFonts w:hint="eastAsia" w:cs="微软雅黑"/>
          <w:color w:val="auto"/>
          <w:kern w:val="0"/>
          <w:highlight w:val="none"/>
        </w:rPr>
        <w:t>供 应 商</w:t>
      </w:r>
      <w:r>
        <w:rPr>
          <w:rFonts w:hint="eastAsia"/>
          <w:bCs/>
          <w:color w:val="auto"/>
          <w:highlight w:val="none"/>
        </w:rPr>
        <w:t>：（电子签章）</w:t>
      </w:r>
    </w:p>
    <w:p w14:paraId="732CCBED">
      <w:pPr>
        <w:spacing w:line="480" w:lineRule="exact"/>
        <w:rPr>
          <w:bCs/>
          <w:color w:val="auto"/>
          <w:highlight w:val="none"/>
        </w:rPr>
      </w:pPr>
      <w:r>
        <w:rPr>
          <w:rFonts w:hint="eastAsia"/>
          <w:bCs/>
          <w:color w:val="auto"/>
          <w:highlight w:val="none"/>
        </w:rPr>
        <w:t>法定代表人或其委托代理人：（签字或电子签章）</w:t>
      </w:r>
    </w:p>
    <w:p w14:paraId="5FD302EE">
      <w:pPr>
        <w:tabs>
          <w:tab w:val="left" w:pos="5380"/>
          <w:tab w:val="left" w:pos="6520"/>
          <w:tab w:val="left" w:pos="7680"/>
        </w:tabs>
        <w:wordWrap/>
        <w:topLinePunct w:val="0"/>
        <w:autoSpaceDE w:val="0"/>
        <w:autoSpaceDN w:val="0"/>
        <w:adjustRightInd w:val="0"/>
        <w:spacing w:line="380" w:lineRule="exact"/>
        <w:ind w:right="-23" w:firstLine="1260" w:firstLineChars="600"/>
        <w:jc w:val="left"/>
        <w:rPr>
          <w:bCs/>
          <w:color w:val="auto"/>
          <w:kern w:val="0"/>
          <w:highlight w:val="none"/>
        </w:rPr>
      </w:pPr>
      <w:r>
        <w:rPr>
          <w:rFonts w:hint="eastAsia"/>
          <w:bCs/>
          <w:color w:val="auto"/>
          <w:kern w:val="0"/>
          <w:highlight w:val="none"/>
        </w:rPr>
        <w:t>年  月  日</w:t>
      </w:r>
    </w:p>
    <w:p w14:paraId="315CFD1C">
      <w:pPr>
        <w:pStyle w:val="3"/>
        <w:tabs>
          <w:tab w:val="left" w:pos="840"/>
        </w:tabs>
        <w:spacing w:line="360" w:lineRule="auto"/>
        <w:jc w:val="both"/>
        <w:rPr>
          <w:color w:val="auto"/>
          <w:highlight w:val="none"/>
        </w:rPr>
        <w:sectPr>
          <w:pgSz w:w="11906" w:h="16838"/>
          <w:pgMar w:top="1304" w:right="1797" w:bottom="1304" w:left="1797" w:header="851" w:footer="754" w:gutter="0"/>
          <w:cols w:space="720" w:num="1"/>
          <w:docGrid w:type="lines" w:linePitch="312" w:charSpace="0"/>
        </w:sectPr>
      </w:pPr>
    </w:p>
    <w:p w14:paraId="3F562C3D">
      <w:pPr>
        <w:spacing w:line="360" w:lineRule="auto"/>
        <w:jc w:val="center"/>
        <w:outlineLvl w:val="1"/>
        <w:rPr>
          <w:color w:val="auto"/>
          <w:sz w:val="24"/>
          <w:szCs w:val="24"/>
          <w:highlight w:val="none"/>
        </w:rPr>
      </w:pPr>
      <w:bookmarkStart w:id="1054" w:name="_Toc30913"/>
      <w:bookmarkStart w:id="1055" w:name="_Toc23348"/>
      <w:bookmarkStart w:id="1056" w:name="_Toc3701"/>
      <w:bookmarkStart w:id="1057" w:name="_Toc7605"/>
      <w:bookmarkStart w:id="1058" w:name="_Toc76134522"/>
      <w:bookmarkStart w:id="1059" w:name="_Toc65662082"/>
      <w:bookmarkStart w:id="1060" w:name="_Toc22029"/>
      <w:r>
        <w:rPr>
          <w:rFonts w:hint="eastAsia" w:cs="Times New Roman"/>
          <w:b/>
          <w:color w:val="auto"/>
          <w:sz w:val="24"/>
          <w:szCs w:val="24"/>
          <w:highlight w:val="none"/>
        </w:rPr>
        <w:t>四</w:t>
      </w:r>
      <w:r>
        <w:rPr>
          <w:rFonts w:hint="eastAsia" w:cs="Times New Roman"/>
          <w:b/>
          <w:color w:val="auto"/>
          <w:sz w:val="24"/>
          <w:szCs w:val="24"/>
          <w:highlight w:val="none"/>
          <w:lang w:val="zh-CN"/>
        </w:rPr>
        <w:t>、供应商资格证明文件</w:t>
      </w:r>
      <w:bookmarkEnd w:id="1054"/>
      <w:bookmarkEnd w:id="1055"/>
      <w:bookmarkEnd w:id="1056"/>
      <w:bookmarkEnd w:id="1057"/>
      <w:bookmarkEnd w:id="1058"/>
      <w:bookmarkEnd w:id="1059"/>
      <w:bookmarkEnd w:id="1060"/>
    </w:p>
    <w:p w14:paraId="5B2BA40D">
      <w:pPr>
        <w:autoSpaceDE w:val="0"/>
        <w:autoSpaceDN w:val="0"/>
        <w:adjustRightInd w:val="0"/>
        <w:spacing w:line="360" w:lineRule="auto"/>
        <w:jc w:val="left"/>
        <w:rPr>
          <w:color w:val="auto"/>
          <w:sz w:val="24"/>
          <w:highlight w:val="none"/>
        </w:rPr>
      </w:pPr>
      <w:r>
        <w:rPr>
          <w:rFonts w:hint="eastAsia"/>
          <w:color w:val="auto"/>
          <w:kern w:val="0"/>
          <w:sz w:val="28"/>
          <w:szCs w:val="28"/>
          <w:highlight w:val="none"/>
        </w:rPr>
        <w:t>（一）供应商基本情况表（以下格式仅供参考）</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2661"/>
        <w:gridCol w:w="1331"/>
        <w:gridCol w:w="2662"/>
      </w:tblGrid>
      <w:tr w14:paraId="145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52" w:type="dxa"/>
            <w:noWrap/>
            <w:vAlign w:val="center"/>
          </w:tcPr>
          <w:p w14:paraId="5CE056C0">
            <w:pPr>
              <w:autoSpaceDE w:val="0"/>
              <w:autoSpaceDN w:val="0"/>
              <w:adjustRightInd w:val="0"/>
              <w:spacing w:line="360" w:lineRule="auto"/>
              <w:jc w:val="center"/>
              <w:rPr>
                <w:color w:val="auto"/>
                <w:kern w:val="0"/>
                <w:sz w:val="24"/>
                <w:highlight w:val="none"/>
              </w:rPr>
            </w:pPr>
            <w:r>
              <w:rPr>
                <w:rFonts w:hint="eastAsia"/>
                <w:color w:val="auto"/>
                <w:kern w:val="0"/>
                <w:highlight w:val="none"/>
              </w:rPr>
              <w:t>供应商名称</w:t>
            </w:r>
          </w:p>
        </w:tc>
        <w:tc>
          <w:tcPr>
            <w:tcW w:w="7761" w:type="dxa"/>
            <w:gridSpan w:val="4"/>
            <w:noWrap/>
            <w:vAlign w:val="center"/>
          </w:tcPr>
          <w:p w14:paraId="7C61D2F4">
            <w:pPr>
              <w:autoSpaceDE w:val="0"/>
              <w:autoSpaceDN w:val="0"/>
              <w:adjustRightInd w:val="0"/>
              <w:spacing w:line="360" w:lineRule="auto"/>
              <w:jc w:val="center"/>
              <w:rPr>
                <w:color w:val="auto"/>
                <w:kern w:val="0"/>
                <w:sz w:val="24"/>
                <w:highlight w:val="none"/>
              </w:rPr>
            </w:pPr>
          </w:p>
        </w:tc>
      </w:tr>
      <w:tr w14:paraId="617A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52" w:type="dxa"/>
            <w:noWrap/>
            <w:vAlign w:val="center"/>
          </w:tcPr>
          <w:p w14:paraId="3B7C21D8">
            <w:pPr>
              <w:autoSpaceDE w:val="0"/>
              <w:autoSpaceDN w:val="0"/>
              <w:adjustRightInd w:val="0"/>
              <w:spacing w:line="360" w:lineRule="auto"/>
              <w:jc w:val="center"/>
              <w:rPr>
                <w:color w:val="auto"/>
                <w:kern w:val="0"/>
                <w:sz w:val="24"/>
                <w:highlight w:val="none"/>
              </w:rPr>
            </w:pPr>
            <w:r>
              <w:rPr>
                <w:rFonts w:hint="eastAsia"/>
                <w:color w:val="auto"/>
                <w:kern w:val="0"/>
                <w:highlight w:val="none"/>
              </w:rPr>
              <w:t>注册地址</w:t>
            </w:r>
          </w:p>
        </w:tc>
        <w:tc>
          <w:tcPr>
            <w:tcW w:w="3768" w:type="dxa"/>
            <w:gridSpan w:val="2"/>
            <w:noWrap/>
            <w:vAlign w:val="center"/>
          </w:tcPr>
          <w:p w14:paraId="67ED1969">
            <w:pPr>
              <w:autoSpaceDE w:val="0"/>
              <w:autoSpaceDN w:val="0"/>
              <w:adjustRightInd w:val="0"/>
              <w:spacing w:line="360" w:lineRule="auto"/>
              <w:jc w:val="center"/>
              <w:rPr>
                <w:color w:val="auto"/>
                <w:kern w:val="0"/>
                <w:sz w:val="24"/>
                <w:highlight w:val="none"/>
              </w:rPr>
            </w:pPr>
          </w:p>
        </w:tc>
        <w:tc>
          <w:tcPr>
            <w:tcW w:w="1331" w:type="dxa"/>
            <w:noWrap/>
            <w:vAlign w:val="center"/>
          </w:tcPr>
          <w:p w14:paraId="614478E1">
            <w:pPr>
              <w:autoSpaceDE w:val="0"/>
              <w:autoSpaceDN w:val="0"/>
              <w:adjustRightInd w:val="0"/>
              <w:spacing w:line="360" w:lineRule="auto"/>
              <w:jc w:val="center"/>
              <w:rPr>
                <w:color w:val="auto"/>
                <w:kern w:val="0"/>
                <w:sz w:val="24"/>
                <w:highlight w:val="none"/>
              </w:rPr>
            </w:pPr>
            <w:r>
              <w:rPr>
                <w:rFonts w:hint="eastAsia"/>
                <w:color w:val="auto"/>
                <w:kern w:val="0"/>
                <w:highlight w:val="none"/>
              </w:rPr>
              <w:t>邮政编码</w:t>
            </w:r>
          </w:p>
        </w:tc>
        <w:tc>
          <w:tcPr>
            <w:tcW w:w="2662" w:type="dxa"/>
            <w:noWrap/>
            <w:vAlign w:val="center"/>
          </w:tcPr>
          <w:p w14:paraId="4A68D553">
            <w:pPr>
              <w:autoSpaceDE w:val="0"/>
              <w:autoSpaceDN w:val="0"/>
              <w:adjustRightInd w:val="0"/>
              <w:spacing w:line="360" w:lineRule="auto"/>
              <w:jc w:val="center"/>
              <w:rPr>
                <w:color w:val="auto"/>
                <w:kern w:val="0"/>
                <w:sz w:val="24"/>
                <w:highlight w:val="none"/>
              </w:rPr>
            </w:pPr>
          </w:p>
        </w:tc>
      </w:tr>
      <w:tr w14:paraId="0D25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552" w:type="dxa"/>
            <w:vMerge w:val="restart"/>
            <w:noWrap/>
            <w:vAlign w:val="center"/>
          </w:tcPr>
          <w:p w14:paraId="0968C901">
            <w:pPr>
              <w:autoSpaceDE w:val="0"/>
              <w:autoSpaceDN w:val="0"/>
              <w:adjustRightInd w:val="0"/>
              <w:spacing w:line="360" w:lineRule="auto"/>
              <w:jc w:val="center"/>
              <w:rPr>
                <w:color w:val="auto"/>
                <w:kern w:val="0"/>
                <w:sz w:val="24"/>
                <w:highlight w:val="none"/>
              </w:rPr>
            </w:pPr>
            <w:r>
              <w:rPr>
                <w:rFonts w:hint="eastAsia"/>
                <w:color w:val="auto"/>
                <w:kern w:val="0"/>
                <w:highlight w:val="none"/>
              </w:rPr>
              <w:t>联系方式</w:t>
            </w:r>
          </w:p>
        </w:tc>
        <w:tc>
          <w:tcPr>
            <w:tcW w:w="1107" w:type="dxa"/>
            <w:noWrap/>
            <w:vAlign w:val="center"/>
          </w:tcPr>
          <w:p w14:paraId="61ED2826">
            <w:pPr>
              <w:autoSpaceDE w:val="0"/>
              <w:autoSpaceDN w:val="0"/>
              <w:adjustRightInd w:val="0"/>
              <w:spacing w:line="360" w:lineRule="auto"/>
              <w:jc w:val="center"/>
              <w:rPr>
                <w:color w:val="auto"/>
                <w:kern w:val="0"/>
                <w:sz w:val="24"/>
                <w:highlight w:val="none"/>
              </w:rPr>
            </w:pPr>
            <w:r>
              <w:rPr>
                <w:rFonts w:hint="eastAsia"/>
                <w:color w:val="auto"/>
                <w:kern w:val="0"/>
                <w:highlight w:val="none"/>
              </w:rPr>
              <w:t>联系人</w:t>
            </w:r>
          </w:p>
        </w:tc>
        <w:tc>
          <w:tcPr>
            <w:tcW w:w="2661" w:type="dxa"/>
            <w:noWrap/>
            <w:vAlign w:val="center"/>
          </w:tcPr>
          <w:p w14:paraId="00167BAE">
            <w:pPr>
              <w:autoSpaceDE w:val="0"/>
              <w:autoSpaceDN w:val="0"/>
              <w:adjustRightInd w:val="0"/>
              <w:spacing w:line="360" w:lineRule="auto"/>
              <w:jc w:val="center"/>
              <w:rPr>
                <w:color w:val="auto"/>
                <w:kern w:val="0"/>
                <w:sz w:val="24"/>
                <w:highlight w:val="none"/>
              </w:rPr>
            </w:pPr>
          </w:p>
        </w:tc>
        <w:tc>
          <w:tcPr>
            <w:tcW w:w="1331" w:type="dxa"/>
            <w:noWrap/>
            <w:vAlign w:val="center"/>
          </w:tcPr>
          <w:p w14:paraId="19F07DCA">
            <w:pPr>
              <w:autoSpaceDE w:val="0"/>
              <w:autoSpaceDN w:val="0"/>
              <w:adjustRightInd w:val="0"/>
              <w:spacing w:line="360" w:lineRule="auto"/>
              <w:jc w:val="center"/>
              <w:rPr>
                <w:color w:val="auto"/>
                <w:kern w:val="0"/>
                <w:sz w:val="24"/>
                <w:highlight w:val="none"/>
              </w:rPr>
            </w:pPr>
            <w:r>
              <w:rPr>
                <w:rFonts w:hint="eastAsia"/>
                <w:color w:val="auto"/>
                <w:kern w:val="0"/>
                <w:highlight w:val="none"/>
              </w:rPr>
              <w:t>电 话</w:t>
            </w:r>
          </w:p>
        </w:tc>
        <w:tc>
          <w:tcPr>
            <w:tcW w:w="2662" w:type="dxa"/>
            <w:noWrap/>
            <w:vAlign w:val="center"/>
          </w:tcPr>
          <w:p w14:paraId="069B124E">
            <w:pPr>
              <w:autoSpaceDE w:val="0"/>
              <w:autoSpaceDN w:val="0"/>
              <w:adjustRightInd w:val="0"/>
              <w:spacing w:line="360" w:lineRule="auto"/>
              <w:jc w:val="center"/>
              <w:rPr>
                <w:color w:val="auto"/>
                <w:kern w:val="0"/>
                <w:sz w:val="24"/>
                <w:highlight w:val="none"/>
              </w:rPr>
            </w:pPr>
          </w:p>
        </w:tc>
      </w:tr>
      <w:tr w14:paraId="01BF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552" w:type="dxa"/>
            <w:vMerge w:val="continue"/>
            <w:noWrap/>
            <w:vAlign w:val="center"/>
          </w:tcPr>
          <w:p w14:paraId="7C1774F1">
            <w:pPr>
              <w:autoSpaceDE w:val="0"/>
              <w:autoSpaceDN w:val="0"/>
              <w:adjustRightInd w:val="0"/>
              <w:spacing w:line="360" w:lineRule="auto"/>
              <w:jc w:val="center"/>
              <w:rPr>
                <w:color w:val="auto"/>
                <w:kern w:val="0"/>
                <w:sz w:val="24"/>
                <w:highlight w:val="none"/>
              </w:rPr>
            </w:pPr>
          </w:p>
        </w:tc>
        <w:tc>
          <w:tcPr>
            <w:tcW w:w="1107" w:type="dxa"/>
            <w:noWrap/>
            <w:vAlign w:val="center"/>
          </w:tcPr>
          <w:p w14:paraId="16BFD0E2">
            <w:pPr>
              <w:autoSpaceDE w:val="0"/>
              <w:autoSpaceDN w:val="0"/>
              <w:adjustRightInd w:val="0"/>
              <w:spacing w:line="360" w:lineRule="auto"/>
              <w:jc w:val="center"/>
              <w:rPr>
                <w:color w:val="auto"/>
                <w:kern w:val="0"/>
                <w:sz w:val="24"/>
                <w:highlight w:val="none"/>
              </w:rPr>
            </w:pPr>
            <w:r>
              <w:rPr>
                <w:rFonts w:hint="eastAsia"/>
                <w:color w:val="auto"/>
                <w:kern w:val="0"/>
                <w:highlight w:val="none"/>
              </w:rPr>
              <w:t>传  真</w:t>
            </w:r>
          </w:p>
        </w:tc>
        <w:tc>
          <w:tcPr>
            <w:tcW w:w="2661" w:type="dxa"/>
            <w:noWrap/>
            <w:vAlign w:val="center"/>
          </w:tcPr>
          <w:p w14:paraId="6249215E">
            <w:pPr>
              <w:autoSpaceDE w:val="0"/>
              <w:autoSpaceDN w:val="0"/>
              <w:adjustRightInd w:val="0"/>
              <w:spacing w:line="360" w:lineRule="auto"/>
              <w:jc w:val="center"/>
              <w:rPr>
                <w:color w:val="auto"/>
                <w:kern w:val="0"/>
                <w:sz w:val="24"/>
                <w:highlight w:val="none"/>
              </w:rPr>
            </w:pPr>
          </w:p>
        </w:tc>
        <w:tc>
          <w:tcPr>
            <w:tcW w:w="1331" w:type="dxa"/>
            <w:noWrap/>
            <w:vAlign w:val="center"/>
          </w:tcPr>
          <w:p w14:paraId="5D6ECECD">
            <w:pPr>
              <w:autoSpaceDE w:val="0"/>
              <w:autoSpaceDN w:val="0"/>
              <w:adjustRightInd w:val="0"/>
              <w:spacing w:line="360" w:lineRule="auto"/>
              <w:jc w:val="center"/>
              <w:rPr>
                <w:color w:val="auto"/>
                <w:kern w:val="0"/>
                <w:sz w:val="24"/>
                <w:highlight w:val="none"/>
              </w:rPr>
            </w:pPr>
            <w:r>
              <w:rPr>
                <w:rFonts w:hint="eastAsia"/>
                <w:color w:val="auto"/>
                <w:kern w:val="0"/>
                <w:highlight w:val="none"/>
              </w:rPr>
              <w:t>网 址</w:t>
            </w:r>
          </w:p>
        </w:tc>
        <w:tc>
          <w:tcPr>
            <w:tcW w:w="2662" w:type="dxa"/>
            <w:noWrap/>
            <w:vAlign w:val="center"/>
          </w:tcPr>
          <w:p w14:paraId="6A9FAA40">
            <w:pPr>
              <w:autoSpaceDE w:val="0"/>
              <w:autoSpaceDN w:val="0"/>
              <w:adjustRightInd w:val="0"/>
              <w:spacing w:line="360" w:lineRule="auto"/>
              <w:jc w:val="center"/>
              <w:rPr>
                <w:color w:val="auto"/>
                <w:kern w:val="0"/>
                <w:sz w:val="24"/>
                <w:highlight w:val="none"/>
              </w:rPr>
            </w:pPr>
          </w:p>
        </w:tc>
      </w:tr>
      <w:tr w14:paraId="240B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52" w:type="dxa"/>
            <w:noWrap/>
            <w:vAlign w:val="center"/>
          </w:tcPr>
          <w:p w14:paraId="0417D12C">
            <w:pPr>
              <w:autoSpaceDE w:val="0"/>
              <w:autoSpaceDN w:val="0"/>
              <w:adjustRightInd w:val="0"/>
              <w:spacing w:line="360" w:lineRule="auto"/>
              <w:jc w:val="center"/>
              <w:rPr>
                <w:color w:val="auto"/>
                <w:kern w:val="0"/>
                <w:sz w:val="24"/>
                <w:highlight w:val="none"/>
              </w:rPr>
            </w:pPr>
            <w:r>
              <w:rPr>
                <w:rFonts w:hint="eastAsia"/>
                <w:color w:val="auto"/>
                <w:kern w:val="0"/>
                <w:highlight w:val="none"/>
              </w:rPr>
              <w:t>成立时间</w:t>
            </w:r>
          </w:p>
        </w:tc>
        <w:tc>
          <w:tcPr>
            <w:tcW w:w="3768" w:type="dxa"/>
            <w:gridSpan w:val="2"/>
            <w:noWrap/>
            <w:vAlign w:val="center"/>
          </w:tcPr>
          <w:p w14:paraId="67EE879F">
            <w:pPr>
              <w:autoSpaceDE w:val="0"/>
              <w:autoSpaceDN w:val="0"/>
              <w:adjustRightInd w:val="0"/>
              <w:spacing w:line="360" w:lineRule="auto"/>
              <w:jc w:val="center"/>
              <w:rPr>
                <w:color w:val="auto"/>
                <w:kern w:val="0"/>
                <w:sz w:val="24"/>
                <w:highlight w:val="none"/>
              </w:rPr>
            </w:pPr>
          </w:p>
        </w:tc>
        <w:tc>
          <w:tcPr>
            <w:tcW w:w="3993" w:type="dxa"/>
            <w:gridSpan w:val="2"/>
            <w:noWrap/>
            <w:vAlign w:val="center"/>
          </w:tcPr>
          <w:p w14:paraId="1044C55A">
            <w:pPr>
              <w:autoSpaceDE w:val="0"/>
              <w:autoSpaceDN w:val="0"/>
              <w:adjustRightInd w:val="0"/>
              <w:spacing w:line="360" w:lineRule="auto"/>
              <w:rPr>
                <w:color w:val="auto"/>
                <w:kern w:val="0"/>
                <w:sz w:val="24"/>
                <w:highlight w:val="none"/>
              </w:rPr>
            </w:pPr>
            <w:r>
              <w:rPr>
                <w:rFonts w:hint="eastAsia"/>
                <w:color w:val="auto"/>
                <w:kern w:val="0"/>
                <w:highlight w:val="none"/>
              </w:rPr>
              <w:t>员工总人数：</w:t>
            </w:r>
          </w:p>
        </w:tc>
      </w:tr>
      <w:tr w14:paraId="0CC8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552" w:type="dxa"/>
            <w:noWrap/>
            <w:vAlign w:val="center"/>
          </w:tcPr>
          <w:p w14:paraId="7464C930">
            <w:pPr>
              <w:autoSpaceDE w:val="0"/>
              <w:autoSpaceDN w:val="0"/>
              <w:adjustRightInd w:val="0"/>
              <w:spacing w:line="360" w:lineRule="auto"/>
              <w:jc w:val="center"/>
              <w:rPr>
                <w:color w:val="auto"/>
                <w:kern w:val="0"/>
                <w:sz w:val="24"/>
                <w:highlight w:val="none"/>
              </w:rPr>
            </w:pPr>
            <w:r>
              <w:rPr>
                <w:rFonts w:hint="eastAsia"/>
                <w:color w:val="auto"/>
                <w:kern w:val="0"/>
                <w:highlight w:val="none"/>
              </w:rPr>
              <w:t>营业执照号</w:t>
            </w:r>
          </w:p>
        </w:tc>
        <w:tc>
          <w:tcPr>
            <w:tcW w:w="7761" w:type="dxa"/>
            <w:gridSpan w:val="4"/>
            <w:noWrap/>
            <w:vAlign w:val="center"/>
          </w:tcPr>
          <w:p w14:paraId="5C26D716">
            <w:pPr>
              <w:autoSpaceDE w:val="0"/>
              <w:autoSpaceDN w:val="0"/>
              <w:adjustRightInd w:val="0"/>
              <w:spacing w:line="360" w:lineRule="auto"/>
              <w:jc w:val="center"/>
              <w:rPr>
                <w:color w:val="auto"/>
                <w:kern w:val="0"/>
                <w:sz w:val="24"/>
                <w:highlight w:val="none"/>
              </w:rPr>
            </w:pPr>
          </w:p>
        </w:tc>
      </w:tr>
      <w:tr w14:paraId="0CBA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552" w:type="dxa"/>
            <w:noWrap/>
            <w:vAlign w:val="center"/>
          </w:tcPr>
          <w:p w14:paraId="6BB3B012">
            <w:pPr>
              <w:autoSpaceDE w:val="0"/>
              <w:autoSpaceDN w:val="0"/>
              <w:adjustRightInd w:val="0"/>
              <w:spacing w:line="360" w:lineRule="auto"/>
              <w:jc w:val="center"/>
              <w:rPr>
                <w:color w:val="auto"/>
                <w:kern w:val="0"/>
                <w:sz w:val="24"/>
                <w:highlight w:val="none"/>
              </w:rPr>
            </w:pPr>
            <w:r>
              <w:rPr>
                <w:rFonts w:hint="eastAsia"/>
                <w:color w:val="auto"/>
                <w:kern w:val="0"/>
                <w:highlight w:val="none"/>
              </w:rPr>
              <w:t>注册资金</w:t>
            </w:r>
          </w:p>
        </w:tc>
        <w:tc>
          <w:tcPr>
            <w:tcW w:w="7761" w:type="dxa"/>
            <w:gridSpan w:val="4"/>
            <w:noWrap/>
            <w:vAlign w:val="center"/>
          </w:tcPr>
          <w:p w14:paraId="48F1D4D9">
            <w:pPr>
              <w:autoSpaceDE w:val="0"/>
              <w:autoSpaceDN w:val="0"/>
              <w:adjustRightInd w:val="0"/>
              <w:spacing w:line="360" w:lineRule="auto"/>
              <w:jc w:val="center"/>
              <w:rPr>
                <w:color w:val="auto"/>
                <w:kern w:val="0"/>
                <w:sz w:val="24"/>
                <w:highlight w:val="none"/>
              </w:rPr>
            </w:pPr>
          </w:p>
        </w:tc>
      </w:tr>
      <w:tr w14:paraId="7557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552" w:type="dxa"/>
            <w:noWrap/>
            <w:vAlign w:val="center"/>
          </w:tcPr>
          <w:p w14:paraId="6CD6C7FC">
            <w:pPr>
              <w:autoSpaceDE w:val="0"/>
              <w:autoSpaceDN w:val="0"/>
              <w:adjustRightInd w:val="0"/>
              <w:spacing w:line="360" w:lineRule="auto"/>
              <w:jc w:val="center"/>
              <w:rPr>
                <w:color w:val="auto"/>
                <w:kern w:val="0"/>
                <w:sz w:val="24"/>
                <w:highlight w:val="none"/>
              </w:rPr>
            </w:pPr>
            <w:r>
              <w:rPr>
                <w:rFonts w:hint="eastAsia"/>
                <w:color w:val="auto"/>
                <w:kern w:val="0"/>
                <w:highlight w:val="none"/>
              </w:rPr>
              <w:t>开户银行</w:t>
            </w:r>
          </w:p>
        </w:tc>
        <w:tc>
          <w:tcPr>
            <w:tcW w:w="7761" w:type="dxa"/>
            <w:gridSpan w:val="4"/>
            <w:noWrap/>
            <w:vAlign w:val="center"/>
          </w:tcPr>
          <w:p w14:paraId="70B306BB">
            <w:pPr>
              <w:autoSpaceDE w:val="0"/>
              <w:autoSpaceDN w:val="0"/>
              <w:adjustRightInd w:val="0"/>
              <w:spacing w:line="360" w:lineRule="auto"/>
              <w:jc w:val="center"/>
              <w:rPr>
                <w:color w:val="auto"/>
                <w:kern w:val="0"/>
                <w:sz w:val="24"/>
                <w:highlight w:val="none"/>
              </w:rPr>
            </w:pPr>
          </w:p>
        </w:tc>
      </w:tr>
      <w:tr w14:paraId="5806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552" w:type="dxa"/>
            <w:noWrap/>
            <w:vAlign w:val="center"/>
          </w:tcPr>
          <w:p w14:paraId="690E8F89">
            <w:pPr>
              <w:autoSpaceDE w:val="0"/>
              <w:autoSpaceDN w:val="0"/>
              <w:adjustRightInd w:val="0"/>
              <w:spacing w:line="360" w:lineRule="auto"/>
              <w:jc w:val="center"/>
              <w:rPr>
                <w:color w:val="auto"/>
                <w:kern w:val="0"/>
                <w:sz w:val="24"/>
                <w:highlight w:val="none"/>
              </w:rPr>
            </w:pPr>
            <w:r>
              <w:rPr>
                <w:rFonts w:hint="eastAsia"/>
                <w:color w:val="auto"/>
                <w:kern w:val="0"/>
                <w:highlight w:val="none"/>
              </w:rPr>
              <w:t>账号</w:t>
            </w:r>
          </w:p>
        </w:tc>
        <w:tc>
          <w:tcPr>
            <w:tcW w:w="7761" w:type="dxa"/>
            <w:gridSpan w:val="4"/>
            <w:noWrap/>
            <w:vAlign w:val="center"/>
          </w:tcPr>
          <w:p w14:paraId="6626A0DC">
            <w:pPr>
              <w:autoSpaceDE w:val="0"/>
              <w:autoSpaceDN w:val="0"/>
              <w:adjustRightInd w:val="0"/>
              <w:spacing w:line="360" w:lineRule="auto"/>
              <w:jc w:val="center"/>
              <w:rPr>
                <w:color w:val="auto"/>
                <w:kern w:val="0"/>
                <w:sz w:val="24"/>
                <w:highlight w:val="none"/>
              </w:rPr>
            </w:pPr>
          </w:p>
        </w:tc>
      </w:tr>
      <w:tr w14:paraId="7710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552" w:type="dxa"/>
            <w:noWrap/>
            <w:vAlign w:val="center"/>
          </w:tcPr>
          <w:p w14:paraId="50E69972">
            <w:pPr>
              <w:autoSpaceDE w:val="0"/>
              <w:autoSpaceDN w:val="0"/>
              <w:adjustRightInd w:val="0"/>
              <w:spacing w:line="360" w:lineRule="auto"/>
              <w:jc w:val="center"/>
              <w:rPr>
                <w:color w:val="auto"/>
                <w:kern w:val="0"/>
                <w:sz w:val="24"/>
                <w:highlight w:val="none"/>
              </w:rPr>
            </w:pPr>
            <w:r>
              <w:rPr>
                <w:rFonts w:hint="eastAsia"/>
                <w:color w:val="auto"/>
                <w:kern w:val="0"/>
                <w:highlight w:val="none"/>
              </w:rPr>
              <w:t>经营范围</w:t>
            </w:r>
          </w:p>
        </w:tc>
        <w:tc>
          <w:tcPr>
            <w:tcW w:w="7761" w:type="dxa"/>
            <w:gridSpan w:val="4"/>
            <w:noWrap/>
            <w:vAlign w:val="center"/>
          </w:tcPr>
          <w:p w14:paraId="615B7929">
            <w:pPr>
              <w:autoSpaceDE w:val="0"/>
              <w:autoSpaceDN w:val="0"/>
              <w:adjustRightInd w:val="0"/>
              <w:spacing w:line="360" w:lineRule="auto"/>
              <w:jc w:val="center"/>
              <w:rPr>
                <w:color w:val="auto"/>
                <w:kern w:val="0"/>
                <w:sz w:val="24"/>
                <w:highlight w:val="none"/>
              </w:rPr>
            </w:pPr>
          </w:p>
        </w:tc>
      </w:tr>
      <w:tr w14:paraId="3099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noWrap/>
            <w:vAlign w:val="center"/>
          </w:tcPr>
          <w:p w14:paraId="04625947">
            <w:pPr>
              <w:autoSpaceDE w:val="0"/>
              <w:autoSpaceDN w:val="0"/>
              <w:adjustRightInd w:val="0"/>
              <w:spacing w:line="360" w:lineRule="auto"/>
              <w:jc w:val="center"/>
              <w:rPr>
                <w:color w:val="auto"/>
                <w:kern w:val="0"/>
                <w:sz w:val="24"/>
                <w:highlight w:val="none"/>
              </w:rPr>
            </w:pPr>
            <w:r>
              <w:rPr>
                <w:rFonts w:hint="eastAsia"/>
                <w:color w:val="auto"/>
                <w:kern w:val="0"/>
                <w:highlight w:val="none"/>
              </w:rPr>
              <w:t>备注</w:t>
            </w:r>
          </w:p>
        </w:tc>
        <w:tc>
          <w:tcPr>
            <w:tcW w:w="7761" w:type="dxa"/>
            <w:gridSpan w:val="4"/>
            <w:noWrap/>
            <w:vAlign w:val="center"/>
          </w:tcPr>
          <w:p w14:paraId="11FEE07A">
            <w:pPr>
              <w:autoSpaceDE w:val="0"/>
              <w:autoSpaceDN w:val="0"/>
              <w:adjustRightInd w:val="0"/>
              <w:spacing w:line="360" w:lineRule="auto"/>
              <w:jc w:val="center"/>
              <w:rPr>
                <w:color w:val="auto"/>
                <w:kern w:val="0"/>
                <w:sz w:val="24"/>
                <w:highlight w:val="none"/>
              </w:rPr>
            </w:pPr>
          </w:p>
        </w:tc>
      </w:tr>
    </w:tbl>
    <w:p w14:paraId="28DDCB90">
      <w:pPr>
        <w:rPr>
          <w:color w:val="auto"/>
          <w:highlight w:val="none"/>
        </w:rPr>
      </w:pPr>
      <w:r>
        <w:rPr>
          <w:rFonts w:hint="eastAsia"/>
          <w:color w:val="auto"/>
          <w:highlight w:val="none"/>
        </w:rPr>
        <w:br w:type="page"/>
      </w:r>
    </w:p>
    <w:p w14:paraId="061C0108">
      <w:pPr>
        <w:spacing w:line="360" w:lineRule="auto"/>
        <w:ind w:firstLine="560" w:firstLineChars="200"/>
        <w:rPr>
          <w:color w:val="auto"/>
          <w:highlight w:val="none"/>
        </w:rPr>
      </w:pPr>
      <w:r>
        <w:rPr>
          <w:rFonts w:hint="eastAsia"/>
          <w:color w:val="auto"/>
          <w:kern w:val="0"/>
          <w:sz w:val="28"/>
          <w:szCs w:val="28"/>
          <w:highlight w:val="none"/>
        </w:rPr>
        <w:t>（二）其他应附材料，</w:t>
      </w:r>
      <w:r>
        <w:rPr>
          <w:rFonts w:hint="eastAsia"/>
          <w:color w:val="auto"/>
          <w:sz w:val="28"/>
          <w:szCs w:val="28"/>
          <w:highlight w:val="none"/>
        </w:rPr>
        <w:t>包括但不限于以下内容：</w:t>
      </w:r>
    </w:p>
    <w:p w14:paraId="2F88A28F">
      <w:pPr>
        <w:spacing w:line="360" w:lineRule="auto"/>
        <w:ind w:firstLine="420" w:firstLineChars="200"/>
        <w:rPr>
          <w:color w:val="auto"/>
          <w:highlight w:val="none"/>
        </w:rPr>
      </w:pPr>
      <w:r>
        <w:rPr>
          <w:rFonts w:hint="eastAsia"/>
          <w:color w:val="auto"/>
          <w:highlight w:val="none"/>
        </w:rPr>
        <w:t>1、提供营业执照或其他证明材料</w:t>
      </w:r>
    </w:p>
    <w:p w14:paraId="48E94C8B">
      <w:pPr>
        <w:spacing w:line="360" w:lineRule="auto"/>
        <w:ind w:firstLine="420" w:firstLineChars="200"/>
        <w:rPr>
          <w:color w:val="auto"/>
          <w:highlight w:val="none"/>
        </w:rPr>
      </w:pPr>
      <w:r>
        <w:rPr>
          <w:rFonts w:hint="eastAsia"/>
          <w:color w:val="auto"/>
          <w:highlight w:val="none"/>
        </w:rPr>
        <w:t>2、具有良好的商业信誉和健全的财务会计制度（提供承诺函，格式自拟）</w:t>
      </w:r>
    </w:p>
    <w:p w14:paraId="5A130653">
      <w:pPr>
        <w:spacing w:line="360" w:lineRule="auto"/>
        <w:ind w:firstLine="420" w:firstLineChars="200"/>
        <w:rPr>
          <w:color w:val="auto"/>
          <w:highlight w:val="none"/>
        </w:rPr>
      </w:pPr>
      <w:r>
        <w:rPr>
          <w:rFonts w:hint="eastAsia"/>
          <w:color w:val="auto"/>
          <w:highlight w:val="none"/>
        </w:rPr>
        <w:t>3、具有履行合同所必需的设备和专业技术能力（提供承诺函，格式自拟）</w:t>
      </w:r>
    </w:p>
    <w:p w14:paraId="78FE0DE4">
      <w:pPr>
        <w:spacing w:line="360" w:lineRule="auto"/>
        <w:ind w:firstLine="420" w:firstLineChars="200"/>
        <w:rPr>
          <w:color w:val="auto"/>
          <w:highlight w:val="none"/>
        </w:rPr>
      </w:pPr>
      <w:r>
        <w:rPr>
          <w:rFonts w:hint="eastAsia"/>
          <w:color w:val="auto"/>
          <w:highlight w:val="none"/>
        </w:rPr>
        <w:t>4、有依法缴纳税收和社会保障资金的良好记录（提供承诺函，格式自拟）</w:t>
      </w:r>
    </w:p>
    <w:p w14:paraId="37E75502">
      <w:pPr>
        <w:spacing w:line="360" w:lineRule="auto"/>
        <w:ind w:firstLine="420" w:firstLineChars="200"/>
        <w:rPr>
          <w:color w:val="auto"/>
          <w:highlight w:val="none"/>
        </w:rPr>
      </w:pPr>
      <w:r>
        <w:rPr>
          <w:rFonts w:hint="eastAsia"/>
          <w:color w:val="auto"/>
          <w:highlight w:val="none"/>
        </w:rPr>
        <w:t xml:space="preserve">5、参加政府采购活动前三年内，在经营活动中没有重大违法记录（提供承诺函，格式自拟）  </w:t>
      </w:r>
    </w:p>
    <w:p w14:paraId="48973159">
      <w:pPr>
        <w:spacing w:line="360" w:lineRule="auto"/>
        <w:ind w:firstLine="420" w:firstLineChars="200"/>
        <w:rPr>
          <w:color w:val="auto"/>
          <w:highlight w:val="none"/>
        </w:rPr>
      </w:pPr>
      <w:r>
        <w:rPr>
          <w:rFonts w:hint="eastAsia"/>
          <w:color w:val="auto"/>
          <w:highlight w:val="none"/>
        </w:rPr>
        <w:t>6、根据《关于在政府采购活动中查询及使用信用记录有关问题的通知》(财库[2016]125号)的规定，开标结束后至评标结束前采购人或采购代理机构通过“信用中国”网站（www.creditchina.gov.cn）、“中国执行信息公开网”网站（zxgk.court.gov.cn）和“中国政府采购网”网站（www.ccgp.gov.cn）查询企业的信用记录，列入“中国执行信息公开网”网站的“失信被执行人”、“信用中国”网站的“重大税收违法失信主体”和“中国政府采购网”网站的“政府采购严重违法失信行为记录名单”的供应商，将拒绝参与本次政府采购活动；【供应商须提供承诺书，格式自拟】</w:t>
      </w:r>
    </w:p>
    <w:p w14:paraId="6DD825D4">
      <w:pPr>
        <w:spacing w:line="360" w:lineRule="auto"/>
        <w:ind w:firstLine="420" w:firstLineChars="200"/>
        <w:rPr>
          <w:color w:val="auto"/>
          <w:highlight w:val="none"/>
        </w:rPr>
      </w:pPr>
      <w:r>
        <w:rPr>
          <w:rFonts w:hint="eastAsia"/>
          <w:color w:val="auto"/>
          <w:highlight w:val="none"/>
        </w:rPr>
        <w:t>7、单位负责人为同一人或者存在直接控股、管理关系的不同供应商，不得参加同一合同项下的政府采购活动（以国家企业信用信息公示系统的公司信息、股东信息为准，投标时应在响应文件中附此网站截图）。</w:t>
      </w:r>
    </w:p>
    <w:p w14:paraId="5F903A25">
      <w:pPr>
        <w:spacing w:line="360" w:lineRule="auto"/>
        <w:ind w:firstLine="420" w:firstLineChars="200"/>
        <w:rPr>
          <w:color w:val="auto"/>
          <w:highlight w:val="none"/>
        </w:rPr>
      </w:pPr>
      <w:r>
        <w:rPr>
          <w:rFonts w:hint="eastAsia"/>
          <w:color w:val="auto"/>
          <w:highlight w:val="none"/>
        </w:rPr>
        <w:t>8、本项目不接受联合体投标。</w:t>
      </w:r>
    </w:p>
    <w:p w14:paraId="2ACD9497">
      <w:pPr>
        <w:spacing w:line="360" w:lineRule="auto"/>
        <w:jc w:val="center"/>
        <w:outlineLvl w:val="1"/>
        <w:rPr>
          <w:rStyle w:val="64"/>
          <w:b w:val="0"/>
          <w:bCs w:val="0"/>
          <w:color w:val="auto"/>
          <w:highlight w:val="none"/>
          <w:lang w:val="zh-CN"/>
        </w:rPr>
      </w:pPr>
      <w:r>
        <w:rPr>
          <w:color w:val="auto"/>
          <w:highlight w:val="none"/>
        </w:rPr>
        <w:br w:type="page"/>
      </w:r>
      <w:bookmarkStart w:id="1061" w:name="_Toc10526"/>
      <w:bookmarkStart w:id="1062" w:name="_Toc65662083"/>
      <w:bookmarkStart w:id="1063" w:name="_Toc12839"/>
      <w:bookmarkStart w:id="1064" w:name="_Toc25871"/>
      <w:bookmarkStart w:id="1065" w:name="_Toc76134523"/>
      <w:bookmarkStart w:id="1066" w:name="_Toc19740"/>
      <w:bookmarkStart w:id="1067" w:name="_Toc16946"/>
      <w:r>
        <w:rPr>
          <w:rFonts w:hint="eastAsia" w:cs="Times New Roman"/>
          <w:b/>
          <w:color w:val="auto"/>
          <w:sz w:val="24"/>
          <w:szCs w:val="24"/>
          <w:highlight w:val="none"/>
        </w:rPr>
        <w:t>五、</w:t>
      </w:r>
      <w:bookmarkEnd w:id="1061"/>
      <w:bookmarkEnd w:id="1062"/>
      <w:bookmarkEnd w:id="1063"/>
      <w:bookmarkEnd w:id="1064"/>
      <w:r>
        <w:rPr>
          <w:rFonts w:hint="eastAsia" w:cs="Times New Roman"/>
          <w:b/>
          <w:color w:val="auto"/>
          <w:sz w:val="24"/>
          <w:szCs w:val="24"/>
          <w:highlight w:val="none"/>
        </w:rPr>
        <w:t>技术部分</w:t>
      </w:r>
      <w:bookmarkEnd w:id="1065"/>
      <w:bookmarkEnd w:id="1066"/>
    </w:p>
    <w:p w14:paraId="63C4EF04">
      <w:pPr>
        <w:rPr>
          <w:color w:val="auto"/>
          <w:highlight w:val="none"/>
          <w:lang w:val="zh-CN"/>
        </w:rPr>
      </w:pPr>
    </w:p>
    <w:p w14:paraId="5D0D1457">
      <w:pPr>
        <w:spacing w:line="360" w:lineRule="auto"/>
        <w:jc w:val="center"/>
        <w:rPr>
          <w:b/>
          <w:color w:val="auto"/>
          <w:sz w:val="28"/>
          <w:szCs w:val="28"/>
          <w:highlight w:val="none"/>
        </w:rPr>
      </w:pPr>
      <w:r>
        <w:rPr>
          <w:rFonts w:hint="eastAsia"/>
          <w:b/>
          <w:color w:val="auto"/>
          <w:sz w:val="28"/>
          <w:szCs w:val="28"/>
          <w:highlight w:val="none"/>
        </w:rPr>
        <w:t>1、技术参数偏离表</w:t>
      </w:r>
    </w:p>
    <w:p w14:paraId="26C31BCC">
      <w:pPr>
        <w:spacing w:line="360" w:lineRule="auto"/>
        <w:rPr>
          <w:color w:val="auto"/>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243"/>
        <w:gridCol w:w="2243"/>
        <w:gridCol w:w="2017"/>
        <w:gridCol w:w="1259"/>
        <w:gridCol w:w="1034"/>
      </w:tblGrid>
      <w:tr w14:paraId="3678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noWrap/>
            <w:vAlign w:val="center"/>
          </w:tcPr>
          <w:p w14:paraId="3447E513">
            <w:pPr>
              <w:spacing w:line="360" w:lineRule="auto"/>
              <w:jc w:val="center"/>
              <w:rPr>
                <w:color w:val="auto"/>
                <w:highlight w:val="none"/>
              </w:rPr>
            </w:pPr>
            <w:r>
              <w:rPr>
                <w:rFonts w:hint="eastAsia"/>
                <w:color w:val="auto"/>
                <w:highlight w:val="none"/>
              </w:rPr>
              <w:t>序号</w:t>
            </w:r>
          </w:p>
        </w:tc>
        <w:tc>
          <w:tcPr>
            <w:tcW w:w="2243" w:type="dxa"/>
            <w:noWrap/>
            <w:vAlign w:val="center"/>
          </w:tcPr>
          <w:p w14:paraId="0D93188F">
            <w:pPr>
              <w:spacing w:line="360" w:lineRule="auto"/>
              <w:jc w:val="center"/>
              <w:rPr>
                <w:color w:val="auto"/>
                <w:highlight w:val="none"/>
              </w:rPr>
            </w:pPr>
            <w:r>
              <w:rPr>
                <w:rFonts w:hint="eastAsia"/>
                <w:color w:val="auto"/>
                <w:highlight w:val="none"/>
              </w:rPr>
              <w:t>产品名称</w:t>
            </w:r>
          </w:p>
        </w:tc>
        <w:tc>
          <w:tcPr>
            <w:tcW w:w="2243" w:type="dxa"/>
            <w:noWrap/>
            <w:vAlign w:val="center"/>
          </w:tcPr>
          <w:p w14:paraId="05725AA0">
            <w:pPr>
              <w:spacing w:line="360" w:lineRule="auto"/>
              <w:jc w:val="center"/>
              <w:rPr>
                <w:color w:val="auto"/>
                <w:highlight w:val="none"/>
              </w:rPr>
            </w:pPr>
            <w:r>
              <w:rPr>
                <w:rFonts w:hint="eastAsia"/>
                <w:color w:val="auto"/>
                <w:highlight w:val="none"/>
              </w:rPr>
              <w:t>招标技术参数</w:t>
            </w:r>
          </w:p>
        </w:tc>
        <w:tc>
          <w:tcPr>
            <w:tcW w:w="2017" w:type="dxa"/>
            <w:noWrap/>
            <w:vAlign w:val="center"/>
          </w:tcPr>
          <w:p w14:paraId="062A414F">
            <w:pPr>
              <w:spacing w:line="360" w:lineRule="auto"/>
              <w:jc w:val="center"/>
              <w:rPr>
                <w:color w:val="auto"/>
                <w:highlight w:val="none"/>
              </w:rPr>
            </w:pPr>
            <w:r>
              <w:rPr>
                <w:rFonts w:hint="eastAsia"/>
                <w:color w:val="auto"/>
                <w:highlight w:val="none"/>
              </w:rPr>
              <w:t>投标技术参数</w:t>
            </w:r>
          </w:p>
        </w:tc>
        <w:tc>
          <w:tcPr>
            <w:tcW w:w="1259" w:type="dxa"/>
            <w:noWrap/>
            <w:vAlign w:val="center"/>
          </w:tcPr>
          <w:p w14:paraId="3917DDCA">
            <w:pPr>
              <w:spacing w:line="360" w:lineRule="auto"/>
              <w:jc w:val="center"/>
              <w:rPr>
                <w:color w:val="auto"/>
                <w:highlight w:val="none"/>
              </w:rPr>
            </w:pPr>
            <w:r>
              <w:rPr>
                <w:rFonts w:hint="eastAsia"/>
                <w:color w:val="auto"/>
                <w:highlight w:val="none"/>
              </w:rPr>
              <w:t>偏差情况</w:t>
            </w:r>
          </w:p>
        </w:tc>
        <w:tc>
          <w:tcPr>
            <w:tcW w:w="1034" w:type="dxa"/>
            <w:noWrap/>
            <w:vAlign w:val="center"/>
          </w:tcPr>
          <w:p w14:paraId="320B5673">
            <w:pPr>
              <w:spacing w:line="360" w:lineRule="auto"/>
              <w:jc w:val="center"/>
              <w:rPr>
                <w:color w:val="auto"/>
                <w:highlight w:val="none"/>
              </w:rPr>
            </w:pPr>
            <w:r>
              <w:rPr>
                <w:rFonts w:hint="eastAsia"/>
                <w:color w:val="auto"/>
                <w:highlight w:val="none"/>
              </w:rPr>
              <w:t>备注</w:t>
            </w:r>
          </w:p>
        </w:tc>
      </w:tr>
      <w:tr w14:paraId="001B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74" w:type="dxa"/>
            <w:noWrap/>
            <w:vAlign w:val="center"/>
          </w:tcPr>
          <w:p w14:paraId="48D8FBA4">
            <w:pPr>
              <w:spacing w:line="360" w:lineRule="auto"/>
              <w:jc w:val="center"/>
              <w:rPr>
                <w:color w:val="auto"/>
                <w:highlight w:val="none"/>
              </w:rPr>
            </w:pPr>
            <w:r>
              <w:rPr>
                <w:rFonts w:hint="eastAsia"/>
                <w:color w:val="auto"/>
                <w:highlight w:val="none"/>
              </w:rPr>
              <w:t>1</w:t>
            </w:r>
          </w:p>
        </w:tc>
        <w:tc>
          <w:tcPr>
            <w:tcW w:w="2243" w:type="dxa"/>
            <w:noWrap/>
            <w:vAlign w:val="center"/>
          </w:tcPr>
          <w:p w14:paraId="73FFC849">
            <w:pPr>
              <w:spacing w:line="360" w:lineRule="auto"/>
              <w:rPr>
                <w:color w:val="auto"/>
                <w:highlight w:val="none"/>
              </w:rPr>
            </w:pPr>
          </w:p>
        </w:tc>
        <w:tc>
          <w:tcPr>
            <w:tcW w:w="2243" w:type="dxa"/>
            <w:noWrap/>
            <w:vAlign w:val="center"/>
          </w:tcPr>
          <w:p w14:paraId="01F4A819">
            <w:pPr>
              <w:spacing w:line="360" w:lineRule="auto"/>
              <w:rPr>
                <w:color w:val="auto"/>
                <w:highlight w:val="none"/>
              </w:rPr>
            </w:pPr>
          </w:p>
        </w:tc>
        <w:tc>
          <w:tcPr>
            <w:tcW w:w="2017" w:type="dxa"/>
            <w:noWrap/>
            <w:vAlign w:val="center"/>
          </w:tcPr>
          <w:p w14:paraId="7D6C1494">
            <w:pPr>
              <w:spacing w:line="360" w:lineRule="auto"/>
              <w:rPr>
                <w:color w:val="auto"/>
                <w:highlight w:val="none"/>
              </w:rPr>
            </w:pPr>
          </w:p>
        </w:tc>
        <w:tc>
          <w:tcPr>
            <w:tcW w:w="1259" w:type="dxa"/>
            <w:noWrap/>
            <w:vAlign w:val="center"/>
          </w:tcPr>
          <w:p w14:paraId="1670D924">
            <w:pPr>
              <w:spacing w:line="360" w:lineRule="auto"/>
              <w:rPr>
                <w:color w:val="auto"/>
                <w:highlight w:val="none"/>
              </w:rPr>
            </w:pPr>
          </w:p>
        </w:tc>
        <w:tc>
          <w:tcPr>
            <w:tcW w:w="1034" w:type="dxa"/>
            <w:noWrap/>
            <w:vAlign w:val="center"/>
          </w:tcPr>
          <w:p w14:paraId="4004974F">
            <w:pPr>
              <w:spacing w:line="360" w:lineRule="auto"/>
              <w:rPr>
                <w:color w:val="auto"/>
                <w:highlight w:val="none"/>
              </w:rPr>
            </w:pPr>
          </w:p>
        </w:tc>
      </w:tr>
      <w:tr w14:paraId="050E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74" w:type="dxa"/>
            <w:noWrap/>
            <w:vAlign w:val="center"/>
          </w:tcPr>
          <w:p w14:paraId="0638A2C3">
            <w:pPr>
              <w:spacing w:line="360" w:lineRule="auto"/>
              <w:jc w:val="center"/>
              <w:rPr>
                <w:color w:val="auto"/>
                <w:highlight w:val="none"/>
              </w:rPr>
            </w:pPr>
            <w:r>
              <w:rPr>
                <w:rFonts w:hint="eastAsia"/>
                <w:color w:val="auto"/>
                <w:highlight w:val="none"/>
              </w:rPr>
              <w:t>2</w:t>
            </w:r>
          </w:p>
        </w:tc>
        <w:tc>
          <w:tcPr>
            <w:tcW w:w="2243" w:type="dxa"/>
            <w:noWrap/>
            <w:vAlign w:val="center"/>
          </w:tcPr>
          <w:p w14:paraId="0872BB68">
            <w:pPr>
              <w:spacing w:line="360" w:lineRule="auto"/>
              <w:rPr>
                <w:color w:val="auto"/>
                <w:highlight w:val="none"/>
              </w:rPr>
            </w:pPr>
          </w:p>
        </w:tc>
        <w:tc>
          <w:tcPr>
            <w:tcW w:w="2243" w:type="dxa"/>
            <w:noWrap/>
            <w:vAlign w:val="center"/>
          </w:tcPr>
          <w:p w14:paraId="373CAFED">
            <w:pPr>
              <w:spacing w:line="360" w:lineRule="auto"/>
              <w:rPr>
                <w:color w:val="auto"/>
                <w:highlight w:val="none"/>
              </w:rPr>
            </w:pPr>
          </w:p>
        </w:tc>
        <w:tc>
          <w:tcPr>
            <w:tcW w:w="2017" w:type="dxa"/>
            <w:noWrap/>
            <w:vAlign w:val="center"/>
          </w:tcPr>
          <w:p w14:paraId="5720761A">
            <w:pPr>
              <w:spacing w:line="360" w:lineRule="auto"/>
              <w:rPr>
                <w:color w:val="auto"/>
                <w:highlight w:val="none"/>
              </w:rPr>
            </w:pPr>
          </w:p>
        </w:tc>
        <w:tc>
          <w:tcPr>
            <w:tcW w:w="1259" w:type="dxa"/>
            <w:noWrap/>
            <w:vAlign w:val="center"/>
          </w:tcPr>
          <w:p w14:paraId="7FCB0B76">
            <w:pPr>
              <w:spacing w:line="360" w:lineRule="auto"/>
              <w:rPr>
                <w:color w:val="auto"/>
                <w:highlight w:val="none"/>
              </w:rPr>
            </w:pPr>
          </w:p>
        </w:tc>
        <w:tc>
          <w:tcPr>
            <w:tcW w:w="1034" w:type="dxa"/>
            <w:noWrap/>
            <w:vAlign w:val="center"/>
          </w:tcPr>
          <w:p w14:paraId="163A5C2B">
            <w:pPr>
              <w:spacing w:line="360" w:lineRule="auto"/>
              <w:rPr>
                <w:color w:val="auto"/>
                <w:highlight w:val="none"/>
              </w:rPr>
            </w:pPr>
          </w:p>
        </w:tc>
      </w:tr>
      <w:tr w14:paraId="2CF5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74" w:type="dxa"/>
            <w:noWrap/>
            <w:vAlign w:val="center"/>
          </w:tcPr>
          <w:p w14:paraId="725660A1">
            <w:pPr>
              <w:spacing w:line="360" w:lineRule="auto"/>
              <w:jc w:val="center"/>
              <w:rPr>
                <w:color w:val="auto"/>
                <w:highlight w:val="none"/>
              </w:rPr>
            </w:pPr>
            <w:r>
              <w:rPr>
                <w:rFonts w:hint="eastAsia"/>
                <w:color w:val="auto"/>
                <w:highlight w:val="none"/>
              </w:rPr>
              <w:t>3</w:t>
            </w:r>
          </w:p>
        </w:tc>
        <w:tc>
          <w:tcPr>
            <w:tcW w:w="2243" w:type="dxa"/>
            <w:noWrap/>
            <w:vAlign w:val="center"/>
          </w:tcPr>
          <w:p w14:paraId="1B0811C8">
            <w:pPr>
              <w:spacing w:line="360" w:lineRule="auto"/>
              <w:rPr>
                <w:color w:val="auto"/>
                <w:highlight w:val="none"/>
              </w:rPr>
            </w:pPr>
          </w:p>
        </w:tc>
        <w:tc>
          <w:tcPr>
            <w:tcW w:w="2243" w:type="dxa"/>
            <w:noWrap/>
            <w:vAlign w:val="center"/>
          </w:tcPr>
          <w:p w14:paraId="7F49E117">
            <w:pPr>
              <w:spacing w:line="360" w:lineRule="auto"/>
              <w:rPr>
                <w:color w:val="auto"/>
                <w:highlight w:val="none"/>
              </w:rPr>
            </w:pPr>
          </w:p>
        </w:tc>
        <w:tc>
          <w:tcPr>
            <w:tcW w:w="2017" w:type="dxa"/>
            <w:noWrap/>
            <w:vAlign w:val="center"/>
          </w:tcPr>
          <w:p w14:paraId="65D0DF73">
            <w:pPr>
              <w:spacing w:line="360" w:lineRule="auto"/>
              <w:rPr>
                <w:color w:val="auto"/>
                <w:highlight w:val="none"/>
              </w:rPr>
            </w:pPr>
          </w:p>
        </w:tc>
        <w:tc>
          <w:tcPr>
            <w:tcW w:w="1259" w:type="dxa"/>
            <w:noWrap/>
            <w:vAlign w:val="center"/>
          </w:tcPr>
          <w:p w14:paraId="79936B37">
            <w:pPr>
              <w:spacing w:line="360" w:lineRule="auto"/>
              <w:rPr>
                <w:color w:val="auto"/>
                <w:highlight w:val="none"/>
              </w:rPr>
            </w:pPr>
          </w:p>
        </w:tc>
        <w:tc>
          <w:tcPr>
            <w:tcW w:w="1034" w:type="dxa"/>
            <w:noWrap/>
            <w:vAlign w:val="center"/>
          </w:tcPr>
          <w:p w14:paraId="3092E74A">
            <w:pPr>
              <w:spacing w:line="360" w:lineRule="auto"/>
              <w:rPr>
                <w:color w:val="auto"/>
                <w:highlight w:val="none"/>
              </w:rPr>
            </w:pPr>
          </w:p>
        </w:tc>
      </w:tr>
      <w:tr w14:paraId="6ED1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74" w:type="dxa"/>
            <w:noWrap/>
            <w:vAlign w:val="center"/>
          </w:tcPr>
          <w:p w14:paraId="60D020AF">
            <w:pPr>
              <w:spacing w:line="360" w:lineRule="auto"/>
              <w:jc w:val="center"/>
              <w:rPr>
                <w:color w:val="auto"/>
                <w:highlight w:val="none"/>
              </w:rPr>
            </w:pPr>
            <w:r>
              <w:rPr>
                <w:rFonts w:hint="eastAsia"/>
                <w:color w:val="auto"/>
                <w:highlight w:val="none"/>
              </w:rPr>
              <w:t>4</w:t>
            </w:r>
          </w:p>
        </w:tc>
        <w:tc>
          <w:tcPr>
            <w:tcW w:w="2243" w:type="dxa"/>
            <w:noWrap/>
            <w:vAlign w:val="center"/>
          </w:tcPr>
          <w:p w14:paraId="6EE35160">
            <w:pPr>
              <w:spacing w:line="360" w:lineRule="auto"/>
              <w:rPr>
                <w:color w:val="auto"/>
                <w:highlight w:val="none"/>
              </w:rPr>
            </w:pPr>
          </w:p>
        </w:tc>
        <w:tc>
          <w:tcPr>
            <w:tcW w:w="2243" w:type="dxa"/>
            <w:noWrap/>
            <w:vAlign w:val="center"/>
          </w:tcPr>
          <w:p w14:paraId="357A5643">
            <w:pPr>
              <w:spacing w:line="360" w:lineRule="auto"/>
              <w:rPr>
                <w:color w:val="auto"/>
                <w:highlight w:val="none"/>
              </w:rPr>
            </w:pPr>
          </w:p>
        </w:tc>
        <w:tc>
          <w:tcPr>
            <w:tcW w:w="2017" w:type="dxa"/>
            <w:noWrap/>
            <w:vAlign w:val="center"/>
          </w:tcPr>
          <w:p w14:paraId="6DF575AF">
            <w:pPr>
              <w:spacing w:line="360" w:lineRule="auto"/>
              <w:rPr>
                <w:color w:val="auto"/>
                <w:highlight w:val="none"/>
              </w:rPr>
            </w:pPr>
          </w:p>
        </w:tc>
        <w:tc>
          <w:tcPr>
            <w:tcW w:w="1259" w:type="dxa"/>
            <w:noWrap/>
            <w:vAlign w:val="center"/>
          </w:tcPr>
          <w:p w14:paraId="78E19571">
            <w:pPr>
              <w:spacing w:line="360" w:lineRule="auto"/>
              <w:rPr>
                <w:color w:val="auto"/>
                <w:highlight w:val="none"/>
              </w:rPr>
            </w:pPr>
          </w:p>
        </w:tc>
        <w:tc>
          <w:tcPr>
            <w:tcW w:w="1034" w:type="dxa"/>
            <w:noWrap/>
            <w:vAlign w:val="center"/>
          </w:tcPr>
          <w:p w14:paraId="67533621">
            <w:pPr>
              <w:spacing w:line="360" w:lineRule="auto"/>
              <w:rPr>
                <w:color w:val="auto"/>
                <w:highlight w:val="none"/>
              </w:rPr>
            </w:pPr>
          </w:p>
        </w:tc>
      </w:tr>
      <w:tr w14:paraId="4BA3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74" w:type="dxa"/>
            <w:noWrap/>
            <w:vAlign w:val="center"/>
          </w:tcPr>
          <w:p w14:paraId="2085F5C1">
            <w:pPr>
              <w:spacing w:line="360" w:lineRule="auto"/>
              <w:jc w:val="center"/>
              <w:rPr>
                <w:color w:val="auto"/>
                <w:highlight w:val="none"/>
              </w:rPr>
            </w:pPr>
            <w:r>
              <w:rPr>
                <w:rFonts w:hint="eastAsia"/>
                <w:color w:val="auto"/>
                <w:highlight w:val="none"/>
              </w:rPr>
              <w:t>5</w:t>
            </w:r>
          </w:p>
        </w:tc>
        <w:tc>
          <w:tcPr>
            <w:tcW w:w="2243" w:type="dxa"/>
            <w:noWrap/>
            <w:vAlign w:val="center"/>
          </w:tcPr>
          <w:p w14:paraId="0B4A9550">
            <w:pPr>
              <w:spacing w:line="360" w:lineRule="auto"/>
              <w:rPr>
                <w:color w:val="auto"/>
                <w:highlight w:val="none"/>
              </w:rPr>
            </w:pPr>
          </w:p>
        </w:tc>
        <w:tc>
          <w:tcPr>
            <w:tcW w:w="2243" w:type="dxa"/>
            <w:noWrap/>
            <w:vAlign w:val="center"/>
          </w:tcPr>
          <w:p w14:paraId="745146EE">
            <w:pPr>
              <w:spacing w:line="360" w:lineRule="auto"/>
              <w:rPr>
                <w:color w:val="auto"/>
                <w:highlight w:val="none"/>
              </w:rPr>
            </w:pPr>
          </w:p>
        </w:tc>
        <w:tc>
          <w:tcPr>
            <w:tcW w:w="2017" w:type="dxa"/>
            <w:noWrap/>
            <w:vAlign w:val="center"/>
          </w:tcPr>
          <w:p w14:paraId="77D2D9BE">
            <w:pPr>
              <w:spacing w:line="360" w:lineRule="auto"/>
              <w:rPr>
                <w:color w:val="auto"/>
                <w:highlight w:val="none"/>
              </w:rPr>
            </w:pPr>
          </w:p>
        </w:tc>
        <w:tc>
          <w:tcPr>
            <w:tcW w:w="1259" w:type="dxa"/>
            <w:noWrap/>
            <w:vAlign w:val="center"/>
          </w:tcPr>
          <w:p w14:paraId="576DF4E7">
            <w:pPr>
              <w:spacing w:line="360" w:lineRule="auto"/>
              <w:rPr>
                <w:color w:val="auto"/>
                <w:highlight w:val="none"/>
              </w:rPr>
            </w:pPr>
          </w:p>
        </w:tc>
        <w:tc>
          <w:tcPr>
            <w:tcW w:w="1034" w:type="dxa"/>
            <w:noWrap/>
            <w:vAlign w:val="center"/>
          </w:tcPr>
          <w:p w14:paraId="1A066641">
            <w:pPr>
              <w:spacing w:line="360" w:lineRule="auto"/>
              <w:rPr>
                <w:color w:val="auto"/>
                <w:highlight w:val="none"/>
              </w:rPr>
            </w:pPr>
          </w:p>
        </w:tc>
      </w:tr>
      <w:tr w14:paraId="32C3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74" w:type="dxa"/>
            <w:noWrap/>
            <w:vAlign w:val="center"/>
          </w:tcPr>
          <w:p w14:paraId="701F3A84">
            <w:pPr>
              <w:spacing w:line="360" w:lineRule="auto"/>
              <w:jc w:val="center"/>
              <w:rPr>
                <w:color w:val="auto"/>
                <w:highlight w:val="none"/>
              </w:rPr>
            </w:pPr>
            <w:r>
              <w:rPr>
                <w:rFonts w:hint="eastAsia"/>
                <w:color w:val="auto"/>
                <w:highlight w:val="none"/>
              </w:rPr>
              <w:t>6</w:t>
            </w:r>
          </w:p>
        </w:tc>
        <w:tc>
          <w:tcPr>
            <w:tcW w:w="2243" w:type="dxa"/>
            <w:noWrap/>
            <w:vAlign w:val="center"/>
          </w:tcPr>
          <w:p w14:paraId="03D5869E">
            <w:pPr>
              <w:spacing w:line="360" w:lineRule="auto"/>
              <w:rPr>
                <w:color w:val="auto"/>
                <w:highlight w:val="none"/>
              </w:rPr>
            </w:pPr>
          </w:p>
        </w:tc>
        <w:tc>
          <w:tcPr>
            <w:tcW w:w="2243" w:type="dxa"/>
            <w:noWrap/>
            <w:vAlign w:val="center"/>
          </w:tcPr>
          <w:p w14:paraId="1BB494BE">
            <w:pPr>
              <w:spacing w:line="360" w:lineRule="auto"/>
              <w:rPr>
                <w:color w:val="auto"/>
                <w:highlight w:val="none"/>
              </w:rPr>
            </w:pPr>
          </w:p>
        </w:tc>
        <w:tc>
          <w:tcPr>
            <w:tcW w:w="2017" w:type="dxa"/>
            <w:noWrap/>
            <w:vAlign w:val="center"/>
          </w:tcPr>
          <w:p w14:paraId="03C6F7D7">
            <w:pPr>
              <w:spacing w:line="360" w:lineRule="auto"/>
              <w:rPr>
                <w:color w:val="auto"/>
                <w:highlight w:val="none"/>
              </w:rPr>
            </w:pPr>
          </w:p>
        </w:tc>
        <w:tc>
          <w:tcPr>
            <w:tcW w:w="1259" w:type="dxa"/>
            <w:noWrap/>
            <w:vAlign w:val="center"/>
          </w:tcPr>
          <w:p w14:paraId="16AFE25E">
            <w:pPr>
              <w:spacing w:line="360" w:lineRule="auto"/>
              <w:rPr>
                <w:color w:val="auto"/>
                <w:highlight w:val="none"/>
              </w:rPr>
            </w:pPr>
          </w:p>
        </w:tc>
        <w:tc>
          <w:tcPr>
            <w:tcW w:w="1034" w:type="dxa"/>
            <w:noWrap/>
            <w:vAlign w:val="center"/>
          </w:tcPr>
          <w:p w14:paraId="41BD7FC7">
            <w:pPr>
              <w:spacing w:line="360" w:lineRule="auto"/>
              <w:rPr>
                <w:color w:val="auto"/>
                <w:highlight w:val="none"/>
              </w:rPr>
            </w:pPr>
          </w:p>
        </w:tc>
      </w:tr>
    </w:tbl>
    <w:p w14:paraId="6F3937EE">
      <w:pPr>
        <w:spacing w:line="360" w:lineRule="auto"/>
        <w:rPr>
          <w:color w:val="auto"/>
          <w:highlight w:val="none"/>
        </w:rPr>
      </w:pPr>
    </w:p>
    <w:p w14:paraId="2C0A8752">
      <w:pPr>
        <w:rPr>
          <w:color w:val="auto"/>
          <w:highlight w:val="none"/>
        </w:rPr>
      </w:pPr>
      <w:r>
        <w:rPr>
          <w:rFonts w:hint="eastAsia"/>
          <w:color w:val="auto"/>
          <w:highlight w:val="none"/>
        </w:rPr>
        <w:t>供应商：（电子签章）</w:t>
      </w:r>
    </w:p>
    <w:p w14:paraId="683F46E4">
      <w:pPr>
        <w:rPr>
          <w:color w:val="auto"/>
          <w:highlight w:val="none"/>
        </w:rPr>
      </w:pPr>
    </w:p>
    <w:p w14:paraId="218FC7B1">
      <w:pPr>
        <w:rPr>
          <w:color w:val="auto"/>
          <w:highlight w:val="none"/>
        </w:rPr>
      </w:pPr>
      <w:r>
        <w:rPr>
          <w:rFonts w:hint="eastAsia"/>
          <w:color w:val="auto"/>
          <w:highlight w:val="none"/>
        </w:rPr>
        <w:t>法定代表人或其委托代理人：（签字或电子签章）</w:t>
      </w:r>
    </w:p>
    <w:p w14:paraId="532EF646">
      <w:pPr>
        <w:rPr>
          <w:color w:val="auto"/>
          <w:highlight w:val="none"/>
        </w:rPr>
      </w:pPr>
    </w:p>
    <w:p w14:paraId="0ACBE8A2">
      <w:pPr>
        <w:tabs>
          <w:tab w:val="left" w:pos="5380"/>
          <w:tab w:val="left" w:pos="6520"/>
          <w:tab w:val="left" w:pos="7680"/>
        </w:tabs>
        <w:autoSpaceDE w:val="0"/>
        <w:autoSpaceDN w:val="0"/>
        <w:adjustRightInd w:val="0"/>
        <w:ind w:right="-20" w:firstLine="1050" w:firstLineChars="500"/>
        <w:jc w:val="left"/>
        <w:rPr>
          <w:color w:val="auto"/>
          <w:kern w:val="0"/>
          <w:highlight w:val="none"/>
        </w:rPr>
      </w:pPr>
      <w:r>
        <w:rPr>
          <w:rFonts w:hint="eastAsia"/>
          <w:color w:val="auto"/>
          <w:kern w:val="0"/>
          <w:highlight w:val="none"/>
        </w:rPr>
        <w:t>年   月  日</w:t>
      </w:r>
    </w:p>
    <w:p w14:paraId="1B42ED8F">
      <w:pPr>
        <w:spacing w:line="360" w:lineRule="auto"/>
        <w:rPr>
          <w:color w:val="auto"/>
          <w:highlight w:val="none"/>
        </w:rPr>
      </w:pPr>
      <w:r>
        <w:rPr>
          <w:rFonts w:hint="eastAsia"/>
          <w:color w:val="auto"/>
          <w:highlight w:val="none"/>
        </w:rPr>
        <w:t xml:space="preserve"> </w:t>
      </w:r>
    </w:p>
    <w:p w14:paraId="70CF0B4C">
      <w:pPr>
        <w:spacing w:line="360" w:lineRule="auto"/>
        <w:rPr>
          <w:color w:val="auto"/>
          <w:highlight w:val="none"/>
        </w:rPr>
      </w:pPr>
      <w:r>
        <w:rPr>
          <w:rFonts w:hint="eastAsia"/>
          <w:color w:val="auto"/>
          <w:highlight w:val="none"/>
        </w:rPr>
        <w:t>注：1、该表左列列明了竞争性磋商文件的要求，供应商须在右列对相应的内容进行填报；</w:t>
      </w:r>
    </w:p>
    <w:p w14:paraId="697C3489">
      <w:pPr>
        <w:spacing w:line="360" w:lineRule="auto"/>
        <w:ind w:firstLine="420" w:firstLineChars="200"/>
        <w:rPr>
          <w:color w:val="auto"/>
          <w:highlight w:val="none"/>
        </w:rPr>
      </w:pPr>
      <w:r>
        <w:rPr>
          <w:rFonts w:hint="eastAsia"/>
          <w:color w:val="auto"/>
          <w:highlight w:val="none"/>
        </w:rPr>
        <w:t>2、“有无偏差”一栏中供应商应对所投产品的规格参数及要求与竞争性磋商文件的要求进行对比，</w:t>
      </w:r>
      <w:r>
        <w:rPr>
          <w:rFonts w:hint="eastAsia"/>
          <w:b/>
          <w:color w:val="auto"/>
          <w:highlight w:val="none"/>
        </w:rPr>
        <w:t>如无偏差请填写“无偏差”的字样，如有偏差请注明“正偏差”或“负偏差”字样；</w:t>
      </w:r>
    </w:p>
    <w:p w14:paraId="5A2F1A9D">
      <w:pPr>
        <w:spacing w:line="360" w:lineRule="auto"/>
        <w:ind w:firstLine="420" w:firstLineChars="200"/>
        <w:rPr>
          <w:color w:val="auto"/>
          <w:highlight w:val="none"/>
        </w:rPr>
      </w:pPr>
    </w:p>
    <w:p w14:paraId="5343EA52">
      <w:pPr>
        <w:pStyle w:val="147"/>
        <w:spacing w:line="360" w:lineRule="auto"/>
        <w:jc w:val="center"/>
        <w:rPr>
          <w:rFonts w:hAnsi="宋体"/>
          <w:b/>
          <w:color w:val="auto"/>
          <w:kern w:val="2"/>
          <w:sz w:val="28"/>
          <w:szCs w:val="28"/>
          <w:highlight w:val="none"/>
        </w:rPr>
      </w:pPr>
      <w:r>
        <w:rPr>
          <w:rFonts w:hint="eastAsia" w:hAnsi="宋体"/>
          <w:color w:val="auto"/>
          <w:sz w:val="28"/>
          <w:szCs w:val="28"/>
          <w:highlight w:val="none"/>
        </w:rPr>
        <w:br w:type="page"/>
      </w:r>
      <w:r>
        <w:rPr>
          <w:rFonts w:hint="eastAsia" w:hAnsi="宋体"/>
          <w:b/>
          <w:color w:val="auto"/>
          <w:kern w:val="2"/>
          <w:sz w:val="28"/>
          <w:szCs w:val="28"/>
          <w:highlight w:val="none"/>
        </w:rPr>
        <w:t>2、技术证明材料</w:t>
      </w:r>
    </w:p>
    <w:p w14:paraId="79B1CED2">
      <w:pPr>
        <w:jc w:val="center"/>
        <w:rPr>
          <w:color w:val="auto"/>
          <w:sz w:val="22"/>
          <w:szCs w:val="28"/>
          <w:highlight w:val="none"/>
        </w:rPr>
      </w:pPr>
      <w:bookmarkStart w:id="1068" w:name="_Toc18513"/>
      <w:r>
        <w:rPr>
          <w:rFonts w:hint="eastAsia"/>
          <w:color w:val="auto"/>
          <w:sz w:val="22"/>
          <w:szCs w:val="28"/>
          <w:highlight w:val="none"/>
        </w:rPr>
        <w:t>（包含但不限于：技术参数中须提供的技术证明材料等）</w:t>
      </w:r>
      <w:bookmarkEnd w:id="1068"/>
    </w:p>
    <w:p w14:paraId="748BAFCF">
      <w:pPr>
        <w:spacing w:line="360" w:lineRule="auto"/>
        <w:rPr>
          <w:b/>
          <w:color w:val="auto"/>
          <w:sz w:val="28"/>
          <w:highlight w:val="none"/>
        </w:rPr>
      </w:pPr>
    </w:p>
    <w:p w14:paraId="7304BE08">
      <w:pPr>
        <w:spacing w:line="360" w:lineRule="auto"/>
        <w:jc w:val="center"/>
        <w:rPr>
          <w:bCs/>
          <w:color w:val="auto"/>
          <w:sz w:val="24"/>
          <w:highlight w:val="none"/>
        </w:rPr>
      </w:pPr>
    </w:p>
    <w:p w14:paraId="78A3D9BD">
      <w:pPr>
        <w:spacing w:line="360" w:lineRule="auto"/>
        <w:jc w:val="center"/>
        <w:rPr>
          <w:b/>
          <w:color w:val="auto"/>
          <w:spacing w:val="20"/>
          <w:sz w:val="24"/>
          <w:highlight w:val="none"/>
        </w:rPr>
      </w:pPr>
    </w:p>
    <w:p w14:paraId="08150BBD">
      <w:pPr>
        <w:pStyle w:val="147"/>
        <w:spacing w:line="360" w:lineRule="auto"/>
        <w:jc w:val="center"/>
        <w:rPr>
          <w:rFonts w:hAnsi="宋体"/>
          <w:b/>
          <w:color w:val="auto"/>
          <w:kern w:val="2"/>
          <w:sz w:val="28"/>
          <w:szCs w:val="28"/>
          <w:highlight w:val="none"/>
        </w:rPr>
      </w:pPr>
      <w:r>
        <w:rPr>
          <w:rFonts w:hint="eastAsia" w:hAnsi="宋体"/>
          <w:b/>
          <w:color w:val="auto"/>
          <w:kern w:val="2"/>
          <w:sz w:val="28"/>
          <w:szCs w:val="28"/>
          <w:highlight w:val="none"/>
        </w:rPr>
        <w:t>3、实施方案</w:t>
      </w:r>
    </w:p>
    <w:p w14:paraId="71760799">
      <w:pPr>
        <w:rPr>
          <w:color w:val="auto"/>
          <w:highlight w:val="none"/>
        </w:rPr>
      </w:pPr>
    </w:p>
    <w:p w14:paraId="4C3F83D0">
      <w:pPr>
        <w:spacing w:line="360" w:lineRule="auto"/>
        <w:jc w:val="center"/>
        <w:rPr>
          <w:bCs/>
          <w:color w:val="auto"/>
          <w:sz w:val="24"/>
          <w:szCs w:val="28"/>
          <w:highlight w:val="none"/>
        </w:rPr>
      </w:pPr>
      <w:r>
        <w:rPr>
          <w:rFonts w:hint="eastAsia"/>
          <w:bCs/>
          <w:color w:val="auto"/>
          <w:sz w:val="24"/>
          <w:szCs w:val="36"/>
          <w:highlight w:val="none"/>
        </w:rPr>
        <w:t>备注：</w:t>
      </w:r>
      <w:r>
        <w:rPr>
          <w:rFonts w:hint="eastAsia"/>
          <w:bCs/>
          <w:color w:val="auto"/>
          <w:sz w:val="24"/>
          <w:szCs w:val="28"/>
          <w:highlight w:val="none"/>
        </w:rPr>
        <w:t xml:space="preserve">参照 “第三章  评审办法  </w:t>
      </w:r>
      <w:r>
        <w:rPr>
          <w:rFonts w:hint="eastAsia"/>
          <w:color w:val="auto"/>
          <w:kern w:val="0"/>
          <w:highlight w:val="none"/>
        </w:rPr>
        <w:t>2.2.2（2） 技术部分</w:t>
      </w:r>
      <w:r>
        <w:rPr>
          <w:rFonts w:hint="eastAsia"/>
          <w:bCs/>
          <w:color w:val="auto"/>
          <w:sz w:val="24"/>
          <w:szCs w:val="28"/>
          <w:highlight w:val="none"/>
        </w:rPr>
        <w:t>”的评分要求编制，格式自拟。</w:t>
      </w:r>
    </w:p>
    <w:p w14:paraId="0E47574E">
      <w:pPr>
        <w:pStyle w:val="3"/>
        <w:jc w:val="center"/>
        <w:rPr>
          <w:color w:val="auto"/>
          <w:szCs w:val="24"/>
          <w:highlight w:val="none"/>
        </w:rPr>
      </w:pPr>
      <w:r>
        <w:rPr>
          <w:rFonts w:hint="eastAsia" w:cs="Times New Roman"/>
          <w:color w:val="auto"/>
          <w:szCs w:val="24"/>
          <w:highlight w:val="none"/>
          <w:lang w:val="zh-CN"/>
        </w:rPr>
        <w:br w:type="page"/>
      </w:r>
      <w:bookmarkEnd w:id="1067"/>
      <w:bookmarkStart w:id="1069" w:name="_Toc76134524"/>
      <w:bookmarkStart w:id="1070" w:name="_Toc9615"/>
      <w:bookmarkStart w:id="1071" w:name="_Toc11154"/>
      <w:bookmarkStart w:id="1072" w:name="_Toc31327"/>
      <w:bookmarkStart w:id="1073" w:name="_Toc22628"/>
      <w:bookmarkStart w:id="1074" w:name="_Toc6250"/>
      <w:bookmarkStart w:id="1075" w:name="_Toc8720"/>
      <w:bookmarkStart w:id="1076" w:name="_Toc65662085"/>
      <w:bookmarkStart w:id="1077" w:name="_Toc17039"/>
      <w:bookmarkStart w:id="1078" w:name="_Toc13712"/>
      <w:r>
        <w:rPr>
          <w:rStyle w:val="64"/>
          <w:rFonts w:hint="eastAsia"/>
          <w:b/>
          <w:bCs/>
          <w:color w:val="auto"/>
          <w:highlight w:val="none"/>
        </w:rPr>
        <w:t>六、商务部分</w:t>
      </w:r>
      <w:bookmarkEnd w:id="1069"/>
      <w:bookmarkEnd w:id="1070"/>
      <w:bookmarkEnd w:id="1071"/>
      <w:bookmarkEnd w:id="1072"/>
      <w:bookmarkEnd w:id="1073"/>
    </w:p>
    <w:p w14:paraId="57D16501">
      <w:pPr>
        <w:spacing w:line="360" w:lineRule="auto"/>
        <w:jc w:val="center"/>
        <w:rPr>
          <w:color w:val="auto"/>
          <w:highlight w:val="none"/>
        </w:rPr>
      </w:pPr>
      <w:r>
        <w:rPr>
          <w:rFonts w:hint="eastAsia"/>
          <w:bCs/>
          <w:color w:val="auto"/>
          <w:sz w:val="24"/>
          <w:szCs w:val="36"/>
          <w:highlight w:val="none"/>
        </w:rPr>
        <w:t>备注：</w:t>
      </w:r>
      <w:r>
        <w:rPr>
          <w:rFonts w:hint="eastAsia"/>
          <w:bCs/>
          <w:color w:val="auto"/>
          <w:sz w:val="24"/>
          <w:szCs w:val="28"/>
          <w:highlight w:val="none"/>
        </w:rPr>
        <w:t xml:space="preserve">参照 “第三章  评审办法  </w:t>
      </w:r>
      <w:r>
        <w:rPr>
          <w:rFonts w:hint="eastAsia"/>
          <w:bCs/>
          <w:color w:val="auto"/>
          <w:kern w:val="0"/>
          <w:highlight w:val="none"/>
        </w:rPr>
        <w:t xml:space="preserve">2.2.2（3） </w:t>
      </w:r>
      <w:r>
        <w:rPr>
          <w:rFonts w:hint="eastAsia"/>
          <w:bCs/>
          <w:color w:val="auto"/>
          <w:highlight w:val="none"/>
        </w:rPr>
        <w:t>商务部分</w:t>
      </w:r>
      <w:r>
        <w:rPr>
          <w:rFonts w:hint="eastAsia"/>
          <w:bCs/>
          <w:color w:val="auto"/>
          <w:sz w:val="24"/>
          <w:szCs w:val="28"/>
          <w:highlight w:val="none"/>
        </w:rPr>
        <w:t>”的评分要求编制，格式自拟。</w:t>
      </w:r>
    </w:p>
    <w:p w14:paraId="3E922D29">
      <w:pPr>
        <w:spacing w:line="360" w:lineRule="auto"/>
        <w:rPr>
          <w:color w:val="auto"/>
          <w:kern w:val="0"/>
          <w:sz w:val="20"/>
          <w:szCs w:val="20"/>
          <w:highlight w:val="none"/>
        </w:rPr>
      </w:pPr>
    </w:p>
    <w:bookmarkEnd w:id="1074"/>
    <w:bookmarkEnd w:id="1075"/>
    <w:bookmarkEnd w:id="1076"/>
    <w:bookmarkEnd w:id="1077"/>
    <w:bookmarkEnd w:id="1078"/>
    <w:p w14:paraId="5F11E5F3">
      <w:pPr>
        <w:numPr>
          <w:ilvl w:val="0"/>
          <w:numId w:val="24"/>
        </w:numPr>
        <w:autoSpaceDE w:val="0"/>
        <w:autoSpaceDN w:val="0"/>
        <w:adjustRightInd w:val="0"/>
        <w:spacing w:line="360" w:lineRule="auto"/>
        <w:jc w:val="left"/>
        <w:rPr>
          <w:color w:val="auto"/>
          <w:kern w:val="0"/>
          <w:sz w:val="28"/>
          <w:szCs w:val="28"/>
          <w:highlight w:val="none"/>
        </w:rPr>
      </w:pPr>
      <w:bookmarkStart w:id="1079" w:name="_Toc28100"/>
      <w:bookmarkStart w:id="1080" w:name="_Toc21095"/>
      <w:bookmarkStart w:id="1081" w:name="_Toc76134525"/>
      <w:bookmarkStart w:id="1082" w:name="_Toc339972632"/>
      <w:bookmarkStart w:id="1083" w:name="_Toc20487"/>
      <w:bookmarkStart w:id="1084" w:name="_Toc65662091"/>
      <w:bookmarkStart w:id="1085" w:name="_Toc275795959"/>
      <w:bookmarkStart w:id="1086" w:name="_Toc15660"/>
      <w:bookmarkStart w:id="1087" w:name="_Toc10988"/>
      <w:bookmarkStart w:id="1088" w:name="_Toc355809725"/>
      <w:r>
        <w:rPr>
          <w:rStyle w:val="64"/>
          <w:rFonts w:hint="eastAsia"/>
          <w:color w:val="auto"/>
          <w:highlight w:val="none"/>
        </w:rPr>
        <w:br w:type="page"/>
      </w:r>
      <w:r>
        <w:rPr>
          <w:rFonts w:hint="eastAsia"/>
          <w:color w:val="auto"/>
          <w:kern w:val="0"/>
          <w:sz w:val="28"/>
          <w:szCs w:val="28"/>
          <w:highlight w:val="none"/>
        </w:rPr>
        <w:t>项目管理机构人员组成表（以下格式仅供参考）</w:t>
      </w:r>
    </w:p>
    <w:tbl>
      <w:tblPr>
        <w:tblStyle w:val="47"/>
        <w:tblpPr w:leftFromText="180" w:rightFromText="180" w:vertAnchor="text" w:horzAnchor="page" w:tblpX="2115"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39"/>
        <w:gridCol w:w="1655"/>
        <w:gridCol w:w="1982"/>
        <w:gridCol w:w="2436"/>
      </w:tblGrid>
      <w:tr w14:paraId="25AC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866" w:type="dxa"/>
            <w:noWrap/>
            <w:vAlign w:val="center"/>
          </w:tcPr>
          <w:p w14:paraId="10ED7958">
            <w:pPr>
              <w:autoSpaceDE w:val="0"/>
              <w:autoSpaceDN w:val="0"/>
              <w:adjustRightInd w:val="0"/>
              <w:spacing w:line="360" w:lineRule="auto"/>
              <w:jc w:val="center"/>
              <w:rPr>
                <w:color w:val="auto"/>
                <w:kern w:val="0"/>
                <w:sz w:val="24"/>
                <w:highlight w:val="none"/>
              </w:rPr>
            </w:pPr>
            <w:r>
              <w:rPr>
                <w:rFonts w:hint="eastAsia"/>
                <w:color w:val="auto"/>
                <w:kern w:val="0"/>
                <w:sz w:val="24"/>
                <w:highlight w:val="none"/>
              </w:rPr>
              <w:t>序号</w:t>
            </w:r>
          </w:p>
        </w:tc>
        <w:tc>
          <w:tcPr>
            <w:tcW w:w="1439" w:type="dxa"/>
            <w:noWrap/>
            <w:vAlign w:val="center"/>
          </w:tcPr>
          <w:p w14:paraId="665E7A13">
            <w:pPr>
              <w:autoSpaceDE w:val="0"/>
              <w:autoSpaceDN w:val="0"/>
              <w:adjustRightInd w:val="0"/>
              <w:spacing w:line="360" w:lineRule="auto"/>
              <w:jc w:val="center"/>
              <w:rPr>
                <w:color w:val="auto"/>
                <w:kern w:val="0"/>
                <w:highlight w:val="none"/>
              </w:rPr>
            </w:pPr>
            <w:r>
              <w:rPr>
                <w:rFonts w:hint="eastAsia"/>
                <w:color w:val="auto"/>
                <w:kern w:val="0"/>
                <w:highlight w:val="none"/>
              </w:rPr>
              <w:t>姓名</w:t>
            </w:r>
          </w:p>
        </w:tc>
        <w:tc>
          <w:tcPr>
            <w:tcW w:w="1655" w:type="dxa"/>
            <w:noWrap/>
            <w:vAlign w:val="center"/>
          </w:tcPr>
          <w:p w14:paraId="0B377BA6">
            <w:pPr>
              <w:autoSpaceDE w:val="0"/>
              <w:autoSpaceDN w:val="0"/>
              <w:adjustRightInd w:val="0"/>
              <w:spacing w:line="360" w:lineRule="auto"/>
              <w:jc w:val="center"/>
              <w:rPr>
                <w:color w:val="auto"/>
                <w:kern w:val="0"/>
                <w:sz w:val="24"/>
                <w:highlight w:val="none"/>
              </w:rPr>
            </w:pPr>
            <w:r>
              <w:rPr>
                <w:rFonts w:hint="eastAsia"/>
                <w:color w:val="auto"/>
                <w:kern w:val="0"/>
                <w:highlight w:val="none"/>
              </w:rPr>
              <w:t>职务</w:t>
            </w:r>
          </w:p>
        </w:tc>
        <w:tc>
          <w:tcPr>
            <w:tcW w:w="1982" w:type="dxa"/>
            <w:noWrap/>
            <w:vAlign w:val="center"/>
          </w:tcPr>
          <w:p w14:paraId="4DE77A13">
            <w:pPr>
              <w:autoSpaceDE w:val="0"/>
              <w:autoSpaceDN w:val="0"/>
              <w:adjustRightInd w:val="0"/>
              <w:spacing w:line="360" w:lineRule="auto"/>
              <w:jc w:val="center"/>
              <w:rPr>
                <w:color w:val="auto"/>
                <w:kern w:val="0"/>
                <w:sz w:val="24"/>
                <w:highlight w:val="none"/>
              </w:rPr>
            </w:pPr>
            <w:r>
              <w:rPr>
                <w:rFonts w:hint="eastAsia"/>
                <w:color w:val="auto"/>
                <w:kern w:val="0"/>
                <w:highlight w:val="none"/>
              </w:rPr>
              <w:t>职称或</w:t>
            </w:r>
            <w:r>
              <w:rPr>
                <w:rFonts w:hint="eastAsia"/>
                <w:color w:val="auto"/>
                <w:highlight w:val="none"/>
              </w:rPr>
              <w:t>执业资格或岗位资格</w:t>
            </w:r>
          </w:p>
        </w:tc>
        <w:tc>
          <w:tcPr>
            <w:tcW w:w="2436" w:type="dxa"/>
            <w:noWrap/>
            <w:vAlign w:val="center"/>
          </w:tcPr>
          <w:p w14:paraId="7B592BA7">
            <w:pPr>
              <w:autoSpaceDE w:val="0"/>
              <w:autoSpaceDN w:val="0"/>
              <w:adjustRightInd w:val="0"/>
              <w:spacing w:line="360" w:lineRule="auto"/>
              <w:jc w:val="center"/>
              <w:rPr>
                <w:color w:val="auto"/>
                <w:kern w:val="0"/>
                <w:highlight w:val="none"/>
              </w:rPr>
            </w:pPr>
            <w:r>
              <w:rPr>
                <w:rFonts w:hint="eastAsia"/>
                <w:color w:val="auto"/>
                <w:kern w:val="0"/>
                <w:highlight w:val="none"/>
              </w:rPr>
              <w:t>备注</w:t>
            </w:r>
          </w:p>
        </w:tc>
      </w:tr>
      <w:tr w14:paraId="311B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66" w:type="dxa"/>
            <w:noWrap/>
            <w:vAlign w:val="center"/>
          </w:tcPr>
          <w:p w14:paraId="596045DB">
            <w:pPr>
              <w:autoSpaceDE w:val="0"/>
              <w:autoSpaceDN w:val="0"/>
              <w:adjustRightInd w:val="0"/>
              <w:spacing w:line="360" w:lineRule="auto"/>
              <w:jc w:val="center"/>
              <w:rPr>
                <w:color w:val="auto"/>
                <w:kern w:val="0"/>
                <w:sz w:val="24"/>
                <w:highlight w:val="none"/>
              </w:rPr>
            </w:pPr>
          </w:p>
        </w:tc>
        <w:tc>
          <w:tcPr>
            <w:tcW w:w="1439" w:type="dxa"/>
            <w:noWrap/>
            <w:vAlign w:val="center"/>
          </w:tcPr>
          <w:p w14:paraId="615196D3">
            <w:pPr>
              <w:autoSpaceDE w:val="0"/>
              <w:autoSpaceDN w:val="0"/>
              <w:adjustRightInd w:val="0"/>
              <w:spacing w:line="360" w:lineRule="auto"/>
              <w:jc w:val="center"/>
              <w:rPr>
                <w:color w:val="auto"/>
                <w:kern w:val="0"/>
                <w:sz w:val="24"/>
                <w:highlight w:val="none"/>
              </w:rPr>
            </w:pPr>
          </w:p>
        </w:tc>
        <w:tc>
          <w:tcPr>
            <w:tcW w:w="1655" w:type="dxa"/>
            <w:noWrap/>
            <w:vAlign w:val="center"/>
          </w:tcPr>
          <w:p w14:paraId="33B3ABA9">
            <w:pPr>
              <w:autoSpaceDE w:val="0"/>
              <w:autoSpaceDN w:val="0"/>
              <w:adjustRightInd w:val="0"/>
              <w:spacing w:line="360" w:lineRule="auto"/>
              <w:jc w:val="center"/>
              <w:rPr>
                <w:color w:val="auto"/>
                <w:kern w:val="0"/>
                <w:sz w:val="24"/>
                <w:highlight w:val="none"/>
              </w:rPr>
            </w:pPr>
          </w:p>
        </w:tc>
        <w:tc>
          <w:tcPr>
            <w:tcW w:w="1982" w:type="dxa"/>
            <w:noWrap/>
            <w:vAlign w:val="center"/>
          </w:tcPr>
          <w:p w14:paraId="39F3BE41">
            <w:pPr>
              <w:autoSpaceDE w:val="0"/>
              <w:autoSpaceDN w:val="0"/>
              <w:adjustRightInd w:val="0"/>
              <w:spacing w:line="360" w:lineRule="auto"/>
              <w:jc w:val="center"/>
              <w:rPr>
                <w:color w:val="auto"/>
                <w:kern w:val="0"/>
                <w:sz w:val="24"/>
                <w:highlight w:val="none"/>
              </w:rPr>
            </w:pPr>
          </w:p>
        </w:tc>
        <w:tc>
          <w:tcPr>
            <w:tcW w:w="2436" w:type="dxa"/>
            <w:noWrap/>
            <w:vAlign w:val="center"/>
          </w:tcPr>
          <w:p w14:paraId="0C88710D">
            <w:pPr>
              <w:autoSpaceDE w:val="0"/>
              <w:autoSpaceDN w:val="0"/>
              <w:adjustRightInd w:val="0"/>
              <w:spacing w:line="360" w:lineRule="auto"/>
              <w:jc w:val="center"/>
              <w:rPr>
                <w:color w:val="auto"/>
                <w:kern w:val="0"/>
                <w:sz w:val="24"/>
                <w:highlight w:val="none"/>
              </w:rPr>
            </w:pPr>
          </w:p>
        </w:tc>
      </w:tr>
      <w:tr w14:paraId="7049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66" w:type="dxa"/>
            <w:noWrap/>
            <w:vAlign w:val="center"/>
          </w:tcPr>
          <w:p w14:paraId="198FAA9E">
            <w:pPr>
              <w:autoSpaceDE w:val="0"/>
              <w:autoSpaceDN w:val="0"/>
              <w:adjustRightInd w:val="0"/>
              <w:spacing w:line="360" w:lineRule="auto"/>
              <w:jc w:val="center"/>
              <w:rPr>
                <w:color w:val="auto"/>
                <w:kern w:val="0"/>
                <w:sz w:val="24"/>
                <w:highlight w:val="none"/>
              </w:rPr>
            </w:pPr>
          </w:p>
        </w:tc>
        <w:tc>
          <w:tcPr>
            <w:tcW w:w="1439" w:type="dxa"/>
            <w:noWrap/>
            <w:vAlign w:val="center"/>
          </w:tcPr>
          <w:p w14:paraId="17D0E013">
            <w:pPr>
              <w:autoSpaceDE w:val="0"/>
              <w:autoSpaceDN w:val="0"/>
              <w:adjustRightInd w:val="0"/>
              <w:spacing w:line="360" w:lineRule="auto"/>
              <w:jc w:val="center"/>
              <w:rPr>
                <w:color w:val="auto"/>
                <w:kern w:val="0"/>
                <w:sz w:val="24"/>
                <w:highlight w:val="none"/>
              </w:rPr>
            </w:pPr>
          </w:p>
        </w:tc>
        <w:tc>
          <w:tcPr>
            <w:tcW w:w="1655" w:type="dxa"/>
            <w:noWrap/>
            <w:vAlign w:val="center"/>
          </w:tcPr>
          <w:p w14:paraId="53FEB846">
            <w:pPr>
              <w:autoSpaceDE w:val="0"/>
              <w:autoSpaceDN w:val="0"/>
              <w:adjustRightInd w:val="0"/>
              <w:spacing w:line="360" w:lineRule="auto"/>
              <w:jc w:val="center"/>
              <w:rPr>
                <w:color w:val="auto"/>
                <w:kern w:val="0"/>
                <w:sz w:val="24"/>
                <w:highlight w:val="none"/>
              </w:rPr>
            </w:pPr>
          </w:p>
        </w:tc>
        <w:tc>
          <w:tcPr>
            <w:tcW w:w="1982" w:type="dxa"/>
            <w:noWrap/>
            <w:vAlign w:val="center"/>
          </w:tcPr>
          <w:p w14:paraId="7021B738">
            <w:pPr>
              <w:autoSpaceDE w:val="0"/>
              <w:autoSpaceDN w:val="0"/>
              <w:adjustRightInd w:val="0"/>
              <w:spacing w:line="360" w:lineRule="auto"/>
              <w:jc w:val="center"/>
              <w:rPr>
                <w:color w:val="auto"/>
                <w:kern w:val="0"/>
                <w:sz w:val="24"/>
                <w:highlight w:val="none"/>
              </w:rPr>
            </w:pPr>
          </w:p>
        </w:tc>
        <w:tc>
          <w:tcPr>
            <w:tcW w:w="2436" w:type="dxa"/>
            <w:noWrap/>
            <w:vAlign w:val="center"/>
          </w:tcPr>
          <w:p w14:paraId="236B678D">
            <w:pPr>
              <w:autoSpaceDE w:val="0"/>
              <w:autoSpaceDN w:val="0"/>
              <w:adjustRightInd w:val="0"/>
              <w:spacing w:line="360" w:lineRule="auto"/>
              <w:jc w:val="center"/>
              <w:rPr>
                <w:color w:val="auto"/>
                <w:kern w:val="0"/>
                <w:sz w:val="24"/>
                <w:highlight w:val="none"/>
              </w:rPr>
            </w:pPr>
          </w:p>
        </w:tc>
      </w:tr>
      <w:tr w14:paraId="1F12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66" w:type="dxa"/>
            <w:noWrap/>
            <w:vAlign w:val="center"/>
          </w:tcPr>
          <w:p w14:paraId="1C6B7A6C">
            <w:pPr>
              <w:autoSpaceDE w:val="0"/>
              <w:autoSpaceDN w:val="0"/>
              <w:adjustRightInd w:val="0"/>
              <w:spacing w:line="360" w:lineRule="auto"/>
              <w:jc w:val="center"/>
              <w:rPr>
                <w:color w:val="auto"/>
                <w:kern w:val="0"/>
                <w:sz w:val="24"/>
                <w:highlight w:val="none"/>
              </w:rPr>
            </w:pPr>
          </w:p>
        </w:tc>
        <w:tc>
          <w:tcPr>
            <w:tcW w:w="1439" w:type="dxa"/>
            <w:noWrap/>
            <w:vAlign w:val="center"/>
          </w:tcPr>
          <w:p w14:paraId="5614C600">
            <w:pPr>
              <w:autoSpaceDE w:val="0"/>
              <w:autoSpaceDN w:val="0"/>
              <w:adjustRightInd w:val="0"/>
              <w:spacing w:line="360" w:lineRule="auto"/>
              <w:jc w:val="center"/>
              <w:rPr>
                <w:color w:val="auto"/>
                <w:kern w:val="0"/>
                <w:sz w:val="24"/>
                <w:highlight w:val="none"/>
              </w:rPr>
            </w:pPr>
          </w:p>
        </w:tc>
        <w:tc>
          <w:tcPr>
            <w:tcW w:w="1655" w:type="dxa"/>
            <w:noWrap/>
            <w:vAlign w:val="center"/>
          </w:tcPr>
          <w:p w14:paraId="5CBE0861">
            <w:pPr>
              <w:autoSpaceDE w:val="0"/>
              <w:autoSpaceDN w:val="0"/>
              <w:adjustRightInd w:val="0"/>
              <w:spacing w:line="360" w:lineRule="auto"/>
              <w:jc w:val="center"/>
              <w:rPr>
                <w:color w:val="auto"/>
                <w:kern w:val="0"/>
                <w:sz w:val="24"/>
                <w:highlight w:val="none"/>
              </w:rPr>
            </w:pPr>
          </w:p>
        </w:tc>
        <w:tc>
          <w:tcPr>
            <w:tcW w:w="1982" w:type="dxa"/>
            <w:noWrap/>
            <w:vAlign w:val="center"/>
          </w:tcPr>
          <w:p w14:paraId="0F10F825">
            <w:pPr>
              <w:autoSpaceDE w:val="0"/>
              <w:autoSpaceDN w:val="0"/>
              <w:adjustRightInd w:val="0"/>
              <w:spacing w:line="360" w:lineRule="auto"/>
              <w:jc w:val="center"/>
              <w:rPr>
                <w:color w:val="auto"/>
                <w:kern w:val="0"/>
                <w:sz w:val="24"/>
                <w:highlight w:val="none"/>
              </w:rPr>
            </w:pPr>
          </w:p>
        </w:tc>
        <w:tc>
          <w:tcPr>
            <w:tcW w:w="2436" w:type="dxa"/>
            <w:noWrap/>
            <w:vAlign w:val="center"/>
          </w:tcPr>
          <w:p w14:paraId="5569B643">
            <w:pPr>
              <w:autoSpaceDE w:val="0"/>
              <w:autoSpaceDN w:val="0"/>
              <w:adjustRightInd w:val="0"/>
              <w:spacing w:line="360" w:lineRule="auto"/>
              <w:jc w:val="center"/>
              <w:rPr>
                <w:color w:val="auto"/>
                <w:kern w:val="0"/>
                <w:sz w:val="24"/>
                <w:highlight w:val="none"/>
              </w:rPr>
            </w:pPr>
          </w:p>
        </w:tc>
      </w:tr>
      <w:tr w14:paraId="0C4C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66" w:type="dxa"/>
            <w:noWrap/>
            <w:vAlign w:val="center"/>
          </w:tcPr>
          <w:p w14:paraId="7500A768">
            <w:pPr>
              <w:autoSpaceDE w:val="0"/>
              <w:autoSpaceDN w:val="0"/>
              <w:adjustRightInd w:val="0"/>
              <w:spacing w:line="360" w:lineRule="auto"/>
              <w:jc w:val="center"/>
              <w:rPr>
                <w:color w:val="auto"/>
                <w:kern w:val="0"/>
                <w:sz w:val="24"/>
                <w:highlight w:val="none"/>
              </w:rPr>
            </w:pPr>
          </w:p>
        </w:tc>
        <w:tc>
          <w:tcPr>
            <w:tcW w:w="1439" w:type="dxa"/>
            <w:noWrap/>
            <w:vAlign w:val="center"/>
          </w:tcPr>
          <w:p w14:paraId="054754F3">
            <w:pPr>
              <w:autoSpaceDE w:val="0"/>
              <w:autoSpaceDN w:val="0"/>
              <w:adjustRightInd w:val="0"/>
              <w:spacing w:line="360" w:lineRule="auto"/>
              <w:jc w:val="center"/>
              <w:rPr>
                <w:color w:val="auto"/>
                <w:kern w:val="0"/>
                <w:sz w:val="24"/>
                <w:highlight w:val="none"/>
              </w:rPr>
            </w:pPr>
          </w:p>
        </w:tc>
        <w:tc>
          <w:tcPr>
            <w:tcW w:w="1655" w:type="dxa"/>
            <w:noWrap/>
            <w:vAlign w:val="center"/>
          </w:tcPr>
          <w:p w14:paraId="19359BCC">
            <w:pPr>
              <w:autoSpaceDE w:val="0"/>
              <w:autoSpaceDN w:val="0"/>
              <w:adjustRightInd w:val="0"/>
              <w:spacing w:line="360" w:lineRule="auto"/>
              <w:jc w:val="center"/>
              <w:rPr>
                <w:color w:val="auto"/>
                <w:kern w:val="0"/>
                <w:sz w:val="24"/>
                <w:highlight w:val="none"/>
              </w:rPr>
            </w:pPr>
          </w:p>
        </w:tc>
        <w:tc>
          <w:tcPr>
            <w:tcW w:w="1982" w:type="dxa"/>
            <w:noWrap/>
            <w:vAlign w:val="center"/>
          </w:tcPr>
          <w:p w14:paraId="5EDD86BE">
            <w:pPr>
              <w:autoSpaceDE w:val="0"/>
              <w:autoSpaceDN w:val="0"/>
              <w:adjustRightInd w:val="0"/>
              <w:spacing w:line="360" w:lineRule="auto"/>
              <w:jc w:val="center"/>
              <w:rPr>
                <w:color w:val="auto"/>
                <w:kern w:val="0"/>
                <w:sz w:val="24"/>
                <w:highlight w:val="none"/>
              </w:rPr>
            </w:pPr>
          </w:p>
        </w:tc>
        <w:tc>
          <w:tcPr>
            <w:tcW w:w="2436" w:type="dxa"/>
            <w:noWrap/>
            <w:vAlign w:val="center"/>
          </w:tcPr>
          <w:p w14:paraId="08844620">
            <w:pPr>
              <w:autoSpaceDE w:val="0"/>
              <w:autoSpaceDN w:val="0"/>
              <w:adjustRightInd w:val="0"/>
              <w:spacing w:line="360" w:lineRule="auto"/>
              <w:jc w:val="center"/>
              <w:rPr>
                <w:color w:val="auto"/>
                <w:kern w:val="0"/>
                <w:sz w:val="24"/>
                <w:highlight w:val="none"/>
              </w:rPr>
            </w:pPr>
          </w:p>
        </w:tc>
      </w:tr>
      <w:tr w14:paraId="2057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66" w:type="dxa"/>
            <w:noWrap/>
            <w:vAlign w:val="center"/>
          </w:tcPr>
          <w:p w14:paraId="0469054E">
            <w:pPr>
              <w:autoSpaceDE w:val="0"/>
              <w:autoSpaceDN w:val="0"/>
              <w:adjustRightInd w:val="0"/>
              <w:spacing w:line="360" w:lineRule="auto"/>
              <w:jc w:val="center"/>
              <w:rPr>
                <w:color w:val="auto"/>
                <w:kern w:val="0"/>
                <w:sz w:val="24"/>
                <w:highlight w:val="none"/>
              </w:rPr>
            </w:pPr>
          </w:p>
        </w:tc>
        <w:tc>
          <w:tcPr>
            <w:tcW w:w="1439" w:type="dxa"/>
            <w:noWrap/>
            <w:vAlign w:val="center"/>
          </w:tcPr>
          <w:p w14:paraId="50D3B191">
            <w:pPr>
              <w:autoSpaceDE w:val="0"/>
              <w:autoSpaceDN w:val="0"/>
              <w:adjustRightInd w:val="0"/>
              <w:spacing w:line="360" w:lineRule="auto"/>
              <w:jc w:val="center"/>
              <w:rPr>
                <w:color w:val="auto"/>
                <w:kern w:val="0"/>
                <w:sz w:val="24"/>
                <w:highlight w:val="none"/>
              </w:rPr>
            </w:pPr>
          </w:p>
        </w:tc>
        <w:tc>
          <w:tcPr>
            <w:tcW w:w="1655" w:type="dxa"/>
            <w:noWrap/>
            <w:vAlign w:val="center"/>
          </w:tcPr>
          <w:p w14:paraId="039E2E5E">
            <w:pPr>
              <w:autoSpaceDE w:val="0"/>
              <w:autoSpaceDN w:val="0"/>
              <w:adjustRightInd w:val="0"/>
              <w:spacing w:line="360" w:lineRule="auto"/>
              <w:jc w:val="center"/>
              <w:rPr>
                <w:color w:val="auto"/>
                <w:kern w:val="0"/>
                <w:sz w:val="24"/>
                <w:highlight w:val="none"/>
              </w:rPr>
            </w:pPr>
          </w:p>
        </w:tc>
        <w:tc>
          <w:tcPr>
            <w:tcW w:w="1982" w:type="dxa"/>
            <w:noWrap/>
            <w:vAlign w:val="center"/>
          </w:tcPr>
          <w:p w14:paraId="5164DF6A">
            <w:pPr>
              <w:autoSpaceDE w:val="0"/>
              <w:autoSpaceDN w:val="0"/>
              <w:adjustRightInd w:val="0"/>
              <w:spacing w:line="360" w:lineRule="auto"/>
              <w:jc w:val="center"/>
              <w:rPr>
                <w:color w:val="auto"/>
                <w:kern w:val="0"/>
                <w:sz w:val="24"/>
                <w:highlight w:val="none"/>
              </w:rPr>
            </w:pPr>
          </w:p>
        </w:tc>
        <w:tc>
          <w:tcPr>
            <w:tcW w:w="2436" w:type="dxa"/>
            <w:noWrap/>
            <w:vAlign w:val="center"/>
          </w:tcPr>
          <w:p w14:paraId="55F60507">
            <w:pPr>
              <w:autoSpaceDE w:val="0"/>
              <w:autoSpaceDN w:val="0"/>
              <w:adjustRightInd w:val="0"/>
              <w:spacing w:line="360" w:lineRule="auto"/>
              <w:jc w:val="center"/>
              <w:rPr>
                <w:color w:val="auto"/>
                <w:kern w:val="0"/>
                <w:sz w:val="24"/>
                <w:highlight w:val="none"/>
              </w:rPr>
            </w:pPr>
          </w:p>
        </w:tc>
      </w:tr>
      <w:tr w14:paraId="18B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66" w:type="dxa"/>
            <w:noWrap/>
            <w:vAlign w:val="center"/>
          </w:tcPr>
          <w:p w14:paraId="5B941CBB">
            <w:pPr>
              <w:autoSpaceDE w:val="0"/>
              <w:autoSpaceDN w:val="0"/>
              <w:adjustRightInd w:val="0"/>
              <w:spacing w:line="360" w:lineRule="auto"/>
              <w:jc w:val="center"/>
              <w:rPr>
                <w:color w:val="auto"/>
                <w:kern w:val="0"/>
                <w:sz w:val="24"/>
                <w:highlight w:val="none"/>
              </w:rPr>
            </w:pPr>
          </w:p>
        </w:tc>
        <w:tc>
          <w:tcPr>
            <w:tcW w:w="1439" w:type="dxa"/>
            <w:noWrap/>
            <w:vAlign w:val="center"/>
          </w:tcPr>
          <w:p w14:paraId="10181710">
            <w:pPr>
              <w:autoSpaceDE w:val="0"/>
              <w:autoSpaceDN w:val="0"/>
              <w:adjustRightInd w:val="0"/>
              <w:spacing w:line="360" w:lineRule="auto"/>
              <w:jc w:val="center"/>
              <w:rPr>
                <w:color w:val="auto"/>
                <w:kern w:val="0"/>
                <w:sz w:val="24"/>
                <w:highlight w:val="none"/>
              </w:rPr>
            </w:pPr>
          </w:p>
        </w:tc>
        <w:tc>
          <w:tcPr>
            <w:tcW w:w="1655" w:type="dxa"/>
            <w:noWrap/>
            <w:vAlign w:val="center"/>
          </w:tcPr>
          <w:p w14:paraId="2CE40005">
            <w:pPr>
              <w:autoSpaceDE w:val="0"/>
              <w:autoSpaceDN w:val="0"/>
              <w:adjustRightInd w:val="0"/>
              <w:spacing w:line="360" w:lineRule="auto"/>
              <w:jc w:val="center"/>
              <w:rPr>
                <w:color w:val="auto"/>
                <w:kern w:val="0"/>
                <w:sz w:val="24"/>
                <w:highlight w:val="none"/>
              </w:rPr>
            </w:pPr>
          </w:p>
        </w:tc>
        <w:tc>
          <w:tcPr>
            <w:tcW w:w="1982" w:type="dxa"/>
            <w:noWrap/>
            <w:vAlign w:val="center"/>
          </w:tcPr>
          <w:p w14:paraId="7CD7BDC0">
            <w:pPr>
              <w:autoSpaceDE w:val="0"/>
              <w:autoSpaceDN w:val="0"/>
              <w:adjustRightInd w:val="0"/>
              <w:spacing w:line="360" w:lineRule="auto"/>
              <w:jc w:val="center"/>
              <w:rPr>
                <w:color w:val="auto"/>
                <w:kern w:val="0"/>
                <w:sz w:val="24"/>
                <w:highlight w:val="none"/>
              </w:rPr>
            </w:pPr>
          </w:p>
        </w:tc>
        <w:tc>
          <w:tcPr>
            <w:tcW w:w="2436" w:type="dxa"/>
            <w:noWrap/>
            <w:vAlign w:val="center"/>
          </w:tcPr>
          <w:p w14:paraId="0B0F7F2B">
            <w:pPr>
              <w:autoSpaceDE w:val="0"/>
              <w:autoSpaceDN w:val="0"/>
              <w:adjustRightInd w:val="0"/>
              <w:spacing w:line="360" w:lineRule="auto"/>
              <w:jc w:val="center"/>
              <w:rPr>
                <w:color w:val="auto"/>
                <w:kern w:val="0"/>
                <w:sz w:val="24"/>
                <w:highlight w:val="none"/>
              </w:rPr>
            </w:pPr>
          </w:p>
        </w:tc>
      </w:tr>
      <w:tr w14:paraId="7B61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66" w:type="dxa"/>
            <w:noWrap/>
            <w:vAlign w:val="center"/>
          </w:tcPr>
          <w:p w14:paraId="0F8C8A00">
            <w:pPr>
              <w:autoSpaceDE w:val="0"/>
              <w:autoSpaceDN w:val="0"/>
              <w:adjustRightInd w:val="0"/>
              <w:spacing w:line="360" w:lineRule="auto"/>
              <w:jc w:val="center"/>
              <w:rPr>
                <w:color w:val="auto"/>
                <w:kern w:val="0"/>
                <w:sz w:val="24"/>
                <w:highlight w:val="none"/>
              </w:rPr>
            </w:pPr>
          </w:p>
        </w:tc>
        <w:tc>
          <w:tcPr>
            <w:tcW w:w="1439" w:type="dxa"/>
            <w:noWrap/>
            <w:vAlign w:val="center"/>
          </w:tcPr>
          <w:p w14:paraId="4D8623B0">
            <w:pPr>
              <w:autoSpaceDE w:val="0"/>
              <w:autoSpaceDN w:val="0"/>
              <w:adjustRightInd w:val="0"/>
              <w:spacing w:line="360" w:lineRule="auto"/>
              <w:jc w:val="center"/>
              <w:rPr>
                <w:color w:val="auto"/>
                <w:kern w:val="0"/>
                <w:sz w:val="24"/>
                <w:highlight w:val="none"/>
              </w:rPr>
            </w:pPr>
          </w:p>
        </w:tc>
        <w:tc>
          <w:tcPr>
            <w:tcW w:w="1655" w:type="dxa"/>
            <w:noWrap/>
            <w:vAlign w:val="center"/>
          </w:tcPr>
          <w:p w14:paraId="7532E6D2">
            <w:pPr>
              <w:autoSpaceDE w:val="0"/>
              <w:autoSpaceDN w:val="0"/>
              <w:adjustRightInd w:val="0"/>
              <w:spacing w:line="360" w:lineRule="auto"/>
              <w:jc w:val="center"/>
              <w:rPr>
                <w:color w:val="auto"/>
                <w:kern w:val="0"/>
                <w:sz w:val="24"/>
                <w:highlight w:val="none"/>
              </w:rPr>
            </w:pPr>
          </w:p>
        </w:tc>
        <w:tc>
          <w:tcPr>
            <w:tcW w:w="1982" w:type="dxa"/>
            <w:noWrap/>
            <w:vAlign w:val="center"/>
          </w:tcPr>
          <w:p w14:paraId="1F947487">
            <w:pPr>
              <w:autoSpaceDE w:val="0"/>
              <w:autoSpaceDN w:val="0"/>
              <w:adjustRightInd w:val="0"/>
              <w:spacing w:line="360" w:lineRule="auto"/>
              <w:jc w:val="center"/>
              <w:rPr>
                <w:color w:val="auto"/>
                <w:kern w:val="0"/>
                <w:sz w:val="24"/>
                <w:highlight w:val="none"/>
              </w:rPr>
            </w:pPr>
          </w:p>
        </w:tc>
        <w:tc>
          <w:tcPr>
            <w:tcW w:w="2436" w:type="dxa"/>
            <w:noWrap/>
            <w:vAlign w:val="center"/>
          </w:tcPr>
          <w:p w14:paraId="5291D0EA">
            <w:pPr>
              <w:autoSpaceDE w:val="0"/>
              <w:autoSpaceDN w:val="0"/>
              <w:adjustRightInd w:val="0"/>
              <w:spacing w:line="360" w:lineRule="auto"/>
              <w:jc w:val="center"/>
              <w:rPr>
                <w:color w:val="auto"/>
                <w:kern w:val="0"/>
                <w:sz w:val="24"/>
                <w:highlight w:val="none"/>
              </w:rPr>
            </w:pPr>
          </w:p>
        </w:tc>
      </w:tr>
      <w:tr w14:paraId="5A34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66" w:type="dxa"/>
            <w:noWrap/>
            <w:vAlign w:val="center"/>
          </w:tcPr>
          <w:p w14:paraId="34D8084F">
            <w:pPr>
              <w:autoSpaceDE w:val="0"/>
              <w:autoSpaceDN w:val="0"/>
              <w:adjustRightInd w:val="0"/>
              <w:spacing w:line="360" w:lineRule="auto"/>
              <w:jc w:val="center"/>
              <w:rPr>
                <w:color w:val="auto"/>
                <w:kern w:val="0"/>
                <w:sz w:val="24"/>
                <w:highlight w:val="none"/>
              </w:rPr>
            </w:pPr>
          </w:p>
        </w:tc>
        <w:tc>
          <w:tcPr>
            <w:tcW w:w="1439" w:type="dxa"/>
            <w:noWrap/>
            <w:vAlign w:val="center"/>
          </w:tcPr>
          <w:p w14:paraId="5E3DE3A1">
            <w:pPr>
              <w:autoSpaceDE w:val="0"/>
              <w:autoSpaceDN w:val="0"/>
              <w:adjustRightInd w:val="0"/>
              <w:spacing w:line="360" w:lineRule="auto"/>
              <w:jc w:val="center"/>
              <w:rPr>
                <w:color w:val="auto"/>
                <w:kern w:val="0"/>
                <w:sz w:val="24"/>
                <w:highlight w:val="none"/>
              </w:rPr>
            </w:pPr>
          </w:p>
        </w:tc>
        <w:tc>
          <w:tcPr>
            <w:tcW w:w="1655" w:type="dxa"/>
            <w:noWrap/>
            <w:vAlign w:val="center"/>
          </w:tcPr>
          <w:p w14:paraId="5E9378DA">
            <w:pPr>
              <w:autoSpaceDE w:val="0"/>
              <w:autoSpaceDN w:val="0"/>
              <w:adjustRightInd w:val="0"/>
              <w:spacing w:line="360" w:lineRule="auto"/>
              <w:jc w:val="center"/>
              <w:rPr>
                <w:color w:val="auto"/>
                <w:kern w:val="0"/>
                <w:sz w:val="24"/>
                <w:highlight w:val="none"/>
              </w:rPr>
            </w:pPr>
          </w:p>
        </w:tc>
        <w:tc>
          <w:tcPr>
            <w:tcW w:w="1982" w:type="dxa"/>
            <w:noWrap/>
            <w:vAlign w:val="center"/>
          </w:tcPr>
          <w:p w14:paraId="048D0AD4">
            <w:pPr>
              <w:autoSpaceDE w:val="0"/>
              <w:autoSpaceDN w:val="0"/>
              <w:adjustRightInd w:val="0"/>
              <w:spacing w:line="360" w:lineRule="auto"/>
              <w:jc w:val="center"/>
              <w:rPr>
                <w:color w:val="auto"/>
                <w:kern w:val="0"/>
                <w:sz w:val="24"/>
                <w:highlight w:val="none"/>
              </w:rPr>
            </w:pPr>
          </w:p>
        </w:tc>
        <w:tc>
          <w:tcPr>
            <w:tcW w:w="2436" w:type="dxa"/>
            <w:noWrap/>
            <w:vAlign w:val="center"/>
          </w:tcPr>
          <w:p w14:paraId="2DB9CFD4">
            <w:pPr>
              <w:autoSpaceDE w:val="0"/>
              <w:autoSpaceDN w:val="0"/>
              <w:adjustRightInd w:val="0"/>
              <w:spacing w:line="360" w:lineRule="auto"/>
              <w:jc w:val="center"/>
              <w:rPr>
                <w:color w:val="auto"/>
                <w:kern w:val="0"/>
                <w:sz w:val="24"/>
                <w:highlight w:val="none"/>
              </w:rPr>
            </w:pPr>
          </w:p>
        </w:tc>
      </w:tr>
      <w:tr w14:paraId="242A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66" w:type="dxa"/>
            <w:noWrap/>
            <w:vAlign w:val="center"/>
          </w:tcPr>
          <w:p w14:paraId="2E9D9800">
            <w:pPr>
              <w:autoSpaceDE w:val="0"/>
              <w:autoSpaceDN w:val="0"/>
              <w:adjustRightInd w:val="0"/>
              <w:spacing w:line="360" w:lineRule="auto"/>
              <w:jc w:val="center"/>
              <w:rPr>
                <w:color w:val="auto"/>
                <w:kern w:val="0"/>
                <w:sz w:val="24"/>
                <w:highlight w:val="none"/>
              </w:rPr>
            </w:pPr>
          </w:p>
        </w:tc>
        <w:tc>
          <w:tcPr>
            <w:tcW w:w="1439" w:type="dxa"/>
            <w:noWrap/>
            <w:vAlign w:val="center"/>
          </w:tcPr>
          <w:p w14:paraId="6E1BE0D2">
            <w:pPr>
              <w:autoSpaceDE w:val="0"/>
              <w:autoSpaceDN w:val="0"/>
              <w:adjustRightInd w:val="0"/>
              <w:spacing w:line="360" w:lineRule="auto"/>
              <w:jc w:val="center"/>
              <w:rPr>
                <w:color w:val="auto"/>
                <w:kern w:val="0"/>
                <w:sz w:val="24"/>
                <w:highlight w:val="none"/>
              </w:rPr>
            </w:pPr>
          </w:p>
        </w:tc>
        <w:tc>
          <w:tcPr>
            <w:tcW w:w="1655" w:type="dxa"/>
            <w:noWrap/>
            <w:vAlign w:val="center"/>
          </w:tcPr>
          <w:p w14:paraId="5885B74A">
            <w:pPr>
              <w:autoSpaceDE w:val="0"/>
              <w:autoSpaceDN w:val="0"/>
              <w:adjustRightInd w:val="0"/>
              <w:spacing w:line="360" w:lineRule="auto"/>
              <w:jc w:val="center"/>
              <w:rPr>
                <w:color w:val="auto"/>
                <w:kern w:val="0"/>
                <w:sz w:val="24"/>
                <w:highlight w:val="none"/>
              </w:rPr>
            </w:pPr>
          </w:p>
        </w:tc>
        <w:tc>
          <w:tcPr>
            <w:tcW w:w="1982" w:type="dxa"/>
            <w:noWrap/>
            <w:vAlign w:val="center"/>
          </w:tcPr>
          <w:p w14:paraId="64BD37DE">
            <w:pPr>
              <w:autoSpaceDE w:val="0"/>
              <w:autoSpaceDN w:val="0"/>
              <w:adjustRightInd w:val="0"/>
              <w:spacing w:line="360" w:lineRule="auto"/>
              <w:jc w:val="center"/>
              <w:rPr>
                <w:color w:val="auto"/>
                <w:kern w:val="0"/>
                <w:sz w:val="24"/>
                <w:highlight w:val="none"/>
              </w:rPr>
            </w:pPr>
          </w:p>
        </w:tc>
        <w:tc>
          <w:tcPr>
            <w:tcW w:w="2436" w:type="dxa"/>
            <w:noWrap/>
            <w:vAlign w:val="center"/>
          </w:tcPr>
          <w:p w14:paraId="13701E3B">
            <w:pPr>
              <w:autoSpaceDE w:val="0"/>
              <w:autoSpaceDN w:val="0"/>
              <w:adjustRightInd w:val="0"/>
              <w:spacing w:line="360" w:lineRule="auto"/>
              <w:jc w:val="center"/>
              <w:rPr>
                <w:color w:val="auto"/>
                <w:kern w:val="0"/>
                <w:sz w:val="24"/>
                <w:highlight w:val="none"/>
              </w:rPr>
            </w:pPr>
          </w:p>
        </w:tc>
      </w:tr>
      <w:tr w14:paraId="2DD9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66" w:type="dxa"/>
            <w:noWrap/>
            <w:vAlign w:val="center"/>
          </w:tcPr>
          <w:p w14:paraId="7081E14F">
            <w:pPr>
              <w:autoSpaceDE w:val="0"/>
              <w:autoSpaceDN w:val="0"/>
              <w:adjustRightInd w:val="0"/>
              <w:spacing w:line="360" w:lineRule="auto"/>
              <w:jc w:val="center"/>
              <w:rPr>
                <w:color w:val="auto"/>
                <w:kern w:val="0"/>
                <w:sz w:val="24"/>
                <w:highlight w:val="none"/>
              </w:rPr>
            </w:pPr>
          </w:p>
        </w:tc>
        <w:tc>
          <w:tcPr>
            <w:tcW w:w="1439" w:type="dxa"/>
            <w:noWrap/>
            <w:vAlign w:val="center"/>
          </w:tcPr>
          <w:p w14:paraId="53E945B0">
            <w:pPr>
              <w:autoSpaceDE w:val="0"/>
              <w:autoSpaceDN w:val="0"/>
              <w:adjustRightInd w:val="0"/>
              <w:spacing w:line="360" w:lineRule="auto"/>
              <w:jc w:val="center"/>
              <w:rPr>
                <w:color w:val="auto"/>
                <w:kern w:val="0"/>
                <w:sz w:val="24"/>
                <w:highlight w:val="none"/>
              </w:rPr>
            </w:pPr>
          </w:p>
        </w:tc>
        <w:tc>
          <w:tcPr>
            <w:tcW w:w="1655" w:type="dxa"/>
            <w:noWrap/>
            <w:vAlign w:val="center"/>
          </w:tcPr>
          <w:p w14:paraId="2BC6EA77">
            <w:pPr>
              <w:autoSpaceDE w:val="0"/>
              <w:autoSpaceDN w:val="0"/>
              <w:adjustRightInd w:val="0"/>
              <w:spacing w:line="360" w:lineRule="auto"/>
              <w:jc w:val="center"/>
              <w:rPr>
                <w:color w:val="auto"/>
                <w:kern w:val="0"/>
                <w:sz w:val="24"/>
                <w:highlight w:val="none"/>
              </w:rPr>
            </w:pPr>
          </w:p>
        </w:tc>
        <w:tc>
          <w:tcPr>
            <w:tcW w:w="1982" w:type="dxa"/>
            <w:noWrap/>
            <w:vAlign w:val="center"/>
          </w:tcPr>
          <w:p w14:paraId="3D6A85AF">
            <w:pPr>
              <w:autoSpaceDE w:val="0"/>
              <w:autoSpaceDN w:val="0"/>
              <w:adjustRightInd w:val="0"/>
              <w:spacing w:line="360" w:lineRule="auto"/>
              <w:jc w:val="center"/>
              <w:rPr>
                <w:color w:val="auto"/>
                <w:kern w:val="0"/>
                <w:sz w:val="24"/>
                <w:highlight w:val="none"/>
              </w:rPr>
            </w:pPr>
          </w:p>
        </w:tc>
        <w:tc>
          <w:tcPr>
            <w:tcW w:w="2436" w:type="dxa"/>
            <w:noWrap/>
            <w:vAlign w:val="center"/>
          </w:tcPr>
          <w:p w14:paraId="6340DB9D">
            <w:pPr>
              <w:autoSpaceDE w:val="0"/>
              <w:autoSpaceDN w:val="0"/>
              <w:adjustRightInd w:val="0"/>
              <w:spacing w:line="360" w:lineRule="auto"/>
              <w:jc w:val="center"/>
              <w:rPr>
                <w:color w:val="auto"/>
                <w:kern w:val="0"/>
                <w:sz w:val="24"/>
                <w:highlight w:val="none"/>
              </w:rPr>
            </w:pPr>
          </w:p>
        </w:tc>
      </w:tr>
    </w:tbl>
    <w:p w14:paraId="7067BD9C">
      <w:pPr>
        <w:autoSpaceDE w:val="0"/>
        <w:autoSpaceDN w:val="0"/>
        <w:adjustRightInd w:val="0"/>
        <w:spacing w:line="360" w:lineRule="auto"/>
        <w:jc w:val="left"/>
        <w:rPr>
          <w:color w:val="auto"/>
          <w:kern w:val="0"/>
          <w:sz w:val="24"/>
          <w:highlight w:val="none"/>
        </w:rPr>
      </w:pPr>
    </w:p>
    <w:p w14:paraId="3FF8BF2F">
      <w:pPr>
        <w:autoSpaceDE w:val="0"/>
        <w:autoSpaceDN w:val="0"/>
        <w:adjustRightInd w:val="0"/>
        <w:spacing w:line="360" w:lineRule="auto"/>
        <w:jc w:val="left"/>
        <w:rPr>
          <w:color w:val="auto"/>
          <w:kern w:val="0"/>
          <w:sz w:val="24"/>
          <w:highlight w:val="none"/>
        </w:rPr>
      </w:pPr>
    </w:p>
    <w:p w14:paraId="290851A3">
      <w:pPr>
        <w:jc w:val="center"/>
        <w:outlineLvl w:val="1"/>
        <w:rPr>
          <w:rStyle w:val="64"/>
          <w:color w:val="auto"/>
          <w:highlight w:val="none"/>
        </w:rPr>
      </w:pPr>
      <w:r>
        <w:rPr>
          <w:rStyle w:val="64"/>
          <w:rFonts w:hint="eastAsia"/>
          <w:color w:val="auto"/>
          <w:highlight w:val="none"/>
        </w:rPr>
        <w:br w:type="page"/>
      </w:r>
      <w:bookmarkStart w:id="1089" w:name="_Toc30182"/>
      <w:r>
        <w:rPr>
          <w:rStyle w:val="64"/>
          <w:rFonts w:hint="eastAsia"/>
          <w:color w:val="auto"/>
          <w:highlight w:val="none"/>
        </w:rPr>
        <w:t>七、反商业贿赂承诺书</w:t>
      </w:r>
      <w:bookmarkEnd w:id="1079"/>
      <w:bookmarkEnd w:id="1080"/>
      <w:bookmarkEnd w:id="1081"/>
      <w:bookmarkEnd w:id="1082"/>
      <w:bookmarkEnd w:id="1083"/>
      <w:bookmarkEnd w:id="1084"/>
      <w:bookmarkEnd w:id="1085"/>
      <w:bookmarkEnd w:id="1086"/>
      <w:bookmarkEnd w:id="1087"/>
      <w:bookmarkEnd w:id="1088"/>
      <w:bookmarkEnd w:id="1089"/>
    </w:p>
    <w:p w14:paraId="59DA3481">
      <w:pPr>
        <w:spacing w:line="480" w:lineRule="exact"/>
        <w:rPr>
          <w:color w:val="auto"/>
          <w:highlight w:val="none"/>
        </w:rPr>
      </w:pPr>
      <w:r>
        <w:rPr>
          <w:rFonts w:hint="eastAsia"/>
          <w:color w:val="auto"/>
          <w:highlight w:val="none"/>
        </w:rPr>
        <w:t>我公司承诺：</w:t>
      </w:r>
    </w:p>
    <w:p w14:paraId="04DE5A65">
      <w:pPr>
        <w:spacing w:line="480" w:lineRule="exact"/>
        <w:ind w:firstLine="555"/>
        <w:rPr>
          <w:color w:val="auto"/>
          <w:highlight w:val="none"/>
        </w:rPr>
      </w:pPr>
      <w:r>
        <w:rPr>
          <w:rFonts w:hint="eastAsia"/>
          <w:color w:val="auto"/>
          <w:highlight w:val="none"/>
        </w:rPr>
        <w:t>在</w:t>
      </w:r>
      <w:r>
        <w:rPr>
          <w:rFonts w:hint="eastAsia"/>
          <w:color w:val="auto"/>
          <w:highlight w:val="none"/>
          <w:u w:val="single"/>
        </w:rPr>
        <w:t xml:space="preserve"> （项目名称）              </w:t>
      </w:r>
      <w:r>
        <w:rPr>
          <w:rFonts w:hint="eastAsia"/>
          <w:color w:val="auto"/>
          <w:highlight w:val="none"/>
        </w:rPr>
        <w:t>采购活动中，我公司保证做到：</w:t>
      </w:r>
    </w:p>
    <w:p w14:paraId="3F342B4D">
      <w:pPr>
        <w:spacing w:line="480" w:lineRule="exact"/>
        <w:ind w:firstLine="555"/>
        <w:rPr>
          <w:color w:val="auto"/>
          <w:highlight w:val="none"/>
        </w:rPr>
      </w:pPr>
      <w:r>
        <w:rPr>
          <w:rFonts w:hint="eastAsia"/>
          <w:color w:val="auto"/>
          <w:highlight w:val="none"/>
        </w:rPr>
        <w:t>1. 公平竞争参加本次采购活动。</w:t>
      </w:r>
    </w:p>
    <w:p w14:paraId="3F1F2EF4">
      <w:pPr>
        <w:spacing w:line="480" w:lineRule="exact"/>
        <w:ind w:firstLine="556"/>
        <w:rPr>
          <w:color w:val="auto"/>
          <w:highlight w:val="none"/>
        </w:rPr>
      </w:pPr>
      <w:r>
        <w:rPr>
          <w:rFonts w:hint="eastAsia"/>
          <w:color w:val="auto"/>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D0B870B">
      <w:pPr>
        <w:spacing w:line="480" w:lineRule="exact"/>
        <w:ind w:firstLine="556"/>
        <w:rPr>
          <w:color w:val="auto"/>
          <w:highlight w:val="none"/>
        </w:rPr>
      </w:pPr>
      <w:r>
        <w:rPr>
          <w:rFonts w:hint="eastAsia"/>
          <w:color w:val="auto"/>
          <w:highlight w:val="none"/>
        </w:rPr>
        <w:t>3. 若出现上述行为，我公司及参与磋商的工作人员愿意接受按照国家法律法规等有关规定给予的处罚。</w:t>
      </w:r>
    </w:p>
    <w:p w14:paraId="75A10504">
      <w:pPr>
        <w:spacing w:line="480" w:lineRule="exact"/>
        <w:ind w:firstLine="555"/>
        <w:rPr>
          <w:color w:val="auto"/>
          <w:highlight w:val="none"/>
        </w:rPr>
      </w:pPr>
    </w:p>
    <w:p w14:paraId="15EEADF6">
      <w:pPr>
        <w:spacing w:line="480" w:lineRule="exact"/>
        <w:ind w:firstLine="555"/>
        <w:rPr>
          <w:color w:val="auto"/>
          <w:highlight w:val="none"/>
        </w:rPr>
      </w:pPr>
      <w:r>
        <w:rPr>
          <w:rFonts w:hint="eastAsia"/>
          <w:color w:val="auto"/>
          <w:highlight w:val="none"/>
        </w:rPr>
        <w:t xml:space="preserve">                            供应商名称：（电子签章）</w:t>
      </w:r>
    </w:p>
    <w:p w14:paraId="58E3E3B0">
      <w:pPr>
        <w:spacing w:line="480" w:lineRule="exact"/>
        <w:ind w:firstLine="555"/>
        <w:rPr>
          <w:color w:val="auto"/>
          <w:highlight w:val="none"/>
        </w:rPr>
      </w:pPr>
    </w:p>
    <w:p w14:paraId="34F23BCE">
      <w:pPr>
        <w:spacing w:line="480" w:lineRule="exact"/>
        <w:ind w:firstLine="3492" w:firstLineChars="1663"/>
        <w:rPr>
          <w:color w:val="auto"/>
          <w:highlight w:val="none"/>
        </w:rPr>
      </w:pPr>
      <w:r>
        <w:rPr>
          <w:rFonts w:hint="eastAsia"/>
          <w:color w:val="auto"/>
          <w:highlight w:val="none"/>
        </w:rPr>
        <w:t>法定代表人或其被授权人：（签字或电子签章）</w:t>
      </w:r>
    </w:p>
    <w:p w14:paraId="75E6B502">
      <w:pPr>
        <w:spacing w:line="480" w:lineRule="exact"/>
        <w:ind w:firstLine="555"/>
        <w:rPr>
          <w:color w:val="auto"/>
          <w:highlight w:val="none"/>
        </w:rPr>
      </w:pPr>
    </w:p>
    <w:p w14:paraId="3F18B9C6">
      <w:pPr>
        <w:spacing w:line="480" w:lineRule="exact"/>
        <w:ind w:firstLine="6010" w:firstLineChars="2862"/>
        <w:rPr>
          <w:color w:val="auto"/>
          <w:highlight w:val="none"/>
        </w:rPr>
      </w:pPr>
      <w:r>
        <w:rPr>
          <w:rFonts w:hint="eastAsia"/>
          <w:color w:val="auto"/>
          <w:highlight w:val="none"/>
        </w:rPr>
        <w:t>年   月   日</w:t>
      </w:r>
    </w:p>
    <w:p w14:paraId="2DB617B7">
      <w:pPr>
        <w:spacing w:line="480" w:lineRule="exact"/>
        <w:ind w:firstLine="555"/>
        <w:rPr>
          <w:color w:val="auto"/>
          <w:highlight w:val="none"/>
        </w:rPr>
      </w:pPr>
    </w:p>
    <w:p w14:paraId="7E025690">
      <w:pPr>
        <w:rPr>
          <w:color w:val="auto"/>
          <w:highlight w:val="none"/>
        </w:rPr>
      </w:pPr>
    </w:p>
    <w:p w14:paraId="5BE7E5CC">
      <w:pPr>
        <w:jc w:val="center"/>
        <w:outlineLvl w:val="1"/>
        <w:rPr>
          <w:color w:val="auto"/>
          <w:highlight w:val="none"/>
        </w:rPr>
      </w:pPr>
      <w:r>
        <w:rPr>
          <w:color w:val="auto"/>
          <w:highlight w:val="none"/>
        </w:rPr>
        <w:br w:type="page"/>
      </w:r>
      <w:r>
        <w:rPr>
          <w:rStyle w:val="64"/>
          <w:rFonts w:hint="eastAsia"/>
          <w:color w:val="auto"/>
          <w:highlight w:val="none"/>
        </w:rPr>
        <w:t>八、中小企业声明函</w:t>
      </w:r>
    </w:p>
    <w:p w14:paraId="382CDCCD">
      <w:pPr>
        <w:spacing w:line="480" w:lineRule="auto"/>
        <w:ind w:firstLine="422"/>
        <w:jc w:val="center"/>
        <w:rPr>
          <w:b/>
          <w:bCs/>
          <w:color w:val="auto"/>
          <w:highlight w:val="none"/>
        </w:rPr>
      </w:pPr>
      <w:r>
        <w:rPr>
          <w:rFonts w:hint="eastAsia"/>
          <w:b/>
          <w:bCs/>
          <w:color w:val="auto"/>
          <w:highlight w:val="none"/>
        </w:rPr>
        <w:t>中小企业声明函（货物）</w:t>
      </w:r>
    </w:p>
    <w:p w14:paraId="5A03E075">
      <w:pPr>
        <w:pStyle w:val="18"/>
        <w:autoSpaceDE w:val="0"/>
        <w:autoSpaceDN w:val="0"/>
        <w:spacing w:before="55" w:line="360" w:lineRule="auto"/>
        <w:ind w:left="63" w:right="63" w:firstLine="480"/>
        <w:jc w:val="both"/>
        <w:rPr>
          <w:snapToGrid w:val="0"/>
          <w:color w:val="auto"/>
          <w:sz w:val="21"/>
          <w:szCs w:val="21"/>
          <w:highlight w:val="none"/>
        </w:rPr>
      </w:pPr>
      <w:bookmarkStart w:id="1090" w:name="_Toc21261"/>
      <w:bookmarkStart w:id="1091" w:name="_Toc76134527"/>
      <w:bookmarkStart w:id="1092" w:name="_Toc14374"/>
      <w:bookmarkStart w:id="1093" w:name="OLE_LINK14"/>
      <w:bookmarkStart w:id="1094" w:name="_Toc14029"/>
      <w:bookmarkStart w:id="1095" w:name="_Toc19300"/>
      <w:bookmarkStart w:id="1096" w:name="_Toc65662093"/>
      <w:bookmarkStart w:id="1097" w:name="_Toc10802"/>
      <w:bookmarkStart w:id="1098" w:name="OLE_LINK13"/>
      <w:r>
        <w:rPr>
          <w:rFonts w:hint="eastAsia"/>
          <w:snapToGrid w:val="0"/>
          <w:color w:val="auto"/>
          <w:sz w:val="21"/>
          <w:szCs w:val="21"/>
          <w:highlight w:val="none"/>
        </w:rPr>
        <w:t>本公司（联合体）郑重声明，根据《政府采购促进中小企业发展管理办法》（财库﹝2020﹞46 号）的规定，本公司（联合体 ）参加</w:t>
      </w:r>
      <w:r>
        <w:rPr>
          <w:rFonts w:hint="eastAsia"/>
          <w:snapToGrid w:val="0"/>
          <w:color w:val="auto"/>
          <w:sz w:val="21"/>
          <w:szCs w:val="21"/>
          <w:highlight w:val="none"/>
          <w:u w:val="single"/>
        </w:rPr>
        <w:t>（单位名称）</w:t>
      </w:r>
      <w:r>
        <w:rPr>
          <w:rFonts w:hint="eastAsia"/>
          <w:snapToGrid w:val="0"/>
          <w:color w:val="auto"/>
          <w:sz w:val="21"/>
          <w:szCs w:val="21"/>
          <w:highlight w:val="none"/>
        </w:rPr>
        <w:t>的</w:t>
      </w:r>
      <w:r>
        <w:rPr>
          <w:rFonts w:hint="eastAsia"/>
          <w:snapToGrid w:val="0"/>
          <w:color w:val="auto"/>
          <w:sz w:val="21"/>
          <w:szCs w:val="21"/>
          <w:highlight w:val="none"/>
          <w:u w:val="single"/>
        </w:rPr>
        <w:t>（项目名称）</w:t>
      </w:r>
      <w:r>
        <w:rPr>
          <w:rFonts w:hint="eastAsia"/>
          <w:snapToGrid w:val="0"/>
          <w:color w:val="auto"/>
          <w:sz w:val="21"/>
          <w:szCs w:val="21"/>
          <w:highlight w:val="none"/>
        </w:rPr>
        <w:t>采购活动，提供的货物全部由符合政策要求的中小企业制造。相关企业（含联合体中的中小企业、签订分包意向协议的中小企业） 的具体情况如下：</w:t>
      </w:r>
    </w:p>
    <w:p w14:paraId="2D547828">
      <w:pPr>
        <w:pStyle w:val="172"/>
        <w:tabs>
          <w:tab w:val="left" w:pos="1183"/>
          <w:tab w:val="left" w:pos="1484"/>
          <w:tab w:val="left" w:pos="4662"/>
          <w:tab w:val="left" w:pos="6903"/>
        </w:tabs>
        <w:autoSpaceDE w:val="0"/>
        <w:autoSpaceDN w:val="0"/>
        <w:spacing w:line="360" w:lineRule="auto"/>
        <w:ind w:right="169" w:firstLine="0" w:firstLineChars="0"/>
        <w:jc w:val="left"/>
        <w:rPr>
          <w:snapToGrid w:val="0"/>
          <w:color w:val="auto"/>
          <w:highlight w:val="none"/>
        </w:rPr>
      </w:pPr>
      <w:r>
        <w:rPr>
          <w:rFonts w:hint="eastAsia"/>
          <w:snapToGrid w:val="0"/>
          <w:color w:val="auto"/>
          <w:highlight w:val="none"/>
        </w:rPr>
        <w:t xml:space="preserve">    1.</w:t>
      </w:r>
      <w:r>
        <w:rPr>
          <w:rFonts w:hint="eastAsia"/>
          <w:snapToGrid w:val="0"/>
          <w:color w:val="auto"/>
          <w:highlight w:val="none"/>
          <w:u w:val="single"/>
        </w:rPr>
        <w:t>（ 标 的 名 称 ）</w:t>
      </w:r>
      <w:r>
        <w:rPr>
          <w:rFonts w:hint="eastAsia"/>
          <w:snapToGrid w:val="0"/>
          <w:color w:val="auto"/>
          <w:highlight w:val="none"/>
        </w:rPr>
        <w:t xml:space="preserve"> ， 属于  </w:t>
      </w:r>
      <w:r>
        <w:rPr>
          <w:rFonts w:hint="eastAsia"/>
          <w:snapToGrid w:val="0"/>
          <w:color w:val="auto"/>
          <w:highlight w:val="none"/>
          <w:u w:val="single"/>
        </w:rPr>
        <w:t>（采购文件中明确的所属行业） 行业</w:t>
      </w:r>
      <w:r>
        <w:rPr>
          <w:rFonts w:hint="eastAsia"/>
          <w:snapToGrid w:val="0"/>
          <w:color w:val="auto"/>
          <w:w w:val="99"/>
          <w:highlight w:val="none"/>
        </w:rPr>
        <w:t>；</w:t>
      </w:r>
      <w:r>
        <w:rPr>
          <w:rFonts w:hint="eastAsia"/>
          <w:snapToGrid w:val="0"/>
          <w:color w:val="auto"/>
          <w:highlight w:val="none"/>
        </w:rPr>
        <w:t>制造商为</w:t>
      </w:r>
      <w:r>
        <w:rPr>
          <w:rFonts w:hint="eastAsia"/>
          <w:snapToGrid w:val="0"/>
          <w:color w:val="auto"/>
          <w:highlight w:val="none"/>
          <w:u w:val="single"/>
        </w:rPr>
        <w:t>（企业名称）</w:t>
      </w:r>
      <w:r>
        <w:rPr>
          <w:rFonts w:hint="eastAsia"/>
          <w:snapToGrid w:val="0"/>
          <w:color w:val="auto"/>
          <w:w w:val="96"/>
          <w:highlight w:val="none"/>
          <w:u w:val="single"/>
        </w:rPr>
        <w:t xml:space="preserve">  </w:t>
      </w:r>
      <w:r>
        <w:rPr>
          <w:rFonts w:hint="eastAsia"/>
          <w:snapToGrid w:val="0"/>
          <w:color w:val="auto"/>
          <w:w w:val="99"/>
          <w:highlight w:val="none"/>
        </w:rPr>
        <w:t>，</w:t>
      </w:r>
      <w:r>
        <w:rPr>
          <w:rFonts w:hint="eastAsia"/>
          <w:snapToGrid w:val="0"/>
          <w:color w:val="auto"/>
          <w:highlight w:val="none"/>
        </w:rPr>
        <w:t>从业人员</w:t>
      </w:r>
      <w:r>
        <w:rPr>
          <w:rFonts w:hint="eastAsia"/>
          <w:snapToGrid w:val="0"/>
          <w:color w:val="auto"/>
          <w:w w:val="99"/>
          <w:highlight w:val="none"/>
          <w:u w:val="single"/>
        </w:rPr>
        <w:t xml:space="preserve"> </w:t>
      </w:r>
      <w:r>
        <w:rPr>
          <w:rFonts w:hint="eastAsia"/>
          <w:snapToGrid w:val="0"/>
          <w:color w:val="auto"/>
          <w:highlight w:val="none"/>
          <w:u w:val="single"/>
        </w:rPr>
        <w:tab/>
      </w:r>
      <w:r>
        <w:rPr>
          <w:rFonts w:hint="eastAsia"/>
          <w:snapToGrid w:val="0"/>
          <w:color w:val="auto"/>
          <w:highlight w:val="none"/>
        </w:rPr>
        <w:t>人</w:t>
      </w:r>
      <w:r>
        <w:rPr>
          <w:rFonts w:hint="eastAsia"/>
          <w:snapToGrid w:val="0"/>
          <w:color w:val="auto"/>
          <w:w w:val="99"/>
          <w:highlight w:val="none"/>
        </w:rPr>
        <w:t>，</w:t>
      </w:r>
      <w:r>
        <w:rPr>
          <w:rFonts w:hint="eastAsia"/>
          <w:snapToGrid w:val="0"/>
          <w:color w:val="auto"/>
          <w:highlight w:val="none"/>
        </w:rPr>
        <w:t>营业收入为</w:t>
      </w:r>
      <w:r>
        <w:rPr>
          <w:rFonts w:hint="eastAsia"/>
          <w:snapToGrid w:val="0"/>
          <w:color w:val="auto"/>
          <w:highlight w:val="none"/>
          <w:u w:val="single"/>
        </w:rPr>
        <w:t xml:space="preserve"> </w:t>
      </w:r>
      <w:r>
        <w:rPr>
          <w:rFonts w:hint="eastAsia"/>
          <w:snapToGrid w:val="0"/>
          <w:color w:val="auto"/>
          <w:highlight w:val="none"/>
          <w:u w:val="single"/>
        </w:rPr>
        <w:tab/>
      </w:r>
      <w:r>
        <w:rPr>
          <w:rFonts w:hint="eastAsia"/>
          <w:snapToGrid w:val="0"/>
          <w:color w:val="auto"/>
          <w:highlight w:val="none"/>
        </w:rPr>
        <w:t>万元，资产总额为</w:t>
      </w:r>
      <w:r>
        <w:rPr>
          <w:rFonts w:hint="eastAsia"/>
          <w:snapToGrid w:val="0"/>
          <w:color w:val="auto"/>
          <w:highlight w:val="none"/>
          <w:u w:val="single"/>
        </w:rPr>
        <w:t xml:space="preserve"> </w:t>
      </w:r>
      <w:r>
        <w:rPr>
          <w:rFonts w:hint="eastAsia"/>
          <w:snapToGrid w:val="0"/>
          <w:color w:val="auto"/>
          <w:highlight w:val="none"/>
          <w:u w:val="single"/>
        </w:rPr>
        <w:tab/>
      </w:r>
      <w:r>
        <w:rPr>
          <w:rFonts w:hint="eastAsia"/>
          <w:snapToGrid w:val="0"/>
          <w:color w:val="auto"/>
          <w:highlight w:val="none"/>
        </w:rPr>
        <w:t>万元，属于</w:t>
      </w:r>
      <w:r>
        <w:rPr>
          <w:rFonts w:hint="eastAsia"/>
          <w:snapToGrid w:val="0"/>
          <w:color w:val="auto"/>
          <w:highlight w:val="none"/>
          <w:u w:val="single"/>
        </w:rPr>
        <w:t>（中型企业、小型企业、微型企业）</w:t>
      </w:r>
      <w:r>
        <w:rPr>
          <w:rFonts w:hint="eastAsia"/>
          <w:snapToGrid w:val="0"/>
          <w:color w:val="auto"/>
          <w:w w:val="99"/>
          <w:highlight w:val="none"/>
        </w:rPr>
        <w:t>；</w:t>
      </w:r>
    </w:p>
    <w:p w14:paraId="506FC0A9">
      <w:pPr>
        <w:pStyle w:val="172"/>
        <w:tabs>
          <w:tab w:val="left" w:pos="1165"/>
          <w:tab w:val="left" w:pos="1183"/>
          <w:tab w:val="left" w:pos="4362"/>
          <w:tab w:val="left" w:pos="6577"/>
        </w:tabs>
        <w:autoSpaceDE w:val="0"/>
        <w:autoSpaceDN w:val="0"/>
        <w:spacing w:line="360" w:lineRule="auto"/>
        <w:ind w:right="169" w:firstLine="0" w:firstLineChars="0"/>
        <w:jc w:val="left"/>
        <w:rPr>
          <w:snapToGrid w:val="0"/>
          <w:color w:val="auto"/>
          <w:highlight w:val="none"/>
        </w:rPr>
      </w:pPr>
      <w:r>
        <w:rPr>
          <w:rFonts w:hint="eastAsia"/>
          <w:snapToGrid w:val="0"/>
          <w:color w:val="auto"/>
          <w:highlight w:val="none"/>
        </w:rPr>
        <w:t xml:space="preserve">    2.</w:t>
      </w:r>
      <w:r>
        <w:rPr>
          <w:rFonts w:hint="eastAsia"/>
          <w:snapToGrid w:val="0"/>
          <w:color w:val="auto"/>
          <w:highlight w:val="none"/>
          <w:u w:val="single"/>
        </w:rPr>
        <w:t xml:space="preserve">（ 标 的 名 称 ） </w:t>
      </w:r>
      <w:r>
        <w:rPr>
          <w:rFonts w:hint="eastAsia"/>
          <w:snapToGrid w:val="0"/>
          <w:color w:val="auto"/>
          <w:highlight w:val="none"/>
        </w:rPr>
        <w:t xml:space="preserve">， 属于 </w:t>
      </w:r>
      <w:r>
        <w:rPr>
          <w:rFonts w:hint="eastAsia"/>
          <w:snapToGrid w:val="0"/>
          <w:color w:val="auto"/>
          <w:highlight w:val="none"/>
          <w:u w:val="single"/>
        </w:rPr>
        <w:t xml:space="preserve"> （采购文件中明确的所属行业） 行业</w:t>
      </w:r>
      <w:r>
        <w:rPr>
          <w:rFonts w:hint="eastAsia"/>
          <w:snapToGrid w:val="0"/>
          <w:color w:val="auto"/>
          <w:w w:val="99"/>
          <w:highlight w:val="none"/>
        </w:rPr>
        <w:t>；</w:t>
      </w:r>
      <w:r>
        <w:rPr>
          <w:rFonts w:hint="eastAsia"/>
          <w:snapToGrid w:val="0"/>
          <w:color w:val="auto"/>
          <w:highlight w:val="none"/>
        </w:rPr>
        <w:t>制造商</w:t>
      </w:r>
      <w:r>
        <w:rPr>
          <w:rFonts w:hint="eastAsia"/>
          <w:snapToGrid w:val="0"/>
          <w:color w:val="auto"/>
          <w:w w:val="99"/>
          <w:highlight w:val="none"/>
        </w:rPr>
        <w:t>为</w:t>
      </w:r>
      <w:r>
        <w:rPr>
          <w:rFonts w:hint="eastAsia"/>
          <w:snapToGrid w:val="0"/>
          <w:color w:val="auto"/>
          <w:highlight w:val="none"/>
          <w:u w:val="single"/>
        </w:rPr>
        <w:t>（企业名称）</w:t>
      </w:r>
      <w:r>
        <w:rPr>
          <w:rFonts w:hint="eastAsia"/>
          <w:snapToGrid w:val="0"/>
          <w:color w:val="auto"/>
          <w:w w:val="99"/>
          <w:highlight w:val="none"/>
        </w:rPr>
        <w:t>，</w:t>
      </w:r>
      <w:r>
        <w:rPr>
          <w:rFonts w:hint="eastAsia"/>
          <w:snapToGrid w:val="0"/>
          <w:color w:val="auto"/>
          <w:highlight w:val="none"/>
        </w:rPr>
        <w:t>从业人员</w:t>
      </w:r>
      <w:r>
        <w:rPr>
          <w:rFonts w:hint="eastAsia"/>
          <w:snapToGrid w:val="0"/>
          <w:color w:val="auto"/>
          <w:w w:val="99"/>
          <w:highlight w:val="none"/>
          <w:u w:val="single"/>
        </w:rPr>
        <w:t xml:space="preserve"> </w:t>
      </w:r>
      <w:r>
        <w:rPr>
          <w:rFonts w:hint="eastAsia"/>
          <w:snapToGrid w:val="0"/>
          <w:color w:val="auto"/>
          <w:highlight w:val="none"/>
          <w:u w:val="single"/>
        </w:rPr>
        <w:tab/>
      </w:r>
      <w:r>
        <w:rPr>
          <w:rFonts w:hint="eastAsia"/>
          <w:snapToGrid w:val="0"/>
          <w:color w:val="auto"/>
          <w:highlight w:val="none"/>
        </w:rPr>
        <w:t>人</w:t>
      </w:r>
      <w:r>
        <w:rPr>
          <w:rFonts w:hint="eastAsia"/>
          <w:snapToGrid w:val="0"/>
          <w:color w:val="auto"/>
          <w:w w:val="99"/>
          <w:highlight w:val="none"/>
        </w:rPr>
        <w:t>，</w:t>
      </w:r>
      <w:r>
        <w:rPr>
          <w:rFonts w:hint="eastAsia"/>
          <w:snapToGrid w:val="0"/>
          <w:color w:val="auto"/>
          <w:highlight w:val="none"/>
        </w:rPr>
        <w:t>营业收入为</w:t>
      </w:r>
      <w:r>
        <w:rPr>
          <w:rFonts w:hint="eastAsia"/>
          <w:snapToGrid w:val="0"/>
          <w:color w:val="auto"/>
          <w:highlight w:val="none"/>
          <w:u w:val="single"/>
        </w:rPr>
        <w:t xml:space="preserve"> </w:t>
      </w:r>
      <w:r>
        <w:rPr>
          <w:rFonts w:hint="eastAsia"/>
          <w:snapToGrid w:val="0"/>
          <w:color w:val="auto"/>
          <w:highlight w:val="none"/>
          <w:u w:val="single"/>
        </w:rPr>
        <w:tab/>
      </w:r>
      <w:r>
        <w:rPr>
          <w:rFonts w:hint="eastAsia"/>
          <w:snapToGrid w:val="0"/>
          <w:color w:val="auto"/>
          <w:highlight w:val="none"/>
        </w:rPr>
        <w:t>万元，资产总额为</w:t>
      </w:r>
      <w:r>
        <w:rPr>
          <w:rFonts w:hint="eastAsia"/>
          <w:snapToGrid w:val="0"/>
          <w:color w:val="auto"/>
          <w:highlight w:val="none"/>
          <w:u w:val="single"/>
        </w:rPr>
        <w:t xml:space="preserve">    </w:t>
      </w:r>
      <w:r>
        <w:rPr>
          <w:rFonts w:hint="eastAsia"/>
          <w:snapToGrid w:val="0"/>
          <w:color w:val="auto"/>
          <w:highlight w:val="none"/>
          <w:u w:val="single"/>
        </w:rPr>
        <w:tab/>
      </w:r>
      <w:r>
        <w:rPr>
          <w:rFonts w:hint="eastAsia"/>
          <w:snapToGrid w:val="0"/>
          <w:color w:val="auto"/>
          <w:highlight w:val="none"/>
        </w:rPr>
        <w:t>万元，属于</w:t>
      </w:r>
      <w:r>
        <w:rPr>
          <w:rFonts w:hint="eastAsia"/>
          <w:snapToGrid w:val="0"/>
          <w:color w:val="auto"/>
          <w:highlight w:val="none"/>
          <w:u w:val="single"/>
        </w:rPr>
        <w:t>（中型企业、小型企业、微型企业）</w:t>
      </w:r>
      <w:r>
        <w:rPr>
          <w:rFonts w:hint="eastAsia"/>
          <w:snapToGrid w:val="0"/>
          <w:color w:val="auto"/>
          <w:w w:val="99"/>
          <w:highlight w:val="none"/>
        </w:rPr>
        <w:t>；</w:t>
      </w:r>
    </w:p>
    <w:p w14:paraId="06A12739">
      <w:pPr>
        <w:pStyle w:val="18"/>
        <w:autoSpaceDE w:val="0"/>
        <w:autoSpaceDN w:val="0"/>
        <w:spacing w:line="360" w:lineRule="auto"/>
        <w:ind w:left="63" w:right="63"/>
        <w:jc w:val="left"/>
        <w:rPr>
          <w:snapToGrid w:val="0"/>
          <w:color w:val="auto"/>
          <w:sz w:val="21"/>
          <w:szCs w:val="21"/>
          <w:highlight w:val="none"/>
        </w:rPr>
      </w:pPr>
      <w:r>
        <w:rPr>
          <w:rFonts w:hint="eastAsia"/>
          <w:snapToGrid w:val="0"/>
          <w:color w:val="auto"/>
          <w:sz w:val="21"/>
          <w:szCs w:val="21"/>
          <w:highlight w:val="none"/>
        </w:rPr>
        <w:t>……</w:t>
      </w:r>
    </w:p>
    <w:p w14:paraId="48638368">
      <w:pPr>
        <w:pStyle w:val="18"/>
        <w:autoSpaceDE w:val="0"/>
        <w:autoSpaceDN w:val="0"/>
        <w:spacing w:before="105" w:line="360" w:lineRule="auto"/>
        <w:ind w:left="63" w:right="63" w:firstLine="645"/>
        <w:jc w:val="both"/>
        <w:rPr>
          <w:snapToGrid w:val="0"/>
          <w:color w:val="auto"/>
          <w:sz w:val="21"/>
          <w:szCs w:val="21"/>
          <w:highlight w:val="none"/>
        </w:rPr>
      </w:pPr>
      <w:r>
        <w:rPr>
          <w:rFonts w:hint="eastAsia"/>
          <w:snapToGrid w:val="0"/>
          <w:color w:val="auto"/>
          <w:sz w:val="21"/>
          <w:szCs w:val="21"/>
          <w:highlight w:val="none"/>
        </w:rPr>
        <w:t>以上企业，不属于大企业的分支机构，不存在控股股东为大企业的情形，也不存在与大企业的负责人为同一人的情形。</w:t>
      </w:r>
    </w:p>
    <w:p w14:paraId="2F508A08">
      <w:pPr>
        <w:pStyle w:val="18"/>
        <w:autoSpaceDE w:val="0"/>
        <w:autoSpaceDN w:val="0"/>
        <w:spacing w:line="360" w:lineRule="auto"/>
        <w:ind w:left="63" w:right="63" w:firstLine="645"/>
        <w:jc w:val="both"/>
        <w:rPr>
          <w:snapToGrid w:val="0"/>
          <w:color w:val="auto"/>
          <w:sz w:val="21"/>
          <w:szCs w:val="21"/>
          <w:highlight w:val="none"/>
        </w:rPr>
      </w:pPr>
      <w:r>
        <w:rPr>
          <w:rFonts w:hint="eastAsia"/>
          <w:snapToGrid w:val="0"/>
          <w:color w:val="auto"/>
          <w:sz w:val="21"/>
          <w:szCs w:val="21"/>
          <w:highlight w:val="none"/>
        </w:rPr>
        <w:t>本企业对上述声明内容的真实性负责。如有虚假，将依法承担相应责任。</w:t>
      </w:r>
    </w:p>
    <w:p w14:paraId="48C46130">
      <w:pPr>
        <w:pStyle w:val="18"/>
        <w:autoSpaceDE w:val="0"/>
        <w:autoSpaceDN w:val="0"/>
        <w:spacing w:before="35" w:line="360" w:lineRule="auto"/>
        <w:ind w:left="63" w:right="63"/>
        <w:rPr>
          <w:snapToGrid w:val="0"/>
          <w:color w:val="auto"/>
          <w:sz w:val="21"/>
          <w:szCs w:val="21"/>
          <w:highlight w:val="none"/>
        </w:rPr>
      </w:pPr>
      <w:r>
        <w:rPr>
          <w:rFonts w:hint="eastAsia"/>
          <w:snapToGrid w:val="0"/>
          <w:color w:val="auto"/>
          <w:sz w:val="21"/>
          <w:szCs w:val="21"/>
          <w:highlight w:val="none"/>
        </w:rPr>
        <w:t xml:space="preserve">         </w:t>
      </w:r>
    </w:p>
    <w:p w14:paraId="0654702F">
      <w:pPr>
        <w:pStyle w:val="18"/>
        <w:autoSpaceDE w:val="0"/>
        <w:autoSpaceDN w:val="0"/>
        <w:spacing w:before="35" w:line="360" w:lineRule="auto"/>
        <w:ind w:left="63" w:right="63"/>
        <w:rPr>
          <w:snapToGrid w:val="0"/>
          <w:color w:val="auto"/>
          <w:sz w:val="21"/>
          <w:szCs w:val="21"/>
          <w:highlight w:val="none"/>
          <w:u w:val="single"/>
        </w:rPr>
      </w:pPr>
      <w:r>
        <w:rPr>
          <w:rFonts w:hint="eastAsia"/>
          <w:snapToGrid w:val="0"/>
          <w:color w:val="auto"/>
          <w:sz w:val="21"/>
          <w:szCs w:val="21"/>
          <w:highlight w:val="none"/>
        </w:rPr>
        <w:t xml:space="preserve">            企业名称（电子签章）： </w:t>
      </w:r>
      <w:r>
        <w:rPr>
          <w:rFonts w:hint="eastAsia"/>
          <w:snapToGrid w:val="0"/>
          <w:color w:val="auto"/>
          <w:sz w:val="21"/>
          <w:szCs w:val="21"/>
          <w:highlight w:val="none"/>
          <w:u w:val="single"/>
        </w:rPr>
        <w:t xml:space="preserve">           </w:t>
      </w:r>
    </w:p>
    <w:p w14:paraId="3B70AE7A">
      <w:pPr>
        <w:spacing w:line="360" w:lineRule="auto"/>
        <w:ind w:firstLine="420" w:firstLineChars="200"/>
        <w:jc w:val="center"/>
        <w:rPr>
          <w:color w:val="auto"/>
          <w:kern w:val="0"/>
          <w:highlight w:val="none"/>
        </w:rPr>
      </w:pPr>
      <w:r>
        <w:rPr>
          <w:rFonts w:hint="eastAsia"/>
          <w:snapToGrid w:val="0"/>
          <w:color w:val="auto"/>
          <w:highlight w:val="none"/>
        </w:rPr>
        <w:t>日     期：</w:t>
      </w:r>
      <w:r>
        <w:rPr>
          <w:rFonts w:hint="eastAsia"/>
          <w:color w:val="auto"/>
          <w:highlight w:val="none"/>
        </w:rPr>
        <w:t xml:space="preserve"> </w:t>
      </w:r>
      <w:r>
        <w:rPr>
          <w:rFonts w:hint="eastAsia"/>
          <w:color w:val="auto"/>
          <w:highlight w:val="none"/>
          <w:u w:val="single"/>
        </w:rPr>
        <w:t xml:space="preserve">              </w:t>
      </w:r>
      <w:r>
        <w:rPr>
          <w:rFonts w:hint="eastAsia"/>
          <w:color w:val="auto"/>
          <w:spacing w:val="20"/>
          <w:highlight w:val="none"/>
          <w:u w:val="single"/>
        </w:rPr>
        <w:t xml:space="preserve"> </w:t>
      </w:r>
    </w:p>
    <w:p w14:paraId="74712B5F">
      <w:pPr>
        <w:spacing w:line="400" w:lineRule="exact"/>
        <w:rPr>
          <w:color w:val="auto"/>
          <w:highlight w:val="none"/>
        </w:rPr>
      </w:pPr>
      <w:r>
        <w:rPr>
          <w:rFonts w:hint="eastAsia"/>
          <w:color w:val="auto"/>
          <w:highlight w:val="none"/>
        </w:rPr>
        <w:t>备注：</w:t>
      </w:r>
    </w:p>
    <w:p w14:paraId="510CA1F8">
      <w:pPr>
        <w:spacing w:line="400" w:lineRule="exact"/>
        <w:rPr>
          <w:color w:val="auto"/>
          <w:highlight w:val="none"/>
        </w:rPr>
      </w:pPr>
      <w:r>
        <w:rPr>
          <w:rFonts w:hint="eastAsia"/>
          <w:color w:val="auto"/>
          <w:highlight w:val="none"/>
        </w:rPr>
        <w:t>①若供应商为非(中型、小型、微型）企业，本声明函无需填写（可附原稿）。</w:t>
      </w:r>
    </w:p>
    <w:p w14:paraId="60251DA1">
      <w:pPr>
        <w:pStyle w:val="147"/>
        <w:spacing w:line="400" w:lineRule="exact"/>
        <w:rPr>
          <w:rFonts w:hAnsi="宋体"/>
          <w:color w:val="auto"/>
          <w:sz w:val="21"/>
          <w:szCs w:val="21"/>
          <w:highlight w:val="none"/>
        </w:rPr>
      </w:pPr>
      <w:r>
        <w:rPr>
          <w:rFonts w:hint="eastAsia" w:hAnsi="宋体"/>
          <w:color w:val="auto"/>
          <w:sz w:val="21"/>
          <w:szCs w:val="21"/>
          <w:highlight w:val="none"/>
        </w:rPr>
        <w:t>②</w:t>
      </w:r>
      <w:r>
        <w:rPr>
          <w:rFonts w:hint="eastAsia" w:hAnsi="宋体"/>
          <w:color w:val="auto"/>
          <w:sz w:val="21"/>
          <w:szCs w:val="21"/>
          <w:highlight w:val="none"/>
          <w:vertAlign w:val="superscript"/>
        </w:rPr>
        <w:t>1</w:t>
      </w:r>
      <w:r>
        <w:rPr>
          <w:rFonts w:hint="eastAsia" w:hAnsi="宋体"/>
          <w:color w:val="auto"/>
          <w:sz w:val="21"/>
          <w:szCs w:val="21"/>
          <w:highlight w:val="none"/>
        </w:rPr>
        <w:t>从业人员、营业收入、资产总额填报上一年度数据，无上一年度数据的新成立企业可不填报。</w:t>
      </w:r>
    </w:p>
    <w:p w14:paraId="69FD25A2">
      <w:pPr>
        <w:pStyle w:val="46"/>
        <w:spacing w:line="400" w:lineRule="exact"/>
        <w:jc w:val="center"/>
        <w:rPr>
          <w:color w:val="auto"/>
          <w:highlight w:val="none"/>
        </w:rPr>
      </w:pPr>
    </w:p>
    <w:p w14:paraId="269886D7">
      <w:pPr>
        <w:widowControl/>
        <w:wordWrap/>
        <w:topLinePunct w:val="0"/>
        <w:spacing w:line="340" w:lineRule="exact"/>
        <w:rPr>
          <w:color w:val="auto"/>
          <w:highlight w:val="none"/>
        </w:rPr>
      </w:pPr>
      <w:bookmarkStart w:id="1099" w:name="bookmark354"/>
      <w:bookmarkEnd w:id="1099"/>
      <w:r>
        <w:rPr>
          <w:rFonts w:hint="eastAsia"/>
          <w:b/>
          <w:color w:val="auto"/>
          <w:highlight w:val="none"/>
        </w:rPr>
        <w:t>（提醒：如果供应商不满足小型、微型企业的认定标准，或所投产品的制造商不符合小型、微型企业认定标准的，则不需要提供《中小企业声明函》。否则，因此导致虚假投标的后果由供应商自行承担。）</w:t>
      </w:r>
    </w:p>
    <w:p w14:paraId="0EF7E1DB">
      <w:pPr>
        <w:rPr>
          <w:color w:val="auto"/>
          <w:highlight w:val="none"/>
        </w:rPr>
      </w:pPr>
      <w:r>
        <w:rPr>
          <w:rFonts w:hint="eastAsia"/>
          <w:color w:val="auto"/>
          <w:highlight w:val="none"/>
        </w:rPr>
        <w:br w:type="page"/>
      </w:r>
    </w:p>
    <w:p w14:paraId="4376193D">
      <w:pPr>
        <w:jc w:val="center"/>
        <w:outlineLvl w:val="1"/>
        <w:rPr>
          <w:rStyle w:val="64"/>
          <w:color w:val="auto"/>
          <w:highlight w:val="none"/>
        </w:rPr>
      </w:pPr>
      <w:r>
        <w:rPr>
          <w:rStyle w:val="64"/>
          <w:rFonts w:hint="eastAsia"/>
          <w:color w:val="auto"/>
          <w:highlight w:val="none"/>
        </w:rPr>
        <w:t>九、残疾人福利性单位声明函</w:t>
      </w:r>
    </w:p>
    <w:p w14:paraId="6277C4AB">
      <w:pPr>
        <w:spacing w:line="480" w:lineRule="auto"/>
        <w:jc w:val="center"/>
        <w:rPr>
          <w:b/>
          <w:color w:val="auto"/>
          <w:spacing w:val="6"/>
          <w:highlight w:val="none"/>
        </w:rPr>
      </w:pPr>
      <w:r>
        <w:rPr>
          <w:rFonts w:hint="eastAsia"/>
          <w:b/>
          <w:bCs/>
          <w:color w:val="auto"/>
          <w:highlight w:val="none"/>
        </w:rPr>
        <w:t>残疾人福利性单位声明函</w:t>
      </w:r>
      <w:bookmarkEnd w:id="1090"/>
      <w:bookmarkEnd w:id="1091"/>
      <w:bookmarkEnd w:id="1092"/>
      <w:bookmarkEnd w:id="1093"/>
      <w:bookmarkEnd w:id="1094"/>
      <w:bookmarkEnd w:id="1095"/>
      <w:bookmarkEnd w:id="1096"/>
      <w:bookmarkEnd w:id="1097"/>
      <w:bookmarkEnd w:id="1098"/>
    </w:p>
    <w:p w14:paraId="4353D490">
      <w:pPr>
        <w:spacing w:line="360" w:lineRule="auto"/>
        <w:ind w:firstLine="444" w:firstLineChars="200"/>
        <w:rPr>
          <w:color w:val="auto"/>
          <w:spacing w:val="6"/>
          <w:highlight w:val="none"/>
        </w:rPr>
      </w:pPr>
    </w:p>
    <w:p w14:paraId="1162D348">
      <w:pPr>
        <w:spacing w:line="360" w:lineRule="auto"/>
        <w:ind w:firstLine="444" w:firstLineChars="200"/>
        <w:rPr>
          <w:color w:val="auto"/>
          <w:spacing w:val="6"/>
          <w:highlight w:val="none"/>
        </w:rPr>
      </w:pPr>
      <w:r>
        <w:rPr>
          <w:rFonts w:hint="eastAsia"/>
          <w:color w:val="auto"/>
          <w:spacing w:val="6"/>
          <w:highlight w:val="none"/>
        </w:rPr>
        <w:t>本单位郑重声明，根据《财政部 民政部 中国残疾人联合会关于促进残疾人就业政府采购政策的通知》（财库</w:t>
      </w:r>
      <w:r>
        <w:rPr>
          <w:rFonts w:hint="eastAsia"/>
          <w:color w:val="auto"/>
          <w:highlight w:val="none"/>
        </w:rPr>
        <w:t>〔2017〕141</w:t>
      </w:r>
      <w:r>
        <w:rPr>
          <w:rFonts w:hint="eastAsia"/>
          <w:color w:val="auto"/>
          <w:spacing w:val="6"/>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F226B48">
      <w:pPr>
        <w:spacing w:line="360" w:lineRule="auto"/>
        <w:ind w:firstLine="444" w:firstLineChars="200"/>
        <w:rPr>
          <w:color w:val="auto"/>
          <w:spacing w:val="6"/>
          <w:highlight w:val="none"/>
        </w:rPr>
      </w:pPr>
      <w:r>
        <w:rPr>
          <w:rFonts w:hint="eastAsia"/>
          <w:color w:val="auto"/>
          <w:spacing w:val="6"/>
          <w:highlight w:val="none"/>
        </w:rPr>
        <w:t>本单位对上述声明的真实性负责。如有虚假，将依法承担相应责任。</w:t>
      </w:r>
    </w:p>
    <w:p w14:paraId="1A01717A">
      <w:pPr>
        <w:spacing w:line="480" w:lineRule="auto"/>
        <w:ind w:firstLine="3570" w:firstLineChars="1700"/>
        <w:jc w:val="left"/>
        <w:rPr>
          <w:color w:val="auto"/>
          <w:highlight w:val="none"/>
        </w:rPr>
      </w:pPr>
      <w:r>
        <w:rPr>
          <w:rFonts w:hint="eastAsia"/>
          <w:color w:val="auto"/>
          <w:highlight w:val="none"/>
        </w:rPr>
        <w:t>供应商名称：</w:t>
      </w:r>
      <w:r>
        <w:rPr>
          <w:rFonts w:hint="eastAsia"/>
          <w:color w:val="auto"/>
          <w:highlight w:val="none"/>
          <w:u w:val="single"/>
        </w:rPr>
        <w:t xml:space="preserve">                    （</w:t>
      </w:r>
      <w:r>
        <w:rPr>
          <w:rFonts w:hint="eastAsia"/>
          <w:color w:val="auto"/>
          <w:highlight w:val="none"/>
        </w:rPr>
        <w:t>电子签章）</w:t>
      </w:r>
    </w:p>
    <w:p w14:paraId="495C495F">
      <w:pPr>
        <w:spacing w:line="360" w:lineRule="auto"/>
        <w:ind w:firstLine="4830" w:firstLineChars="2300"/>
        <w:jc w:val="left"/>
        <w:rPr>
          <w:color w:val="auto"/>
          <w:highlight w:val="none"/>
        </w:rPr>
      </w:pPr>
    </w:p>
    <w:p w14:paraId="4B19A14F">
      <w:pPr>
        <w:spacing w:line="360" w:lineRule="auto"/>
        <w:ind w:firstLine="5250" w:firstLineChars="2500"/>
        <w:jc w:val="left"/>
        <w:rPr>
          <w:color w:val="auto"/>
          <w:highlight w:val="none"/>
        </w:rPr>
      </w:pPr>
      <w:r>
        <w:rPr>
          <w:rFonts w:hint="eastAsia"/>
          <w:color w:val="auto"/>
          <w:highlight w:val="none"/>
        </w:rPr>
        <w:t>年   月   日</w:t>
      </w:r>
    </w:p>
    <w:p w14:paraId="70DC1B43">
      <w:pPr>
        <w:tabs>
          <w:tab w:val="left" w:pos="840"/>
        </w:tabs>
        <w:autoSpaceDE w:val="0"/>
        <w:autoSpaceDN w:val="0"/>
        <w:adjustRightInd w:val="0"/>
        <w:spacing w:line="360" w:lineRule="auto"/>
        <w:jc w:val="center"/>
        <w:rPr>
          <w:b/>
          <w:color w:val="auto"/>
          <w:sz w:val="24"/>
          <w:highlight w:val="none"/>
        </w:rPr>
      </w:pPr>
    </w:p>
    <w:p w14:paraId="26EFF33B">
      <w:pPr>
        <w:widowControl/>
        <w:spacing w:line="360" w:lineRule="auto"/>
        <w:rPr>
          <w:b/>
          <w:color w:val="auto"/>
          <w:highlight w:val="none"/>
        </w:rPr>
      </w:pPr>
      <w:r>
        <w:rPr>
          <w:rFonts w:hint="eastAsia"/>
          <w:b/>
          <w:color w:val="auto"/>
          <w:highlight w:val="none"/>
        </w:rPr>
        <w:t>（提醒：如果供应商</w:t>
      </w:r>
      <w:r>
        <w:rPr>
          <w:rFonts w:hint="eastAsia"/>
          <w:b/>
          <w:color w:val="auto"/>
          <w:spacing w:val="10"/>
          <w:kern w:val="0"/>
          <w:highlight w:val="none"/>
        </w:rPr>
        <w:t>不是残疾人福利性单位</w:t>
      </w:r>
      <w:r>
        <w:rPr>
          <w:rFonts w:hint="eastAsia"/>
          <w:b/>
          <w:color w:val="auto"/>
          <w:highlight w:val="none"/>
        </w:rPr>
        <w:t>，则不需要提供《残疾人福利性单位声明函》。否则，因此导致虚假投标的后果由供应商自行承担。）</w:t>
      </w:r>
    </w:p>
    <w:p w14:paraId="6970F94C">
      <w:pPr>
        <w:tabs>
          <w:tab w:val="left" w:pos="840"/>
        </w:tabs>
        <w:autoSpaceDE w:val="0"/>
        <w:autoSpaceDN w:val="0"/>
        <w:adjustRightInd w:val="0"/>
        <w:spacing w:line="360" w:lineRule="auto"/>
        <w:rPr>
          <w:b/>
          <w:color w:val="auto"/>
          <w:sz w:val="24"/>
          <w:highlight w:val="none"/>
        </w:rPr>
      </w:pPr>
    </w:p>
    <w:p w14:paraId="617DDAC4">
      <w:pPr>
        <w:spacing w:line="360" w:lineRule="auto"/>
        <w:rPr>
          <w:color w:val="auto"/>
          <w:highlight w:val="none"/>
        </w:rPr>
      </w:pPr>
      <w:r>
        <w:rPr>
          <w:rFonts w:hint="eastAsia"/>
          <w:color w:val="auto"/>
          <w:highlight w:val="none"/>
        </w:rPr>
        <w:t>《财政部民政部中国残疾人联合会关于促进残疾人就业政府采购政策的通知》（财库2017〔141〕号）的规定：</w:t>
      </w:r>
    </w:p>
    <w:p w14:paraId="390561D1">
      <w:pPr>
        <w:spacing w:line="360" w:lineRule="auto"/>
        <w:ind w:firstLine="420" w:firstLineChars="200"/>
        <w:rPr>
          <w:color w:val="auto"/>
          <w:highlight w:val="none"/>
        </w:rPr>
      </w:pPr>
      <w:r>
        <w:rPr>
          <w:rFonts w:hint="eastAsia"/>
          <w:color w:val="auto"/>
          <w:highlight w:val="none"/>
        </w:rPr>
        <w:t>1. 享受政府采购支持政策的残疾人福利性单位应当同时满足以下条件：</w:t>
      </w:r>
    </w:p>
    <w:p w14:paraId="06FA2C47">
      <w:pPr>
        <w:spacing w:line="360" w:lineRule="auto"/>
        <w:rPr>
          <w:color w:val="auto"/>
          <w:highlight w:val="none"/>
        </w:rPr>
      </w:pPr>
      <w:r>
        <w:rPr>
          <w:rFonts w:hint="eastAsia"/>
          <w:color w:val="auto"/>
          <w:highlight w:val="none"/>
        </w:rPr>
        <w:t>（1）安置的残疾人占本单位在职职工人数的比例不低于25%（含25%），并且安置的残疾人人数不少于10人（含10人）；</w:t>
      </w:r>
    </w:p>
    <w:p w14:paraId="6BAC6688">
      <w:pPr>
        <w:spacing w:line="360" w:lineRule="auto"/>
        <w:rPr>
          <w:color w:val="auto"/>
          <w:highlight w:val="none"/>
        </w:rPr>
      </w:pPr>
      <w:r>
        <w:rPr>
          <w:rFonts w:hint="eastAsia"/>
          <w:color w:val="auto"/>
          <w:highlight w:val="none"/>
        </w:rPr>
        <w:t>（2）依法与安置的每位残疾人签订了一年以上（含一年）的劳动合同或服务协议；</w:t>
      </w:r>
    </w:p>
    <w:p w14:paraId="50E8BF08">
      <w:pPr>
        <w:spacing w:line="360" w:lineRule="auto"/>
        <w:rPr>
          <w:color w:val="auto"/>
          <w:highlight w:val="none"/>
        </w:rPr>
      </w:pPr>
      <w:r>
        <w:rPr>
          <w:rFonts w:hint="eastAsia"/>
          <w:color w:val="auto"/>
          <w:highlight w:val="none"/>
        </w:rPr>
        <w:t>（3）为安置的每位残疾人按月足额缴纳了基本养老保险、基本医疗保险、失业保险、工伤保险和生育保险等社会保险费；</w:t>
      </w:r>
    </w:p>
    <w:p w14:paraId="6D04DA21">
      <w:pPr>
        <w:spacing w:line="360" w:lineRule="auto"/>
        <w:rPr>
          <w:color w:val="auto"/>
          <w:highlight w:val="none"/>
        </w:rPr>
      </w:pPr>
      <w:r>
        <w:rPr>
          <w:rFonts w:hint="eastAsia"/>
          <w:color w:val="auto"/>
          <w:highlight w:val="none"/>
        </w:rPr>
        <w:t>（4）通过银行等金融机构向安置的每位残疾人，按月支付了不低于单位所在区县适用的经省级人民政府批准的月最低工资标准的工资；</w:t>
      </w:r>
    </w:p>
    <w:p w14:paraId="308651C5">
      <w:pPr>
        <w:spacing w:line="360" w:lineRule="auto"/>
        <w:rPr>
          <w:color w:val="auto"/>
          <w:highlight w:val="none"/>
        </w:rPr>
      </w:pPr>
      <w:r>
        <w:rPr>
          <w:rFonts w:hint="eastAsia"/>
          <w:color w:val="auto"/>
          <w:highlight w:val="none"/>
        </w:rPr>
        <w:t>（5）提供本单位制造的货物、承担的工程或者服务（以下简称产品），或者提供其他残疾人福利性单位制造的货物（不包括使用非残疾人福利性单位注册商标的货物）。</w:t>
      </w:r>
    </w:p>
    <w:p w14:paraId="4643CFD1">
      <w:pPr>
        <w:spacing w:line="360" w:lineRule="auto"/>
        <w:ind w:firstLine="420" w:firstLineChars="200"/>
        <w:rPr>
          <w:b/>
          <w:color w:val="auto"/>
          <w:sz w:val="24"/>
          <w:highlight w:val="none"/>
        </w:rPr>
      </w:pPr>
      <w:r>
        <w:rPr>
          <w:rFonts w:hint="eastAsia"/>
          <w:color w:val="auto"/>
          <w:highlight w:val="none"/>
        </w:rPr>
        <w:t>2. 成交人为残疾人福利性单位的，采购人或者其委托的采购代理机构应当随成交、成交结果同时公告其《残疾人福利性单位声明函》，接受社会监督。</w:t>
      </w:r>
    </w:p>
    <w:p w14:paraId="47CBCD6F">
      <w:pPr>
        <w:jc w:val="center"/>
        <w:outlineLvl w:val="1"/>
        <w:rPr>
          <w:b/>
          <w:bCs/>
          <w:color w:val="auto"/>
          <w:highlight w:val="none"/>
        </w:rPr>
      </w:pPr>
      <w:r>
        <w:rPr>
          <w:rFonts w:hint="eastAsia"/>
          <w:color w:val="auto"/>
          <w:highlight w:val="none"/>
        </w:rPr>
        <w:br w:type="page"/>
      </w:r>
      <w:r>
        <w:rPr>
          <w:rStyle w:val="64"/>
          <w:rFonts w:hint="eastAsia"/>
          <w:color w:val="auto"/>
          <w:highlight w:val="none"/>
        </w:rPr>
        <w:t>十、监狱企业证明文件</w:t>
      </w:r>
    </w:p>
    <w:p w14:paraId="07C9E03C">
      <w:pPr>
        <w:rPr>
          <w:color w:val="auto"/>
          <w:highlight w:val="none"/>
        </w:rPr>
      </w:pPr>
    </w:p>
    <w:p w14:paraId="46F0617C">
      <w:pPr>
        <w:pStyle w:val="176"/>
        <w:jc w:val="center"/>
        <w:rPr>
          <w:b/>
          <w:bCs/>
          <w:color w:val="auto"/>
          <w:highlight w:val="none"/>
        </w:rPr>
      </w:pPr>
      <w:r>
        <w:rPr>
          <w:rFonts w:hint="eastAsia"/>
          <w:b/>
          <w:bCs/>
          <w:color w:val="auto"/>
          <w:highlight w:val="none"/>
        </w:rPr>
        <w:t>监狱企业证明文件</w:t>
      </w:r>
    </w:p>
    <w:p w14:paraId="43F6B21D">
      <w:pPr>
        <w:pStyle w:val="176"/>
        <w:jc w:val="center"/>
        <w:rPr>
          <w:b/>
          <w:bCs/>
          <w:color w:val="auto"/>
          <w:highlight w:val="none"/>
        </w:rPr>
      </w:pPr>
    </w:p>
    <w:p w14:paraId="6C03F862">
      <w:pPr>
        <w:pStyle w:val="176"/>
        <w:spacing w:line="5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1E544296">
      <w:pPr>
        <w:pStyle w:val="176"/>
        <w:spacing w:line="540" w:lineRule="exact"/>
        <w:rPr>
          <w:rFonts w:ascii="宋体" w:hAnsi="宋体" w:cs="宋体"/>
          <w:color w:val="auto"/>
          <w:sz w:val="21"/>
          <w:szCs w:val="21"/>
          <w:highlight w:val="none"/>
        </w:rPr>
      </w:pPr>
    </w:p>
    <w:p w14:paraId="510003C1">
      <w:pPr>
        <w:pStyle w:val="176"/>
        <w:spacing w:line="540" w:lineRule="exact"/>
        <w:rPr>
          <w:rFonts w:ascii="宋体" w:hAnsi="宋体" w:cs="宋体"/>
          <w:color w:val="auto"/>
          <w:sz w:val="21"/>
          <w:szCs w:val="21"/>
          <w:highlight w:val="none"/>
        </w:rPr>
      </w:pPr>
    </w:p>
    <w:p w14:paraId="2DFB6184">
      <w:pPr>
        <w:pStyle w:val="176"/>
        <w:spacing w:line="540" w:lineRule="exact"/>
        <w:rPr>
          <w:rFonts w:ascii="宋体" w:hAnsi="宋体" w:cs="宋体"/>
          <w:color w:val="auto"/>
          <w:sz w:val="21"/>
          <w:szCs w:val="21"/>
          <w:highlight w:val="none"/>
        </w:rPr>
      </w:pPr>
      <w:r>
        <w:rPr>
          <w:rFonts w:hint="eastAsia" w:ascii="宋体" w:hAnsi="宋体" w:cs="宋体"/>
          <w:color w:val="auto"/>
          <w:sz w:val="21"/>
          <w:szCs w:val="21"/>
          <w:highlight w:val="none"/>
        </w:rPr>
        <w:t>注：在响应文件中附扫描件</w:t>
      </w:r>
    </w:p>
    <w:p w14:paraId="29F00103">
      <w:pPr>
        <w:spacing w:line="540" w:lineRule="exact"/>
        <w:ind w:firstLine="480"/>
        <w:rPr>
          <w:color w:val="auto"/>
          <w:szCs w:val="24"/>
          <w:highlight w:val="none"/>
        </w:rPr>
      </w:pPr>
    </w:p>
    <w:p w14:paraId="0646C911">
      <w:pPr>
        <w:spacing w:line="540" w:lineRule="exact"/>
        <w:ind w:firstLine="480"/>
        <w:rPr>
          <w:color w:val="auto"/>
          <w:szCs w:val="24"/>
          <w:highlight w:val="none"/>
        </w:rPr>
      </w:pPr>
    </w:p>
    <w:p w14:paraId="48416D06">
      <w:pPr>
        <w:spacing w:line="480" w:lineRule="auto"/>
        <w:ind w:firstLine="3570" w:firstLineChars="1700"/>
        <w:jc w:val="left"/>
        <w:rPr>
          <w:color w:val="auto"/>
          <w:highlight w:val="none"/>
        </w:rPr>
      </w:pPr>
      <w:r>
        <w:rPr>
          <w:rFonts w:hint="eastAsia"/>
          <w:color w:val="auto"/>
          <w:highlight w:val="none"/>
        </w:rPr>
        <w:t>供应商名称：</w:t>
      </w:r>
      <w:r>
        <w:rPr>
          <w:rFonts w:hint="eastAsia"/>
          <w:color w:val="auto"/>
          <w:highlight w:val="none"/>
          <w:u w:val="single"/>
        </w:rPr>
        <w:t xml:space="preserve">                    （</w:t>
      </w:r>
      <w:r>
        <w:rPr>
          <w:rFonts w:hint="eastAsia"/>
          <w:color w:val="auto"/>
          <w:highlight w:val="none"/>
        </w:rPr>
        <w:t>电子签章）</w:t>
      </w:r>
    </w:p>
    <w:p w14:paraId="4F8D7CA4">
      <w:pPr>
        <w:spacing w:line="360" w:lineRule="auto"/>
        <w:ind w:firstLine="4830" w:firstLineChars="2300"/>
        <w:jc w:val="left"/>
        <w:rPr>
          <w:color w:val="auto"/>
          <w:highlight w:val="none"/>
        </w:rPr>
      </w:pPr>
    </w:p>
    <w:p w14:paraId="7FBEEDBD">
      <w:pPr>
        <w:spacing w:line="360" w:lineRule="auto"/>
        <w:ind w:firstLine="5250" w:firstLineChars="2500"/>
        <w:jc w:val="left"/>
        <w:rPr>
          <w:color w:val="auto"/>
          <w:highlight w:val="none"/>
        </w:rPr>
      </w:pPr>
      <w:r>
        <w:rPr>
          <w:rFonts w:hint="eastAsia"/>
          <w:color w:val="auto"/>
          <w:highlight w:val="none"/>
        </w:rPr>
        <w:t>年   月   日</w:t>
      </w:r>
    </w:p>
    <w:p w14:paraId="6C32B7CA">
      <w:pPr>
        <w:widowControl/>
        <w:jc w:val="left"/>
        <w:rPr>
          <w:color w:val="auto"/>
          <w:kern w:val="0"/>
          <w:sz w:val="24"/>
          <w:szCs w:val="24"/>
          <w:highlight w:val="none"/>
        </w:rPr>
      </w:pPr>
    </w:p>
    <w:p w14:paraId="4767F525">
      <w:pPr>
        <w:widowControl/>
        <w:jc w:val="left"/>
        <w:rPr>
          <w:color w:val="auto"/>
          <w:kern w:val="0"/>
          <w:sz w:val="24"/>
          <w:szCs w:val="24"/>
          <w:highlight w:val="none"/>
        </w:rPr>
      </w:pPr>
    </w:p>
    <w:p w14:paraId="4DBE8543">
      <w:pPr>
        <w:widowControl/>
        <w:jc w:val="left"/>
        <w:rPr>
          <w:color w:val="auto"/>
          <w:highlight w:val="none"/>
        </w:rPr>
      </w:pPr>
      <w:r>
        <w:rPr>
          <w:rFonts w:hint="eastAsia"/>
          <w:b/>
          <w:color w:val="auto"/>
          <w:kern w:val="0"/>
          <w:sz w:val="24"/>
          <w:szCs w:val="24"/>
          <w:highlight w:val="none"/>
        </w:rPr>
        <w:t>【注：如果供应商不是监狱企业单位， 则无需填写（可附原稿）】</w:t>
      </w:r>
    </w:p>
    <w:p w14:paraId="5F6CCC2D">
      <w:pPr>
        <w:pStyle w:val="46"/>
        <w:rPr>
          <w:color w:val="auto"/>
          <w:highlight w:val="none"/>
        </w:rPr>
      </w:pPr>
    </w:p>
    <w:p w14:paraId="08618ACC">
      <w:pPr>
        <w:jc w:val="center"/>
        <w:outlineLvl w:val="1"/>
        <w:rPr>
          <w:rStyle w:val="64"/>
          <w:color w:val="auto"/>
          <w:highlight w:val="none"/>
        </w:rPr>
      </w:pPr>
      <w:r>
        <w:rPr>
          <w:rFonts w:hint="eastAsia" w:cs="黑体"/>
          <w:color w:val="auto"/>
          <w:sz w:val="28"/>
          <w:szCs w:val="28"/>
          <w:highlight w:val="none"/>
        </w:rPr>
        <w:br w:type="page"/>
      </w:r>
      <w:bookmarkStart w:id="1100" w:name="_Toc9983"/>
      <w:bookmarkStart w:id="1101" w:name="_Toc18701"/>
      <w:bookmarkStart w:id="1102" w:name="_Toc65662094"/>
      <w:bookmarkStart w:id="1103" w:name="_Toc23176"/>
      <w:bookmarkStart w:id="1104" w:name="_Toc28975"/>
      <w:bookmarkStart w:id="1105" w:name="_Toc76134528"/>
      <w:bookmarkStart w:id="1106" w:name="_Toc25525"/>
      <w:bookmarkStart w:id="1107" w:name="_Toc12560"/>
      <w:r>
        <w:rPr>
          <w:rStyle w:val="64"/>
          <w:rFonts w:hint="eastAsia"/>
          <w:color w:val="auto"/>
          <w:highlight w:val="none"/>
        </w:rPr>
        <w:t>十一、其他</w:t>
      </w:r>
      <w:bookmarkEnd w:id="1100"/>
      <w:r>
        <w:rPr>
          <w:rStyle w:val="64"/>
          <w:rFonts w:hint="eastAsia"/>
          <w:color w:val="auto"/>
          <w:highlight w:val="none"/>
        </w:rPr>
        <w:t>资料</w:t>
      </w:r>
      <w:bookmarkEnd w:id="1101"/>
      <w:bookmarkEnd w:id="1102"/>
      <w:bookmarkEnd w:id="1103"/>
      <w:bookmarkEnd w:id="1104"/>
      <w:bookmarkEnd w:id="1105"/>
      <w:bookmarkEnd w:id="1106"/>
      <w:bookmarkEnd w:id="1107"/>
    </w:p>
    <w:p w14:paraId="56E2143B">
      <w:pPr>
        <w:rPr>
          <w:b/>
          <w:color w:val="auto"/>
          <w:highlight w:val="none"/>
        </w:rPr>
      </w:pPr>
    </w:p>
    <w:p w14:paraId="3ADD76CA">
      <w:pPr>
        <w:rPr>
          <w:color w:val="auto"/>
          <w:highlight w:val="none"/>
        </w:rPr>
      </w:pPr>
    </w:p>
    <w:p w14:paraId="0555C2CA">
      <w:pPr>
        <w:pStyle w:val="22"/>
        <w:spacing w:line="500" w:lineRule="exact"/>
        <w:ind w:left="0" w:leftChars="0" w:firstLine="0" w:firstLineChars="0"/>
        <w:jc w:val="center"/>
        <w:rPr>
          <w:bCs/>
          <w:color w:val="auto"/>
          <w:highlight w:val="none"/>
        </w:rPr>
      </w:pPr>
      <w:r>
        <w:rPr>
          <w:rFonts w:hint="eastAsia"/>
          <w:bCs/>
          <w:color w:val="auto"/>
          <w:highlight w:val="none"/>
        </w:rPr>
        <w:t>供应商认为有必要提供的其他资料，格式自拟</w:t>
      </w:r>
    </w:p>
    <w:bookmarkEnd w:id="1053"/>
    <w:p w14:paraId="01969840">
      <w:pPr>
        <w:rPr>
          <w:rFonts w:cs="黑体"/>
          <w:color w:val="auto"/>
          <w:kern w:val="0"/>
          <w:highlight w:val="none"/>
        </w:rPr>
      </w:pPr>
    </w:p>
    <w:p w14:paraId="5982EC29">
      <w:pPr>
        <w:spacing w:line="480" w:lineRule="exact"/>
        <w:rPr>
          <w:color w:val="auto"/>
          <w:highlight w:val="none"/>
        </w:rPr>
      </w:pPr>
    </w:p>
    <w:p w14:paraId="459FC761">
      <w:pPr>
        <w:pStyle w:val="22"/>
        <w:spacing w:line="500" w:lineRule="exact"/>
        <w:ind w:left="0" w:leftChars="0" w:firstLine="0" w:firstLineChars="0"/>
        <w:rPr>
          <w:color w:val="auto"/>
          <w:highlight w:val="none"/>
        </w:rPr>
      </w:pPr>
    </w:p>
    <w:sectPr>
      <w:footerReference r:id="rId16" w:type="default"/>
      <w:pgSz w:w="11907" w:h="16840"/>
      <w:pgMar w:top="1400" w:right="1418" w:bottom="1089" w:left="1418" w:header="624"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0E5C">
    <w:pPr>
      <w:pStyle w:val="32"/>
      <w:pBdr>
        <w:top w:val="single" w:color="auto" w:sz="4" w:space="1"/>
      </w:pBdr>
      <w:ind w:right="360"/>
      <w:rPr>
        <w:rStyle w:val="51"/>
        <w:rFonts w:ascii="宋体" w:hAnsi="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F0AF">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135BA7">
                          <w:pPr>
                            <w:pStyle w:val="3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3135BA7">
                    <w:pPr>
                      <w:pStyle w:val="3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9FBA">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DB8A">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2D66">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3C5AAE">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2A3C5AAE">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53DD">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B1F669">
                          <w:pPr>
                            <w:pStyle w:val="3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B1F669">
                    <w:pPr>
                      <w:pStyle w:val="3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F167">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5009B6">
                          <w:pPr>
                            <w:pStyle w:val="3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A5009B6">
                    <w:pPr>
                      <w:pStyle w:val="3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5CC7">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FD7649">
                          <w:pPr>
                            <w:pStyle w:val="3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3FD7649">
                    <w:pPr>
                      <w:pStyle w:val="3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9F7E">
    <w:pPr>
      <w:pStyle w:val="158"/>
      <w:framePr w:wrap="around" w:vAnchor="text" w:hAnchor="margin" w:xAlign="right" w:y="1"/>
      <w:rPr>
        <w:rFonts w:hint="default"/>
      </w:rPr>
    </w:pPr>
    <w:r>
      <w:fldChar w:fldCharType="begin"/>
    </w:r>
    <w:r>
      <w:instrText xml:space="preserve">PAGE  </w:instrText>
    </w:r>
    <w:r>
      <w:fldChar w:fldCharType="end"/>
    </w:r>
  </w:p>
  <w:p w14:paraId="01CF96D4">
    <w:pPr>
      <w:pStyle w:val="158"/>
      <w:ind w:right="360"/>
      <w:rPr>
        <w:rFonts w:hint="default"/>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24A0">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69B4">
    <w:pPr>
      <w:tabs>
        <w:tab w:val="left" w:pos="8788"/>
      </w:tabs>
      <w:spacing w:line="500" w:lineRule="exact"/>
      <w:ind w:right="-32"/>
      <w:rPr>
        <w:color w:val="000000"/>
        <w:spacing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DBF4">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C288">
    <w:pPr>
      <w:pStyle w:val="33"/>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4911">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C8B71"/>
    <w:multiLevelType w:val="singleLevel"/>
    <w:tmpl w:val="920C8B71"/>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B41C385A"/>
    <w:multiLevelType w:val="singleLevel"/>
    <w:tmpl w:val="B41C385A"/>
    <w:lvl w:ilvl="0" w:tentative="0">
      <w:start w:val="4"/>
      <w:numFmt w:val="chineseCounting"/>
      <w:suff w:val="space"/>
      <w:lvlText w:val="第%1章"/>
      <w:lvlJc w:val="left"/>
      <w:rPr>
        <w:rFonts w:hint="eastAsia"/>
      </w:rPr>
    </w:lvl>
  </w:abstractNum>
  <w:abstractNum w:abstractNumId="5">
    <w:nsid w:val="CD806B66"/>
    <w:multiLevelType w:val="singleLevel"/>
    <w:tmpl w:val="CD806B66"/>
    <w:lvl w:ilvl="0" w:tentative="0">
      <w:start w:val="1"/>
      <w:numFmt w:val="decimal"/>
      <w:lvlText w:val="(%1)"/>
      <w:lvlJc w:val="left"/>
      <w:pPr>
        <w:ind w:left="425" w:hanging="425"/>
      </w:pPr>
      <w:rPr>
        <w:rFonts w:hint="default"/>
      </w:rPr>
    </w:lvl>
  </w:abstractNum>
  <w:abstractNum w:abstractNumId="6">
    <w:nsid w:val="D8FC2C66"/>
    <w:multiLevelType w:val="singleLevel"/>
    <w:tmpl w:val="D8FC2C66"/>
    <w:lvl w:ilvl="0" w:tentative="0">
      <w:start w:val="1"/>
      <w:numFmt w:val="chineseCounting"/>
      <w:suff w:val="space"/>
      <w:lvlText w:val="第%1章"/>
      <w:lvlJc w:val="left"/>
      <w:rPr>
        <w:rFonts w:hint="eastAsia"/>
      </w:rPr>
    </w:lvl>
  </w:abstractNum>
  <w:abstractNum w:abstractNumId="7">
    <w:nsid w:val="F3F79CC7"/>
    <w:multiLevelType w:val="singleLevel"/>
    <w:tmpl w:val="F3F79CC7"/>
    <w:lvl w:ilvl="0" w:tentative="0">
      <w:start w:val="1"/>
      <w:numFmt w:val="decimal"/>
      <w:lvlText w:val="(%1)"/>
      <w:lvlJc w:val="left"/>
      <w:pPr>
        <w:ind w:left="425" w:hanging="425"/>
      </w:pPr>
      <w:rPr>
        <w:rFonts w:hint="default"/>
      </w:rPr>
    </w:lvl>
  </w:abstractNum>
  <w:abstractNum w:abstractNumId="8">
    <w:nsid w:val="FCC59B67"/>
    <w:multiLevelType w:val="singleLevel"/>
    <w:tmpl w:val="FCC59B67"/>
    <w:lvl w:ilvl="0" w:tentative="0">
      <w:start w:val="1"/>
      <w:numFmt w:val="decimal"/>
      <w:lvlText w:val="(%1)"/>
      <w:lvlJc w:val="left"/>
      <w:pPr>
        <w:ind w:left="425" w:hanging="425"/>
      </w:pPr>
      <w:rPr>
        <w:rFonts w:hint="default"/>
      </w:rPr>
    </w:lvl>
  </w:abstractNum>
  <w:abstractNum w:abstractNumId="9">
    <w:nsid w:val="0000000E"/>
    <w:multiLevelType w:val="multilevel"/>
    <w:tmpl w:val="0000000E"/>
    <w:lvl w:ilvl="0" w:tentative="0">
      <w:start w:val="1"/>
      <w:numFmt w:val="decimal"/>
      <w:pStyle w:val="140"/>
      <w:lvlText w:val="%1"/>
      <w:lvlJc w:val="left"/>
      <w:pPr>
        <w:tabs>
          <w:tab w:val="left" w:pos="432"/>
        </w:tabs>
        <w:ind w:left="432" w:hanging="432"/>
      </w:pPr>
      <w:rPr>
        <w:rFonts w:hint="eastAsia"/>
      </w:rPr>
    </w:lvl>
    <w:lvl w:ilvl="1" w:tentative="0">
      <w:start w:val="1"/>
      <w:numFmt w:val="decimal"/>
      <w:pStyle w:val="15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3E19D96"/>
    <w:multiLevelType w:val="multilevel"/>
    <w:tmpl w:val="03E19D96"/>
    <w:lvl w:ilvl="0" w:tentative="0">
      <w:start w:val="2"/>
      <w:numFmt w:val="chineseCounting"/>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68C5653"/>
    <w:multiLevelType w:val="multilevel"/>
    <w:tmpl w:val="068C565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49490AF"/>
    <w:multiLevelType w:val="singleLevel"/>
    <w:tmpl w:val="149490AF"/>
    <w:lvl w:ilvl="0" w:tentative="0">
      <w:start w:val="1"/>
      <w:numFmt w:val="decimal"/>
      <w:lvlText w:val="(%1)"/>
      <w:lvlJc w:val="left"/>
      <w:pPr>
        <w:ind w:left="425" w:hanging="425"/>
      </w:pPr>
      <w:rPr>
        <w:rFonts w:hint="default"/>
      </w:rPr>
    </w:lvl>
  </w:abstractNum>
  <w:abstractNum w:abstractNumId="13">
    <w:nsid w:val="2D6A2507"/>
    <w:multiLevelType w:val="singleLevel"/>
    <w:tmpl w:val="2D6A2507"/>
    <w:lvl w:ilvl="0" w:tentative="0">
      <w:start w:val="1"/>
      <w:numFmt w:val="decimal"/>
      <w:lvlText w:val="(%1)"/>
      <w:lvlJc w:val="left"/>
      <w:pPr>
        <w:ind w:left="425" w:hanging="425"/>
      </w:pPr>
      <w:rPr>
        <w:rFonts w:hint="default"/>
      </w:rPr>
    </w:lvl>
  </w:abstractNum>
  <w:abstractNum w:abstractNumId="14">
    <w:nsid w:val="301B1AF1"/>
    <w:multiLevelType w:val="singleLevel"/>
    <w:tmpl w:val="301B1AF1"/>
    <w:lvl w:ilvl="0" w:tentative="0">
      <w:start w:val="1"/>
      <w:numFmt w:val="decimal"/>
      <w:lvlText w:val="(%1)"/>
      <w:lvlJc w:val="left"/>
      <w:pPr>
        <w:ind w:left="425" w:hanging="425"/>
      </w:pPr>
      <w:rPr>
        <w:rFonts w:hint="default"/>
      </w:rPr>
    </w:lvl>
  </w:abstractNum>
  <w:abstractNum w:abstractNumId="15">
    <w:nsid w:val="454209FB"/>
    <w:multiLevelType w:val="singleLevel"/>
    <w:tmpl w:val="454209FB"/>
    <w:lvl w:ilvl="0" w:tentative="0">
      <w:start w:val="3"/>
      <w:numFmt w:val="chineseCounting"/>
      <w:suff w:val="nothing"/>
      <w:lvlText w:val="（%1）"/>
      <w:lvlJc w:val="left"/>
      <w:rPr>
        <w:rFonts w:hint="eastAsia"/>
      </w:rPr>
    </w:lvl>
  </w:abstractNum>
  <w:abstractNum w:abstractNumId="16">
    <w:nsid w:val="570C9FE6"/>
    <w:multiLevelType w:val="singleLevel"/>
    <w:tmpl w:val="570C9FE6"/>
    <w:lvl w:ilvl="0" w:tentative="0">
      <w:start w:val="1"/>
      <w:numFmt w:val="decimal"/>
      <w:lvlText w:val="(%1)"/>
      <w:lvlJc w:val="left"/>
      <w:pPr>
        <w:ind w:left="425" w:hanging="425"/>
      </w:pPr>
      <w:rPr>
        <w:rFonts w:hint="default"/>
      </w:rPr>
    </w:lvl>
  </w:abstractNum>
  <w:abstractNum w:abstractNumId="17">
    <w:nsid w:val="571CAD6C"/>
    <w:multiLevelType w:val="singleLevel"/>
    <w:tmpl w:val="571CAD6C"/>
    <w:lvl w:ilvl="0" w:tentative="0">
      <w:start w:val="1"/>
      <w:numFmt w:val="upperLetter"/>
      <w:suff w:val="nothing"/>
      <w:lvlText w:val="%1、"/>
      <w:lvlJc w:val="left"/>
    </w:lvl>
  </w:abstractNum>
  <w:abstractNum w:abstractNumId="18">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5BA4F05"/>
    <w:multiLevelType w:val="singleLevel"/>
    <w:tmpl w:val="65BA4F05"/>
    <w:lvl w:ilvl="0" w:tentative="0">
      <w:start w:val="1"/>
      <w:numFmt w:val="decimal"/>
      <w:lvlText w:val="%1."/>
      <w:lvlJc w:val="left"/>
      <w:pPr>
        <w:tabs>
          <w:tab w:val="left" w:pos="312"/>
        </w:tabs>
      </w:pPr>
    </w:lvl>
  </w:abstractNum>
  <w:abstractNum w:abstractNumId="20">
    <w:nsid w:val="6A3DEC23"/>
    <w:multiLevelType w:val="singleLevel"/>
    <w:tmpl w:val="6A3DEC23"/>
    <w:lvl w:ilvl="0" w:tentative="0">
      <w:start w:val="1"/>
      <w:numFmt w:val="decimal"/>
      <w:lvlText w:val="(%1)"/>
      <w:lvlJc w:val="left"/>
      <w:pPr>
        <w:ind w:left="425" w:hanging="425"/>
      </w:pPr>
      <w:rPr>
        <w:rFonts w:hint="default"/>
      </w:rPr>
    </w:lvl>
  </w:abstractNum>
  <w:abstractNum w:abstractNumId="21">
    <w:nsid w:val="6BDA4796"/>
    <w:multiLevelType w:val="singleLevel"/>
    <w:tmpl w:val="6BDA4796"/>
    <w:lvl w:ilvl="0" w:tentative="0">
      <w:start w:val="1"/>
      <w:numFmt w:val="decimal"/>
      <w:lvlText w:val="(%1)"/>
      <w:lvlJc w:val="left"/>
      <w:pPr>
        <w:ind w:left="425" w:hanging="425"/>
      </w:pPr>
      <w:rPr>
        <w:rFonts w:hint="default"/>
      </w:rPr>
    </w:lvl>
  </w:abstractNum>
  <w:abstractNum w:abstractNumId="22">
    <w:nsid w:val="6E9C984D"/>
    <w:multiLevelType w:val="singleLevel"/>
    <w:tmpl w:val="6E9C984D"/>
    <w:lvl w:ilvl="0" w:tentative="0">
      <w:start w:val="1"/>
      <w:numFmt w:val="decimal"/>
      <w:suff w:val="space"/>
      <w:lvlText w:val="%1."/>
      <w:lvlJc w:val="left"/>
    </w:lvl>
  </w:abstractNum>
  <w:abstractNum w:abstractNumId="23">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9"/>
  </w:num>
  <w:num w:numId="2">
    <w:abstractNumId w:val="6"/>
  </w:num>
  <w:num w:numId="3">
    <w:abstractNumId w:val="17"/>
  </w:num>
  <w:num w:numId="4">
    <w:abstractNumId w:val="19"/>
  </w:num>
  <w:num w:numId="5">
    <w:abstractNumId w:val="23"/>
  </w:num>
  <w:num w:numId="6">
    <w:abstractNumId w:val="3"/>
  </w:num>
  <w:num w:numId="7">
    <w:abstractNumId w:val="20"/>
  </w:num>
  <w:num w:numId="8">
    <w:abstractNumId w:val="21"/>
  </w:num>
  <w:num w:numId="9">
    <w:abstractNumId w:val="7"/>
  </w:num>
  <w:num w:numId="10">
    <w:abstractNumId w:val="8"/>
  </w:num>
  <w:num w:numId="11">
    <w:abstractNumId w:val="12"/>
  </w:num>
  <w:num w:numId="12">
    <w:abstractNumId w:val="0"/>
  </w:num>
  <w:num w:numId="13">
    <w:abstractNumId w:val="22"/>
  </w:num>
  <w:num w:numId="14">
    <w:abstractNumId w:val="2"/>
  </w:num>
  <w:num w:numId="15">
    <w:abstractNumId w:val="13"/>
  </w:num>
  <w:num w:numId="16">
    <w:abstractNumId w:val="5"/>
  </w:num>
  <w:num w:numId="17">
    <w:abstractNumId w:val="16"/>
  </w:num>
  <w:num w:numId="18">
    <w:abstractNumId w:val="1"/>
  </w:num>
  <w:num w:numId="19">
    <w:abstractNumId w:val="4"/>
  </w:num>
  <w:num w:numId="20">
    <w:abstractNumId w:val="18"/>
  </w:num>
  <w:num w:numId="21">
    <w:abstractNumId w:val="15"/>
  </w:num>
  <w:num w:numId="22">
    <w:abstractNumId w:val="10"/>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OWYyNDQ0NGU0MjZmNTY3YjM4NDEzYWIyMWVlMDgifQ=="/>
  </w:docVars>
  <w:rsids>
    <w:rsidRoot w:val="00172A27"/>
    <w:rsid w:val="000000E3"/>
    <w:rsid w:val="000008AB"/>
    <w:rsid w:val="0000102C"/>
    <w:rsid w:val="00001E66"/>
    <w:rsid w:val="000022E6"/>
    <w:rsid w:val="000026C2"/>
    <w:rsid w:val="00003211"/>
    <w:rsid w:val="0000408E"/>
    <w:rsid w:val="0000461B"/>
    <w:rsid w:val="0000548F"/>
    <w:rsid w:val="00005AC8"/>
    <w:rsid w:val="0000610D"/>
    <w:rsid w:val="000065BD"/>
    <w:rsid w:val="000068A2"/>
    <w:rsid w:val="0000761F"/>
    <w:rsid w:val="00007813"/>
    <w:rsid w:val="00011697"/>
    <w:rsid w:val="000117E2"/>
    <w:rsid w:val="00013107"/>
    <w:rsid w:val="00015578"/>
    <w:rsid w:val="00015B27"/>
    <w:rsid w:val="00015BEE"/>
    <w:rsid w:val="0001646E"/>
    <w:rsid w:val="000179C3"/>
    <w:rsid w:val="00021A08"/>
    <w:rsid w:val="00021FF2"/>
    <w:rsid w:val="00022533"/>
    <w:rsid w:val="00023554"/>
    <w:rsid w:val="00023914"/>
    <w:rsid w:val="00027C6E"/>
    <w:rsid w:val="00031CF1"/>
    <w:rsid w:val="00032C41"/>
    <w:rsid w:val="000364D1"/>
    <w:rsid w:val="00041546"/>
    <w:rsid w:val="00041C35"/>
    <w:rsid w:val="0004256A"/>
    <w:rsid w:val="000428CD"/>
    <w:rsid w:val="00042CC5"/>
    <w:rsid w:val="000432DD"/>
    <w:rsid w:val="0004474F"/>
    <w:rsid w:val="0004496F"/>
    <w:rsid w:val="00044D61"/>
    <w:rsid w:val="000463F4"/>
    <w:rsid w:val="00047E23"/>
    <w:rsid w:val="00047FA8"/>
    <w:rsid w:val="00050154"/>
    <w:rsid w:val="000508A3"/>
    <w:rsid w:val="00050A05"/>
    <w:rsid w:val="0005169F"/>
    <w:rsid w:val="00051A50"/>
    <w:rsid w:val="00053098"/>
    <w:rsid w:val="0005458A"/>
    <w:rsid w:val="000547E9"/>
    <w:rsid w:val="000551FC"/>
    <w:rsid w:val="00056346"/>
    <w:rsid w:val="0006017B"/>
    <w:rsid w:val="00060526"/>
    <w:rsid w:val="00060B81"/>
    <w:rsid w:val="00061A6E"/>
    <w:rsid w:val="000631F4"/>
    <w:rsid w:val="00063446"/>
    <w:rsid w:val="00064398"/>
    <w:rsid w:val="00067875"/>
    <w:rsid w:val="00067C3F"/>
    <w:rsid w:val="00070923"/>
    <w:rsid w:val="00070FB5"/>
    <w:rsid w:val="0007429F"/>
    <w:rsid w:val="00074632"/>
    <w:rsid w:val="0007495D"/>
    <w:rsid w:val="00074E87"/>
    <w:rsid w:val="00075C36"/>
    <w:rsid w:val="00076A33"/>
    <w:rsid w:val="00077759"/>
    <w:rsid w:val="00080DB4"/>
    <w:rsid w:val="00081B7F"/>
    <w:rsid w:val="00082E76"/>
    <w:rsid w:val="00084FC5"/>
    <w:rsid w:val="00085CCB"/>
    <w:rsid w:val="00086F7C"/>
    <w:rsid w:val="00087257"/>
    <w:rsid w:val="0009042D"/>
    <w:rsid w:val="00090BC9"/>
    <w:rsid w:val="000931C9"/>
    <w:rsid w:val="0009364E"/>
    <w:rsid w:val="00093762"/>
    <w:rsid w:val="000948EF"/>
    <w:rsid w:val="00094945"/>
    <w:rsid w:val="0009511B"/>
    <w:rsid w:val="000954B2"/>
    <w:rsid w:val="000A01F6"/>
    <w:rsid w:val="000A082E"/>
    <w:rsid w:val="000A1669"/>
    <w:rsid w:val="000A19AA"/>
    <w:rsid w:val="000A1EFD"/>
    <w:rsid w:val="000A3DB2"/>
    <w:rsid w:val="000A4B07"/>
    <w:rsid w:val="000A5B68"/>
    <w:rsid w:val="000A5BCE"/>
    <w:rsid w:val="000A7D43"/>
    <w:rsid w:val="000B0E0C"/>
    <w:rsid w:val="000B131C"/>
    <w:rsid w:val="000B3FEE"/>
    <w:rsid w:val="000B43FD"/>
    <w:rsid w:val="000B4842"/>
    <w:rsid w:val="000B53C6"/>
    <w:rsid w:val="000B709D"/>
    <w:rsid w:val="000B73C6"/>
    <w:rsid w:val="000C189E"/>
    <w:rsid w:val="000C3822"/>
    <w:rsid w:val="000C5903"/>
    <w:rsid w:val="000C5A29"/>
    <w:rsid w:val="000C5EC5"/>
    <w:rsid w:val="000D26E3"/>
    <w:rsid w:val="000D4B0A"/>
    <w:rsid w:val="000D6DD8"/>
    <w:rsid w:val="000E01DD"/>
    <w:rsid w:val="000E0604"/>
    <w:rsid w:val="000E1419"/>
    <w:rsid w:val="000E1991"/>
    <w:rsid w:val="000E2276"/>
    <w:rsid w:val="000E22DA"/>
    <w:rsid w:val="000E35E3"/>
    <w:rsid w:val="000E3EF7"/>
    <w:rsid w:val="000E3F16"/>
    <w:rsid w:val="000E4AD5"/>
    <w:rsid w:val="000E62D8"/>
    <w:rsid w:val="000E63C5"/>
    <w:rsid w:val="000E7B10"/>
    <w:rsid w:val="000E7CCB"/>
    <w:rsid w:val="000F02C9"/>
    <w:rsid w:val="000F1307"/>
    <w:rsid w:val="000F28C6"/>
    <w:rsid w:val="000F4209"/>
    <w:rsid w:val="000F5B2A"/>
    <w:rsid w:val="000F5D6C"/>
    <w:rsid w:val="000F6040"/>
    <w:rsid w:val="000F646F"/>
    <w:rsid w:val="000F7E35"/>
    <w:rsid w:val="0010403A"/>
    <w:rsid w:val="0010703F"/>
    <w:rsid w:val="00107CD4"/>
    <w:rsid w:val="001103A3"/>
    <w:rsid w:val="0011042A"/>
    <w:rsid w:val="00110E23"/>
    <w:rsid w:val="001124B4"/>
    <w:rsid w:val="00114047"/>
    <w:rsid w:val="00116620"/>
    <w:rsid w:val="00117A25"/>
    <w:rsid w:val="00120DCD"/>
    <w:rsid w:val="00121C0B"/>
    <w:rsid w:val="0012271C"/>
    <w:rsid w:val="00123C1A"/>
    <w:rsid w:val="0012527B"/>
    <w:rsid w:val="00126210"/>
    <w:rsid w:val="001271AF"/>
    <w:rsid w:val="00127B0D"/>
    <w:rsid w:val="00130FB4"/>
    <w:rsid w:val="0013415A"/>
    <w:rsid w:val="00134D18"/>
    <w:rsid w:val="001374BA"/>
    <w:rsid w:val="00140ED0"/>
    <w:rsid w:val="00141177"/>
    <w:rsid w:val="00142815"/>
    <w:rsid w:val="001428A7"/>
    <w:rsid w:val="00143089"/>
    <w:rsid w:val="00143602"/>
    <w:rsid w:val="0014361D"/>
    <w:rsid w:val="00143C37"/>
    <w:rsid w:val="00145110"/>
    <w:rsid w:val="001456B5"/>
    <w:rsid w:val="00150050"/>
    <w:rsid w:val="00151FBE"/>
    <w:rsid w:val="0015201C"/>
    <w:rsid w:val="001521B1"/>
    <w:rsid w:val="001534CF"/>
    <w:rsid w:val="00153772"/>
    <w:rsid w:val="0015417B"/>
    <w:rsid w:val="0015539F"/>
    <w:rsid w:val="00156F1C"/>
    <w:rsid w:val="00160670"/>
    <w:rsid w:val="001619C7"/>
    <w:rsid w:val="00161A8E"/>
    <w:rsid w:val="00162BC3"/>
    <w:rsid w:val="00163FAE"/>
    <w:rsid w:val="00164915"/>
    <w:rsid w:val="00164AFA"/>
    <w:rsid w:val="0016569C"/>
    <w:rsid w:val="00165BDA"/>
    <w:rsid w:val="00165E68"/>
    <w:rsid w:val="00167186"/>
    <w:rsid w:val="00170931"/>
    <w:rsid w:val="0017276F"/>
    <w:rsid w:val="00172A27"/>
    <w:rsid w:val="00174D2C"/>
    <w:rsid w:val="00174DA3"/>
    <w:rsid w:val="001753C5"/>
    <w:rsid w:val="00175EDE"/>
    <w:rsid w:val="00176111"/>
    <w:rsid w:val="00177AC8"/>
    <w:rsid w:val="00180069"/>
    <w:rsid w:val="00181823"/>
    <w:rsid w:val="00181F3F"/>
    <w:rsid w:val="00182014"/>
    <w:rsid w:val="00182517"/>
    <w:rsid w:val="00184182"/>
    <w:rsid w:val="001862A6"/>
    <w:rsid w:val="00186C72"/>
    <w:rsid w:val="001872F8"/>
    <w:rsid w:val="00187DA6"/>
    <w:rsid w:val="001905A5"/>
    <w:rsid w:val="00194721"/>
    <w:rsid w:val="00194851"/>
    <w:rsid w:val="00194AD9"/>
    <w:rsid w:val="00195000"/>
    <w:rsid w:val="001950B3"/>
    <w:rsid w:val="00195A86"/>
    <w:rsid w:val="001A07EE"/>
    <w:rsid w:val="001A2B3C"/>
    <w:rsid w:val="001A31DB"/>
    <w:rsid w:val="001A38A3"/>
    <w:rsid w:val="001A3BED"/>
    <w:rsid w:val="001A4332"/>
    <w:rsid w:val="001A6641"/>
    <w:rsid w:val="001A6FFF"/>
    <w:rsid w:val="001A73C1"/>
    <w:rsid w:val="001A7C2A"/>
    <w:rsid w:val="001A7ED9"/>
    <w:rsid w:val="001B03F9"/>
    <w:rsid w:val="001B4E75"/>
    <w:rsid w:val="001B6987"/>
    <w:rsid w:val="001C04FA"/>
    <w:rsid w:val="001C0714"/>
    <w:rsid w:val="001C185A"/>
    <w:rsid w:val="001C2407"/>
    <w:rsid w:val="001C25E0"/>
    <w:rsid w:val="001C4336"/>
    <w:rsid w:val="001C52FD"/>
    <w:rsid w:val="001C6A94"/>
    <w:rsid w:val="001C6B01"/>
    <w:rsid w:val="001D0970"/>
    <w:rsid w:val="001D0F8C"/>
    <w:rsid w:val="001D0FEA"/>
    <w:rsid w:val="001D1490"/>
    <w:rsid w:val="001D1D54"/>
    <w:rsid w:val="001D43B3"/>
    <w:rsid w:val="001D48B8"/>
    <w:rsid w:val="001D63DE"/>
    <w:rsid w:val="001D65DB"/>
    <w:rsid w:val="001D7659"/>
    <w:rsid w:val="001E0328"/>
    <w:rsid w:val="001E20B2"/>
    <w:rsid w:val="001E2FEA"/>
    <w:rsid w:val="001E3CF8"/>
    <w:rsid w:val="001E4D4F"/>
    <w:rsid w:val="001E6695"/>
    <w:rsid w:val="001E673A"/>
    <w:rsid w:val="001E6EDA"/>
    <w:rsid w:val="001E716F"/>
    <w:rsid w:val="001F0FCC"/>
    <w:rsid w:val="001F1A5C"/>
    <w:rsid w:val="001F5971"/>
    <w:rsid w:val="001F5C3B"/>
    <w:rsid w:val="001F696E"/>
    <w:rsid w:val="001F6E0D"/>
    <w:rsid w:val="0020185A"/>
    <w:rsid w:val="002024DE"/>
    <w:rsid w:val="00203142"/>
    <w:rsid w:val="00204968"/>
    <w:rsid w:val="00205375"/>
    <w:rsid w:val="002055AF"/>
    <w:rsid w:val="00207346"/>
    <w:rsid w:val="0020779A"/>
    <w:rsid w:val="0020781F"/>
    <w:rsid w:val="00207853"/>
    <w:rsid w:val="002117D0"/>
    <w:rsid w:val="00211B98"/>
    <w:rsid w:val="00213CD0"/>
    <w:rsid w:val="002171D5"/>
    <w:rsid w:val="00217D34"/>
    <w:rsid w:val="00217DF3"/>
    <w:rsid w:val="0022067F"/>
    <w:rsid w:val="00220B24"/>
    <w:rsid w:val="00221707"/>
    <w:rsid w:val="00225183"/>
    <w:rsid w:val="0022553D"/>
    <w:rsid w:val="0022654B"/>
    <w:rsid w:val="00226ADB"/>
    <w:rsid w:val="002272A9"/>
    <w:rsid w:val="00227AF5"/>
    <w:rsid w:val="0023018B"/>
    <w:rsid w:val="00230473"/>
    <w:rsid w:val="00230ECF"/>
    <w:rsid w:val="002317DB"/>
    <w:rsid w:val="00231B3E"/>
    <w:rsid w:val="00231EC7"/>
    <w:rsid w:val="00231F06"/>
    <w:rsid w:val="0023325F"/>
    <w:rsid w:val="00234D36"/>
    <w:rsid w:val="002363D7"/>
    <w:rsid w:val="00236AC2"/>
    <w:rsid w:val="00236F1C"/>
    <w:rsid w:val="0024018A"/>
    <w:rsid w:val="00240F10"/>
    <w:rsid w:val="0024198C"/>
    <w:rsid w:val="00241B28"/>
    <w:rsid w:val="00242038"/>
    <w:rsid w:val="0024237E"/>
    <w:rsid w:val="002425DB"/>
    <w:rsid w:val="00246BF9"/>
    <w:rsid w:val="002509D3"/>
    <w:rsid w:val="00251950"/>
    <w:rsid w:val="002529BD"/>
    <w:rsid w:val="00253602"/>
    <w:rsid w:val="00253A7A"/>
    <w:rsid w:val="00254B34"/>
    <w:rsid w:val="00255644"/>
    <w:rsid w:val="002565BB"/>
    <w:rsid w:val="00256C45"/>
    <w:rsid w:val="00257191"/>
    <w:rsid w:val="002610FA"/>
    <w:rsid w:val="002629F2"/>
    <w:rsid w:val="00263F62"/>
    <w:rsid w:val="00265315"/>
    <w:rsid w:val="0026614C"/>
    <w:rsid w:val="0026664F"/>
    <w:rsid w:val="00266AD8"/>
    <w:rsid w:val="00267271"/>
    <w:rsid w:val="00267851"/>
    <w:rsid w:val="00270CBE"/>
    <w:rsid w:val="00272305"/>
    <w:rsid w:val="002738A8"/>
    <w:rsid w:val="00273C2F"/>
    <w:rsid w:val="00274C0D"/>
    <w:rsid w:val="00275239"/>
    <w:rsid w:val="00275AA8"/>
    <w:rsid w:val="00275BDB"/>
    <w:rsid w:val="002776FC"/>
    <w:rsid w:val="0028067C"/>
    <w:rsid w:val="00280E0F"/>
    <w:rsid w:val="00280FE9"/>
    <w:rsid w:val="002817EB"/>
    <w:rsid w:val="0028225A"/>
    <w:rsid w:val="00282E72"/>
    <w:rsid w:val="00284280"/>
    <w:rsid w:val="002848D5"/>
    <w:rsid w:val="002858FB"/>
    <w:rsid w:val="0028594A"/>
    <w:rsid w:val="00286315"/>
    <w:rsid w:val="00286795"/>
    <w:rsid w:val="00290388"/>
    <w:rsid w:val="00290B6A"/>
    <w:rsid w:val="002918B4"/>
    <w:rsid w:val="00292B5F"/>
    <w:rsid w:val="00292DE9"/>
    <w:rsid w:val="0029370D"/>
    <w:rsid w:val="00295604"/>
    <w:rsid w:val="00296990"/>
    <w:rsid w:val="002A04ED"/>
    <w:rsid w:val="002A083F"/>
    <w:rsid w:val="002A23E2"/>
    <w:rsid w:val="002A2B48"/>
    <w:rsid w:val="002A2EC9"/>
    <w:rsid w:val="002A44F3"/>
    <w:rsid w:val="002A4CCB"/>
    <w:rsid w:val="002A4DDE"/>
    <w:rsid w:val="002A59A3"/>
    <w:rsid w:val="002A6E74"/>
    <w:rsid w:val="002B0047"/>
    <w:rsid w:val="002B11CA"/>
    <w:rsid w:val="002B2547"/>
    <w:rsid w:val="002B2A90"/>
    <w:rsid w:val="002B3450"/>
    <w:rsid w:val="002B3FD9"/>
    <w:rsid w:val="002B4628"/>
    <w:rsid w:val="002B6C8D"/>
    <w:rsid w:val="002C0AC9"/>
    <w:rsid w:val="002C1511"/>
    <w:rsid w:val="002C3290"/>
    <w:rsid w:val="002C37A1"/>
    <w:rsid w:val="002C44FC"/>
    <w:rsid w:val="002C5CF0"/>
    <w:rsid w:val="002C71FD"/>
    <w:rsid w:val="002D0136"/>
    <w:rsid w:val="002D02FB"/>
    <w:rsid w:val="002D111D"/>
    <w:rsid w:val="002D2281"/>
    <w:rsid w:val="002D4340"/>
    <w:rsid w:val="002D48AF"/>
    <w:rsid w:val="002D4EC6"/>
    <w:rsid w:val="002D557A"/>
    <w:rsid w:val="002D5B02"/>
    <w:rsid w:val="002D6209"/>
    <w:rsid w:val="002D750B"/>
    <w:rsid w:val="002E1B38"/>
    <w:rsid w:val="002E3B89"/>
    <w:rsid w:val="002E4660"/>
    <w:rsid w:val="002E5F59"/>
    <w:rsid w:val="002E66AF"/>
    <w:rsid w:val="002E6B05"/>
    <w:rsid w:val="002F0B01"/>
    <w:rsid w:val="002F61F1"/>
    <w:rsid w:val="002F685A"/>
    <w:rsid w:val="002F6B3D"/>
    <w:rsid w:val="002F6CF9"/>
    <w:rsid w:val="002F7C43"/>
    <w:rsid w:val="00300794"/>
    <w:rsid w:val="00300D93"/>
    <w:rsid w:val="0030181A"/>
    <w:rsid w:val="00303956"/>
    <w:rsid w:val="00303C7D"/>
    <w:rsid w:val="003045D6"/>
    <w:rsid w:val="00304FFE"/>
    <w:rsid w:val="00305C07"/>
    <w:rsid w:val="00311087"/>
    <w:rsid w:val="00312A70"/>
    <w:rsid w:val="00312A93"/>
    <w:rsid w:val="0031307A"/>
    <w:rsid w:val="00314554"/>
    <w:rsid w:val="00314B4C"/>
    <w:rsid w:val="003156EF"/>
    <w:rsid w:val="0031680D"/>
    <w:rsid w:val="00317DEE"/>
    <w:rsid w:val="003205E6"/>
    <w:rsid w:val="00320906"/>
    <w:rsid w:val="00320F26"/>
    <w:rsid w:val="00321041"/>
    <w:rsid w:val="003225F3"/>
    <w:rsid w:val="0032267D"/>
    <w:rsid w:val="00324008"/>
    <w:rsid w:val="00326AD2"/>
    <w:rsid w:val="00326D09"/>
    <w:rsid w:val="00330CAB"/>
    <w:rsid w:val="00331455"/>
    <w:rsid w:val="003321E2"/>
    <w:rsid w:val="00332E33"/>
    <w:rsid w:val="00333FE8"/>
    <w:rsid w:val="0033413F"/>
    <w:rsid w:val="00334339"/>
    <w:rsid w:val="00334D4D"/>
    <w:rsid w:val="003351C5"/>
    <w:rsid w:val="003355E9"/>
    <w:rsid w:val="00335869"/>
    <w:rsid w:val="00335E16"/>
    <w:rsid w:val="00336479"/>
    <w:rsid w:val="003365C4"/>
    <w:rsid w:val="00337106"/>
    <w:rsid w:val="00337203"/>
    <w:rsid w:val="00337686"/>
    <w:rsid w:val="00337B6D"/>
    <w:rsid w:val="00337BF4"/>
    <w:rsid w:val="003425E8"/>
    <w:rsid w:val="00342E73"/>
    <w:rsid w:val="00344E18"/>
    <w:rsid w:val="00347736"/>
    <w:rsid w:val="0035092B"/>
    <w:rsid w:val="0035167E"/>
    <w:rsid w:val="00351825"/>
    <w:rsid w:val="003548E8"/>
    <w:rsid w:val="00354B90"/>
    <w:rsid w:val="00356240"/>
    <w:rsid w:val="00356792"/>
    <w:rsid w:val="003610D4"/>
    <w:rsid w:val="0036159F"/>
    <w:rsid w:val="0036243F"/>
    <w:rsid w:val="00362770"/>
    <w:rsid w:val="00362B9D"/>
    <w:rsid w:val="0036305C"/>
    <w:rsid w:val="00363FD6"/>
    <w:rsid w:val="00363FEF"/>
    <w:rsid w:val="00364C48"/>
    <w:rsid w:val="00365928"/>
    <w:rsid w:val="0036634D"/>
    <w:rsid w:val="00366ED4"/>
    <w:rsid w:val="00367777"/>
    <w:rsid w:val="003678E2"/>
    <w:rsid w:val="00367F1F"/>
    <w:rsid w:val="00373EFA"/>
    <w:rsid w:val="00375908"/>
    <w:rsid w:val="00375993"/>
    <w:rsid w:val="00376E84"/>
    <w:rsid w:val="0038105C"/>
    <w:rsid w:val="00382C45"/>
    <w:rsid w:val="003830A7"/>
    <w:rsid w:val="00383126"/>
    <w:rsid w:val="00383272"/>
    <w:rsid w:val="003835A9"/>
    <w:rsid w:val="00383B87"/>
    <w:rsid w:val="00384942"/>
    <w:rsid w:val="00385D5B"/>
    <w:rsid w:val="00385F9B"/>
    <w:rsid w:val="00386169"/>
    <w:rsid w:val="00386D73"/>
    <w:rsid w:val="00386F7C"/>
    <w:rsid w:val="0038761E"/>
    <w:rsid w:val="00387E1C"/>
    <w:rsid w:val="00390707"/>
    <w:rsid w:val="00391D64"/>
    <w:rsid w:val="003929B6"/>
    <w:rsid w:val="00393947"/>
    <w:rsid w:val="00393BAD"/>
    <w:rsid w:val="003953F4"/>
    <w:rsid w:val="00396B91"/>
    <w:rsid w:val="00396EF4"/>
    <w:rsid w:val="00397151"/>
    <w:rsid w:val="003973DF"/>
    <w:rsid w:val="003A0983"/>
    <w:rsid w:val="003A1990"/>
    <w:rsid w:val="003A1C30"/>
    <w:rsid w:val="003A1FC5"/>
    <w:rsid w:val="003A3346"/>
    <w:rsid w:val="003A35A5"/>
    <w:rsid w:val="003A4EF9"/>
    <w:rsid w:val="003A5EAF"/>
    <w:rsid w:val="003A661B"/>
    <w:rsid w:val="003A7290"/>
    <w:rsid w:val="003A7B35"/>
    <w:rsid w:val="003B0D93"/>
    <w:rsid w:val="003B122C"/>
    <w:rsid w:val="003B1D15"/>
    <w:rsid w:val="003B251F"/>
    <w:rsid w:val="003B25A0"/>
    <w:rsid w:val="003B4036"/>
    <w:rsid w:val="003B5BFD"/>
    <w:rsid w:val="003C03A1"/>
    <w:rsid w:val="003C0F52"/>
    <w:rsid w:val="003C1389"/>
    <w:rsid w:val="003C1DB2"/>
    <w:rsid w:val="003C276F"/>
    <w:rsid w:val="003C280A"/>
    <w:rsid w:val="003C28EF"/>
    <w:rsid w:val="003C39E2"/>
    <w:rsid w:val="003C3DA1"/>
    <w:rsid w:val="003C3DD8"/>
    <w:rsid w:val="003C447F"/>
    <w:rsid w:val="003C6788"/>
    <w:rsid w:val="003C6E6E"/>
    <w:rsid w:val="003C7B72"/>
    <w:rsid w:val="003D14A6"/>
    <w:rsid w:val="003D1616"/>
    <w:rsid w:val="003D1DAF"/>
    <w:rsid w:val="003D2CE3"/>
    <w:rsid w:val="003D32E4"/>
    <w:rsid w:val="003D3FD6"/>
    <w:rsid w:val="003D53D1"/>
    <w:rsid w:val="003D7B23"/>
    <w:rsid w:val="003D7B35"/>
    <w:rsid w:val="003E286B"/>
    <w:rsid w:val="003E54A6"/>
    <w:rsid w:val="003E6967"/>
    <w:rsid w:val="003F2E2E"/>
    <w:rsid w:val="003F3395"/>
    <w:rsid w:val="003F5E06"/>
    <w:rsid w:val="003F7991"/>
    <w:rsid w:val="003F7D21"/>
    <w:rsid w:val="00400360"/>
    <w:rsid w:val="00400F8D"/>
    <w:rsid w:val="0040164C"/>
    <w:rsid w:val="00402087"/>
    <w:rsid w:val="00402936"/>
    <w:rsid w:val="00404797"/>
    <w:rsid w:val="00406D91"/>
    <w:rsid w:val="0041081F"/>
    <w:rsid w:val="00411D90"/>
    <w:rsid w:val="004120BB"/>
    <w:rsid w:val="0041217F"/>
    <w:rsid w:val="00413E42"/>
    <w:rsid w:val="00415F05"/>
    <w:rsid w:val="004228F8"/>
    <w:rsid w:val="004230B5"/>
    <w:rsid w:val="00423F9E"/>
    <w:rsid w:val="004243FC"/>
    <w:rsid w:val="004244F5"/>
    <w:rsid w:val="004248F9"/>
    <w:rsid w:val="00426CD8"/>
    <w:rsid w:val="004320EB"/>
    <w:rsid w:val="004331DF"/>
    <w:rsid w:val="0043325A"/>
    <w:rsid w:val="00433D91"/>
    <w:rsid w:val="00433E53"/>
    <w:rsid w:val="00441458"/>
    <w:rsid w:val="00441AD5"/>
    <w:rsid w:val="0044286A"/>
    <w:rsid w:val="00444479"/>
    <w:rsid w:val="004462EB"/>
    <w:rsid w:val="00447488"/>
    <w:rsid w:val="00452672"/>
    <w:rsid w:val="00453324"/>
    <w:rsid w:val="00453762"/>
    <w:rsid w:val="00454873"/>
    <w:rsid w:val="00455B43"/>
    <w:rsid w:val="00457364"/>
    <w:rsid w:val="00457986"/>
    <w:rsid w:val="00457A14"/>
    <w:rsid w:val="00457E92"/>
    <w:rsid w:val="004600B4"/>
    <w:rsid w:val="0046017D"/>
    <w:rsid w:val="004607B7"/>
    <w:rsid w:val="00460D72"/>
    <w:rsid w:val="00461078"/>
    <w:rsid w:val="00462C00"/>
    <w:rsid w:val="00462EB8"/>
    <w:rsid w:val="00467EC8"/>
    <w:rsid w:val="00470711"/>
    <w:rsid w:val="004747B0"/>
    <w:rsid w:val="00476727"/>
    <w:rsid w:val="00477325"/>
    <w:rsid w:val="0047761F"/>
    <w:rsid w:val="00477BB4"/>
    <w:rsid w:val="00480729"/>
    <w:rsid w:val="004816C3"/>
    <w:rsid w:val="00483441"/>
    <w:rsid w:val="004846A0"/>
    <w:rsid w:val="004851E3"/>
    <w:rsid w:val="00485DCA"/>
    <w:rsid w:val="0048628F"/>
    <w:rsid w:val="00486E0E"/>
    <w:rsid w:val="00486F03"/>
    <w:rsid w:val="00487441"/>
    <w:rsid w:val="00491828"/>
    <w:rsid w:val="00492017"/>
    <w:rsid w:val="004936D4"/>
    <w:rsid w:val="00493E46"/>
    <w:rsid w:val="00494568"/>
    <w:rsid w:val="0049483D"/>
    <w:rsid w:val="00494E20"/>
    <w:rsid w:val="0049620B"/>
    <w:rsid w:val="00497822"/>
    <w:rsid w:val="004A0A90"/>
    <w:rsid w:val="004A0F99"/>
    <w:rsid w:val="004A489A"/>
    <w:rsid w:val="004A66FC"/>
    <w:rsid w:val="004A6FB0"/>
    <w:rsid w:val="004B0096"/>
    <w:rsid w:val="004B1567"/>
    <w:rsid w:val="004B1B3D"/>
    <w:rsid w:val="004B316C"/>
    <w:rsid w:val="004B3575"/>
    <w:rsid w:val="004B43B9"/>
    <w:rsid w:val="004B4CC8"/>
    <w:rsid w:val="004B5674"/>
    <w:rsid w:val="004B6416"/>
    <w:rsid w:val="004B658A"/>
    <w:rsid w:val="004C0734"/>
    <w:rsid w:val="004C0D30"/>
    <w:rsid w:val="004C1209"/>
    <w:rsid w:val="004C200A"/>
    <w:rsid w:val="004C4F26"/>
    <w:rsid w:val="004C6029"/>
    <w:rsid w:val="004C70A0"/>
    <w:rsid w:val="004C757B"/>
    <w:rsid w:val="004C7C30"/>
    <w:rsid w:val="004C7FCC"/>
    <w:rsid w:val="004D02FF"/>
    <w:rsid w:val="004D0659"/>
    <w:rsid w:val="004D1AF9"/>
    <w:rsid w:val="004D5567"/>
    <w:rsid w:val="004D564B"/>
    <w:rsid w:val="004D5805"/>
    <w:rsid w:val="004D5874"/>
    <w:rsid w:val="004E1539"/>
    <w:rsid w:val="004E2CB7"/>
    <w:rsid w:val="004E3CD4"/>
    <w:rsid w:val="004E4CF4"/>
    <w:rsid w:val="004E5750"/>
    <w:rsid w:val="004E5A16"/>
    <w:rsid w:val="004E6221"/>
    <w:rsid w:val="004E65C8"/>
    <w:rsid w:val="004F0111"/>
    <w:rsid w:val="004F4E32"/>
    <w:rsid w:val="004F710B"/>
    <w:rsid w:val="004F7CE6"/>
    <w:rsid w:val="0050018A"/>
    <w:rsid w:val="00501F48"/>
    <w:rsid w:val="00502EF9"/>
    <w:rsid w:val="00503211"/>
    <w:rsid w:val="00505BC4"/>
    <w:rsid w:val="00506079"/>
    <w:rsid w:val="00506D65"/>
    <w:rsid w:val="00507926"/>
    <w:rsid w:val="005104ED"/>
    <w:rsid w:val="00511717"/>
    <w:rsid w:val="005118C8"/>
    <w:rsid w:val="005125D8"/>
    <w:rsid w:val="00512D8A"/>
    <w:rsid w:val="00512E78"/>
    <w:rsid w:val="00515A1B"/>
    <w:rsid w:val="0051646B"/>
    <w:rsid w:val="005169F6"/>
    <w:rsid w:val="0052034F"/>
    <w:rsid w:val="00521AA2"/>
    <w:rsid w:val="00521ADC"/>
    <w:rsid w:val="00525BCA"/>
    <w:rsid w:val="00526DEF"/>
    <w:rsid w:val="00526FEC"/>
    <w:rsid w:val="005279BE"/>
    <w:rsid w:val="00530B71"/>
    <w:rsid w:val="00534928"/>
    <w:rsid w:val="005352D1"/>
    <w:rsid w:val="00535443"/>
    <w:rsid w:val="005361A7"/>
    <w:rsid w:val="005361BF"/>
    <w:rsid w:val="005370E5"/>
    <w:rsid w:val="00540367"/>
    <w:rsid w:val="00540B2E"/>
    <w:rsid w:val="00541037"/>
    <w:rsid w:val="00542F09"/>
    <w:rsid w:val="00543A02"/>
    <w:rsid w:val="005440C7"/>
    <w:rsid w:val="0054459A"/>
    <w:rsid w:val="00544CE6"/>
    <w:rsid w:val="00545447"/>
    <w:rsid w:val="00545C98"/>
    <w:rsid w:val="00546213"/>
    <w:rsid w:val="0054744F"/>
    <w:rsid w:val="00551167"/>
    <w:rsid w:val="0055179B"/>
    <w:rsid w:val="00551BBC"/>
    <w:rsid w:val="005525BF"/>
    <w:rsid w:val="00552D38"/>
    <w:rsid w:val="005536E7"/>
    <w:rsid w:val="00553FDF"/>
    <w:rsid w:val="00557864"/>
    <w:rsid w:val="00557A78"/>
    <w:rsid w:val="005603C2"/>
    <w:rsid w:val="00561EAB"/>
    <w:rsid w:val="005633C2"/>
    <w:rsid w:val="00564114"/>
    <w:rsid w:val="005642A2"/>
    <w:rsid w:val="00566860"/>
    <w:rsid w:val="00571AC8"/>
    <w:rsid w:val="00572311"/>
    <w:rsid w:val="00572586"/>
    <w:rsid w:val="00572F9D"/>
    <w:rsid w:val="005730EC"/>
    <w:rsid w:val="00573B41"/>
    <w:rsid w:val="00574DA4"/>
    <w:rsid w:val="00574ED5"/>
    <w:rsid w:val="00575059"/>
    <w:rsid w:val="00575932"/>
    <w:rsid w:val="00576E81"/>
    <w:rsid w:val="005771C0"/>
    <w:rsid w:val="005771CF"/>
    <w:rsid w:val="005778FE"/>
    <w:rsid w:val="00577D9C"/>
    <w:rsid w:val="00580164"/>
    <w:rsid w:val="0058033F"/>
    <w:rsid w:val="00581AEE"/>
    <w:rsid w:val="00581DBB"/>
    <w:rsid w:val="00583F6A"/>
    <w:rsid w:val="00585BED"/>
    <w:rsid w:val="00585DC1"/>
    <w:rsid w:val="00586A75"/>
    <w:rsid w:val="005877FF"/>
    <w:rsid w:val="00587A84"/>
    <w:rsid w:val="00587C0C"/>
    <w:rsid w:val="00587C66"/>
    <w:rsid w:val="00590991"/>
    <w:rsid w:val="00591867"/>
    <w:rsid w:val="00593386"/>
    <w:rsid w:val="00595C2B"/>
    <w:rsid w:val="00597508"/>
    <w:rsid w:val="005A0C65"/>
    <w:rsid w:val="005A23E3"/>
    <w:rsid w:val="005A7452"/>
    <w:rsid w:val="005A78B0"/>
    <w:rsid w:val="005B3879"/>
    <w:rsid w:val="005B4849"/>
    <w:rsid w:val="005B5259"/>
    <w:rsid w:val="005B571D"/>
    <w:rsid w:val="005B5A1B"/>
    <w:rsid w:val="005B7540"/>
    <w:rsid w:val="005C10A2"/>
    <w:rsid w:val="005C1EC2"/>
    <w:rsid w:val="005C2153"/>
    <w:rsid w:val="005C3A89"/>
    <w:rsid w:val="005C4879"/>
    <w:rsid w:val="005C4AC2"/>
    <w:rsid w:val="005C4CD9"/>
    <w:rsid w:val="005C5880"/>
    <w:rsid w:val="005D15E8"/>
    <w:rsid w:val="005D30C1"/>
    <w:rsid w:val="005D3F1D"/>
    <w:rsid w:val="005D42F7"/>
    <w:rsid w:val="005D681B"/>
    <w:rsid w:val="005E220B"/>
    <w:rsid w:val="005E322D"/>
    <w:rsid w:val="005E3607"/>
    <w:rsid w:val="005E421E"/>
    <w:rsid w:val="005E437D"/>
    <w:rsid w:val="005E50EF"/>
    <w:rsid w:val="005E571E"/>
    <w:rsid w:val="005E73AB"/>
    <w:rsid w:val="005F04F0"/>
    <w:rsid w:val="005F0528"/>
    <w:rsid w:val="005F0D01"/>
    <w:rsid w:val="005F1173"/>
    <w:rsid w:val="005F2246"/>
    <w:rsid w:val="005F2AF8"/>
    <w:rsid w:val="005F5E70"/>
    <w:rsid w:val="005F688B"/>
    <w:rsid w:val="005F771E"/>
    <w:rsid w:val="005F7B44"/>
    <w:rsid w:val="00600F7B"/>
    <w:rsid w:val="006015D3"/>
    <w:rsid w:val="00601764"/>
    <w:rsid w:val="006047FA"/>
    <w:rsid w:val="006074C6"/>
    <w:rsid w:val="00611753"/>
    <w:rsid w:val="00612F38"/>
    <w:rsid w:val="00615760"/>
    <w:rsid w:val="006158DF"/>
    <w:rsid w:val="00615B92"/>
    <w:rsid w:val="00616078"/>
    <w:rsid w:val="006160DA"/>
    <w:rsid w:val="006163F1"/>
    <w:rsid w:val="00616E2C"/>
    <w:rsid w:val="00620448"/>
    <w:rsid w:val="00621998"/>
    <w:rsid w:val="00622B22"/>
    <w:rsid w:val="00624624"/>
    <w:rsid w:val="006253F0"/>
    <w:rsid w:val="006254BA"/>
    <w:rsid w:val="0062573E"/>
    <w:rsid w:val="00626D10"/>
    <w:rsid w:val="0062731E"/>
    <w:rsid w:val="00630B7C"/>
    <w:rsid w:val="006322B8"/>
    <w:rsid w:val="00632686"/>
    <w:rsid w:val="00633115"/>
    <w:rsid w:val="00633660"/>
    <w:rsid w:val="00633B9E"/>
    <w:rsid w:val="00633D04"/>
    <w:rsid w:val="00634C17"/>
    <w:rsid w:val="00635D86"/>
    <w:rsid w:val="006367AC"/>
    <w:rsid w:val="00637F0A"/>
    <w:rsid w:val="006408D7"/>
    <w:rsid w:val="006416C1"/>
    <w:rsid w:val="00642B53"/>
    <w:rsid w:val="00642C22"/>
    <w:rsid w:val="0064307F"/>
    <w:rsid w:val="006439F0"/>
    <w:rsid w:val="00643E1A"/>
    <w:rsid w:val="00644EC2"/>
    <w:rsid w:val="00646543"/>
    <w:rsid w:val="00646DF5"/>
    <w:rsid w:val="006500DA"/>
    <w:rsid w:val="00650397"/>
    <w:rsid w:val="00650D7A"/>
    <w:rsid w:val="006515D7"/>
    <w:rsid w:val="00653605"/>
    <w:rsid w:val="006544D1"/>
    <w:rsid w:val="00654E28"/>
    <w:rsid w:val="00655842"/>
    <w:rsid w:val="00655EA3"/>
    <w:rsid w:val="00657186"/>
    <w:rsid w:val="0066025A"/>
    <w:rsid w:val="00660770"/>
    <w:rsid w:val="00661A2D"/>
    <w:rsid w:val="00662186"/>
    <w:rsid w:val="006623BF"/>
    <w:rsid w:val="00662447"/>
    <w:rsid w:val="00663382"/>
    <w:rsid w:val="0066350D"/>
    <w:rsid w:val="006635B3"/>
    <w:rsid w:val="006637C0"/>
    <w:rsid w:val="00663F6C"/>
    <w:rsid w:val="00664D2C"/>
    <w:rsid w:val="00665025"/>
    <w:rsid w:val="0066555B"/>
    <w:rsid w:val="00666619"/>
    <w:rsid w:val="0066670C"/>
    <w:rsid w:val="0066726B"/>
    <w:rsid w:val="00670E09"/>
    <w:rsid w:val="00671890"/>
    <w:rsid w:val="00672454"/>
    <w:rsid w:val="00672FD8"/>
    <w:rsid w:val="00673D4A"/>
    <w:rsid w:val="00673D55"/>
    <w:rsid w:val="006742CF"/>
    <w:rsid w:val="006742EF"/>
    <w:rsid w:val="0067446A"/>
    <w:rsid w:val="00674701"/>
    <w:rsid w:val="006748FD"/>
    <w:rsid w:val="006758E7"/>
    <w:rsid w:val="006759D9"/>
    <w:rsid w:val="006769AD"/>
    <w:rsid w:val="00682377"/>
    <w:rsid w:val="0068344A"/>
    <w:rsid w:val="00684199"/>
    <w:rsid w:val="0068474A"/>
    <w:rsid w:val="00684853"/>
    <w:rsid w:val="0068485F"/>
    <w:rsid w:val="00684E6F"/>
    <w:rsid w:val="00686A3A"/>
    <w:rsid w:val="00686E0C"/>
    <w:rsid w:val="00687939"/>
    <w:rsid w:val="006902C9"/>
    <w:rsid w:val="00691BB8"/>
    <w:rsid w:val="00692738"/>
    <w:rsid w:val="00693224"/>
    <w:rsid w:val="006955F0"/>
    <w:rsid w:val="00695867"/>
    <w:rsid w:val="00695D56"/>
    <w:rsid w:val="00696749"/>
    <w:rsid w:val="00697E10"/>
    <w:rsid w:val="006A08A8"/>
    <w:rsid w:val="006A14B6"/>
    <w:rsid w:val="006A1854"/>
    <w:rsid w:val="006A23EC"/>
    <w:rsid w:val="006A2D34"/>
    <w:rsid w:val="006A30C8"/>
    <w:rsid w:val="006A542C"/>
    <w:rsid w:val="006A6000"/>
    <w:rsid w:val="006A74EB"/>
    <w:rsid w:val="006B05F9"/>
    <w:rsid w:val="006B0FB0"/>
    <w:rsid w:val="006B57F4"/>
    <w:rsid w:val="006B662A"/>
    <w:rsid w:val="006B7E6E"/>
    <w:rsid w:val="006C0ABC"/>
    <w:rsid w:val="006C1474"/>
    <w:rsid w:val="006C179F"/>
    <w:rsid w:val="006C25C7"/>
    <w:rsid w:val="006C40DA"/>
    <w:rsid w:val="006C4817"/>
    <w:rsid w:val="006C52E7"/>
    <w:rsid w:val="006C5CD2"/>
    <w:rsid w:val="006C6A02"/>
    <w:rsid w:val="006D0033"/>
    <w:rsid w:val="006D11FF"/>
    <w:rsid w:val="006D12B0"/>
    <w:rsid w:val="006D15D4"/>
    <w:rsid w:val="006D4528"/>
    <w:rsid w:val="006D49F1"/>
    <w:rsid w:val="006D5AAE"/>
    <w:rsid w:val="006D7701"/>
    <w:rsid w:val="006D779F"/>
    <w:rsid w:val="006E0391"/>
    <w:rsid w:val="006E039D"/>
    <w:rsid w:val="006E0F73"/>
    <w:rsid w:val="006E139F"/>
    <w:rsid w:val="006E3DF9"/>
    <w:rsid w:val="006E578D"/>
    <w:rsid w:val="006E5AA6"/>
    <w:rsid w:val="006E5DFF"/>
    <w:rsid w:val="006E7422"/>
    <w:rsid w:val="006E7744"/>
    <w:rsid w:val="006E7DA9"/>
    <w:rsid w:val="006F066E"/>
    <w:rsid w:val="006F0883"/>
    <w:rsid w:val="006F0B13"/>
    <w:rsid w:val="006F1016"/>
    <w:rsid w:val="006F1EE0"/>
    <w:rsid w:val="006F30AA"/>
    <w:rsid w:val="006F4E4C"/>
    <w:rsid w:val="006F6084"/>
    <w:rsid w:val="006F6405"/>
    <w:rsid w:val="0070011E"/>
    <w:rsid w:val="00700AB9"/>
    <w:rsid w:val="00701211"/>
    <w:rsid w:val="007012CE"/>
    <w:rsid w:val="00703228"/>
    <w:rsid w:val="00704359"/>
    <w:rsid w:val="00704481"/>
    <w:rsid w:val="00704805"/>
    <w:rsid w:val="00704A63"/>
    <w:rsid w:val="00705156"/>
    <w:rsid w:val="00705F80"/>
    <w:rsid w:val="007066B6"/>
    <w:rsid w:val="00707384"/>
    <w:rsid w:val="00711ED9"/>
    <w:rsid w:val="0071334B"/>
    <w:rsid w:val="00715C5B"/>
    <w:rsid w:val="007201EC"/>
    <w:rsid w:val="007213B9"/>
    <w:rsid w:val="0072195C"/>
    <w:rsid w:val="00721AA2"/>
    <w:rsid w:val="0072315D"/>
    <w:rsid w:val="00723522"/>
    <w:rsid w:val="00723EDC"/>
    <w:rsid w:val="00725506"/>
    <w:rsid w:val="007264B1"/>
    <w:rsid w:val="00730598"/>
    <w:rsid w:val="007313F4"/>
    <w:rsid w:val="0073215A"/>
    <w:rsid w:val="007357BA"/>
    <w:rsid w:val="00735BC2"/>
    <w:rsid w:val="00735E6D"/>
    <w:rsid w:val="00736CDB"/>
    <w:rsid w:val="00740402"/>
    <w:rsid w:val="00740590"/>
    <w:rsid w:val="00740C32"/>
    <w:rsid w:val="00741018"/>
    <w:rsid w:val="00744FE4"/>
    <w:rsid w:val="007455E4"/>
    <w:rsid w:val="007457A8"/>
    <w:rsid w:val="00745F3E"/>
    <w:rsid w:val="007460FC"/>
    <w:rsid w:val="007502F9"/>
    <w:rsid w:val="00751B54"/>
    <w:rsid w:val="00751FBD"/>
    <w:rsid w:val="007528EF"/>
    <w:rsid w:val="00752D2F"/>
    <w:rsid w:val="00753535"/>
    <w:rsid w:val="00755D2B"/>
    <w:rsid w:val="007570F4"/>
    <w:rsid w:val="00760BA1"/>
    <w:rsid w:val="0076104B"/>
    <w:rsid w:val="007630F0"/>
    <w:rsid w:val="007652C2"/>
    <w:rsid w:val="0076634B"/>
    <w:rsid w:val="00766D50"/>
    <w:rsid w:val="00767B4E"/>
    <w:rsid w:val="00770367"/>
    <w:rsid w:val="007722CC"/>
    <w:rsid w:val="00773E36"/>
    <w:rsid w:val="007750C5"/>
    <w:rsid w:val="007750FA"/>
    <w:rsid w:val="0077672D"/>
    <w:rsid w:val="00777C14"/>
    <w:rsid w:val="007808C1"/>
    <w:rsid w:val="007816F1"/>
    <w:rsid w:val="00782026"/>
    <w:rsid w:val="00782BA7"/>
    <w:rsid w:val="00782BAF"/>
    <w:rsid w:val="00782FE3"/>
    <w:rsid w:val="00785321"/>
    <w:rsid w:val="0078592A"/>
    <w:rsid w:val="0078723D"/>
    <w:rsid w:val="00787308"/>
    <w:rsid w:val="00787643"/>
    <w:rsid w:val="007903AE"/>
    <w:rsid w:val="00790EE8"/>
    <w:rsid w:val="007938C0"/>
    <w:rsid w:val="00793CDE"/>
    <w:rsid w:val="00794B04"/>
    <w:rsid w:val="007959E0"/>
    <w:rsid w:val="007A2108"/>
    <w:rsid w:val="007A21D9"/>
    <w:rsid w:val="007A36CC"/>
    <w:rsid w:val="007A42EC"/>
    <w:rsid w:val="007A5AA0"/>
    <w:rsid w:val="007A5C5E"/>
    <w:rsid w:val="007A71D6"/>
    <w:rsid w:val="007A7B71"/>
    <w:rsid w:val="007B1A00"/>
    <w:rsid w:val="007B3CF3"/>
    <w:rsid w:val="007B4D3A"/>
    <w:rsid w:val="007B5BC2"/>
    <w:rsid w:val="007B6945"/>
    <w:rsid w:val="007B6C77"/>
    <w:rsid w:val="007B724E"/>
    <w:rsid w:val="007C2A7B"/>
    <w:rsid w:val="007C4FEF"/>
    <w:rsid w:val="007C7A95"/>
    <w:rsid w:val="007D1272"/>
    <w:rsid w:val="007D1CFB"/>
    <w:rsid w:val="007D2A67"/>
    <w:rsid w:val="007D3D70"/>
    <w:rsid w:val="007D4099"/>
    <w:rsid w:val="007D626D"/>
    <w:rsid w:val="007D6B2B"/>
    <w:rsid w:val="007D7BAB"/>
    <w:rsid w:val="007E0EE2"/>
    <w:rsid w:val="007E1450"/>
    <w:rsid w:val="007E1A0D"/>
    <w:rsid w:val="007E1F1D"/>
    <w:rsid w:val="007E20EA"/>
    <w:rsid w:val="007E29EA"/>
    <w:rsid w:val="007E3023"/>
    <w:rsid w:val="007E4D6F"/>
    <w:rsid w:val="007E4F7D"/>
    <w:rsid w:val="007E632A"/>
    <w:rsid w:val="007E7484"/>
    <w:rsid w:val="007F1A7E"/>
    <w:rsid w:val="007F2DEA"/>
    <w:rsid w:val="007F3549"/>
    <w:rsid w:val="007F4DF9"/>
    <w:rsid w:val="007F4F3D"/>
    <w:rsid w:val="007F5D82"/>
    <w:rsid w:val="007F620D"/>
    <w:rsid w:val="00800022"/>
    <w:rsid w:val="00800C76"/>
    <w:rsid w:val="008047B3"/>
    <w:rsid w:val="00804EA0"/>
    <w:rsid w:val="0080562E"/>
    <w:rsid w:val="008070D5"/>
    <w:rsid w:val="00807648"/>
    <w:rsid w:val="0080798B"/>
    <w:rsid w:val="00807A33"/>
    <w:rsid w:val="00812EE5"/>
    <w:rsid w:val="008142CE"/>
    <w:rsid w:val="00814A42"/>
    <w:rsid w:val="008152C5"/>
    <w:rsid w:val="008157ED"/>
    <w:rsid w:val="00816232"/>
    <w:rsid w:val="00820225"/>
    <w:rsid w:val="00820BF2"/>
    <w:rsid w:val="00820CFC"/>
    <w:rsid w:val="00822CCE"/>
    <w:rsid w:val="0082301D"/>
    <w:rsid w:val="00824851"/>
    <w:rsid w:val="00824E5D"/>
    <w:rsid w:val="00825097"/>
    <w:rsid w:val="0082590A"/>
    <w:rsid w:val="008260FA"/>
    <w:rsid w:val="00826C76"/>
    <w:rsid w:val="00826EB5"/>
    <w:rsid w:val="00827AB8"/>
    <w:rsid w:val="00830280"/>
    <w:rsid w:val="00830C37"/>
    <w:rsid w:val="00830DF0"/>
    <w:rsid w:val="008315D5"/>
    <w:rsid w:val="008331A9"/>
    <w:rsid w:val="00833BE5"/>
    <w:rsid w:val="00834D4E"/>
    <w:rsid w:val="008357F7"/>
    <w:rsid w:val="0083583E"/>
    <w:rsid w:val="008375C8"/>
    <w:rsid w:val="008404A7"/>
    <w:rsid w:val="008411C9"/>
    <w:rsid w:val="0084184D"/>
    <w:rsid w:val="00842326"/>
    <w:rsid w:val="00842943"/>
    <w:rsid w:val="00845570"/>
    <w:rsid w:val="00846270"/>
    <w:rsid w:val="00846993"/>
    <w:rsid w:val="0085162C"/>
    <w:rsid w:val="008524CD"/>
    <w:rsid w:val="008524D2"/>
    <w:rsid w:val="00853112"/>
    <w:rsid w:val="008535D5"/>
    <w:rsid w:val="0085596A"/>
    <w:rsid w:val="00855C57"/>
    <w:rsid w:val="00856983"/>
    <w:rsid w:val="00856B31"/>
    <w:rsid w:val="00860A98"/>
    <w:rsid w:val="008616E3"/>
    <w:rsid w:val="00862507"/>
    <w:rsid w:val="00863C72"/>
    <w:rsid w:val="00864589"/>
    <w:rsid w:val="008654F8"/>
    <w:rsid w:val="0086589B"/>
    <w:rsid w:val="00865B93"/>
    <w:rsid w:val="008700CB"/>
    <w:rsid w:val="00870C0A"/>
    <w:rsid w:val="008714C3"/>
    <w:rsid w:val="00872884"/>
    <w:rsid w:val="00873456"/>
    <w:rsid w:val="00875457"/>
    <w:rsid w:val="00875EB2"/>
    <w:rsid w:val="00876D23"/>
    <w:rsid w:val="00876E92"/>
    <w:rsid w:val="008776B9"/>
    <w:rsid w:val="00877814"/>
    <w:rsid w:val="00880170"/>
    <w:rsid w:val="00880BD9"/>
    <w:rsid w:val="00882E64"/>
    <w:rsid w:val="00883AE0"/>
    <w:rsid w:val="00884E2E"/>
    <w:rsid w:val="00884EB5"/>
    <w:rsid w:val="00890F90"/>
    <w:rsid w:val="00891B35"/>
    <w:rsid w:val="00892771"/>
    <w:rsid w:val="008928FB"/>
    <w:rsid w:val="008949C1"/>
    <w:rsid w:val="00894FA8"/>
    <w:rsid w:val="00895834"/>
    <w:rsid w:val="00895B0A"/>
    <w:rsid w:val="00895C0D"/>
    <w:rsid w:val="00895FD2"/>
    <w:rsid w:val="00897620"/>
    <w:rsid w:val="00897CF7"/>
    <w:rsid w:val="008A1593"/>
    <w:rsid w:val="008A1B02"/>
    <w:rsid w:val="008A4913"/>
    <w:rsid w:val="008A49F8"/>
    <w:rsid w:val="008A58DA"/>
    <w:rsid w:val="008A6C60"/>
    <w:rsid w:val="008A6D53"/>
    <w:rsid w:val="008A74A7"/>
    <w:rsid w:val="008B381B"/>
    <w:rsid w:val="008B3C81"/>
    <w:rsid w:val="008B3C94"/>
    <w:rsid w:val="008B3E8F"/>
    <w:rsid w:val="008B4FE6"/>
    <w:rsid w:val="008B5D3A"/>
    <w:rsid w:val="008B7A7B"/>
    <w:rsid w:val="008C0518"/>
    <w:rsid w:val="008C0EEA"/>
    <w:rsid w:val="008C24DF"/>
    <w:rsid w:val="008C2E0D"/>
    <w:rsid w:val="008C5477"/>
    <w:rsid w:val="008C637B"/>
    <w:rsid w:val="008C663F"/>
    <w:rsid w:val="008C7BC0"/>
    <w:rsid w:val="008C7FCF"/>
    <w:rsid w:val="008D16CA"/>
    <w:rsid w:val="008D2DCF"/>
    <w:rsid w:val="008D4B2A"/>
    <w:rsid w:val="008D5455"/>
    <w:rsid w:val="008D5C7D"/>
    <w:rsid w:val="008D5D52"/>
    <w:rsid w:val="008D6B9D"/>
    <w:rsid w:val="008D75B7"/>
    <w:rsid w:val="008E156A"/>
    <w:rsid w:val="008E1A5B"/>
    <w:rsid w:val="008E1C9A"/>
    <w:rsid w:val="008E1D22"/>
    <w:rsid w:val="008E1D41"/>
    <w:rsid w:val="008E4872"/>
    <w:rsid w:val="008F2120"/>
    <w:rsid w:val="008F286B"/>
    <w:rsid w:val="008F2C54"/>
    <w:rsid w:val="008F2C7F"/>
    <w:rsid w:val="008F3375"/>
    <w:rsid w:val="008F4B21"/>
    <w:rsid w:val="008F54BB"/>
    <w:rsid w:val="008F5B74"/>
    <w:rsid w:val="008F7242"/>
    <w:rsid w:val="008F7F45"/>
    <w:rsid w:val="00900CB7"/>
    <w:rsid w:val="00901D4A"/>
    <w:rsid w:val="00903FB9"/>
    <w:rsid w:val="00906567"/>
    <w:rsid w:val="00906A10"/>
    <w:rsid w:val="009075CB"/>
    <w:rsid w:val="00907CC2"/>
    <w:rsid w:val="00910C9F"/>
    <w:rsid w:val="00910ECA"/>
    <w:rsid w:val="00911677"/>
    <w:rsid w:val="00912B32"/>
    <w:rsid w:val="00913562"/>
    <w:rsid w:val="00913FD2"/>
    <w:rsid w:val="0091458F"/>
    <w:rsid w:val="009155BD"/>
    <w:rsid w:val="00915894"/>
    <w:rsid w:val="009165DA"/>
    <w:rsid w:val="00920F42"/>
    <w:rsid w:val="00920FCD"/>
    <w:rsid w:val="00921685"/>
    <w:rsid w:val="009222C6"/>
    <w:rsid w:val="0092532D"/>
    <w:rsid w:val="00926A57"/>
    <w:rsid w:val="00926C54"/>
    <w:rsid w:val="00927219"/>
    <w:rsid w:val="00930043"/>
    <w:rsid w:val="009300DE"/>
    <w:rsid w:val="009309FB"/>
    <w:rsid w:val="009315C7"/>
    <w:rsid w:val="00932B8B"/>
    <w:rsid w:val="00932C38"/>
    <w:rsid w:val="009339A8"/>
    <w:rsid w:val="0093413F"/>
    <w:rsid w:val="00935F6B"/>
    <w:rsid w:val="00937822"/>
    <w:rsid w:val="00940AB7"/>
    <w:rsid w:val="009411C8"/>
    <w:rsid w:val="0094271D"/>
    <w:rsid w:val="009432FC"/>
    <w:rsid w:val="009440B6"/>
    <w:rsid w:val="00951AC8"/>
    <w:rsid w:val="009522CA"/>
    <w:rsid w:val="0095231E"/>
    <w:rsid w:val="00954E96"/>
    <w:rsid w:val="00955AF2"/>
    <w:rsid w:val="0095792C"/>
    <w:rsid w:val="00957D0F"/>
    <w:rsid w:val="00962A8A"/>
    <w:rsid w:val="00962ED1"/>
    <w:rsid w:val="00964B38"/>
    <w:rsid w:val="00965AAC"/>
    <w:rsid w:val="00965C61"/>
    <w:rsid w:val="00965DFD"/>
    <w:rsid w:val="00967FED"/>
    <w:rsid w:val="0097097A"/>
    <w:rsid w:val="00971E51"/>
    <w:rsid w:val="00972C7C"/>
    <w:rsid w:val="00974B53"/>
    <w:rsid w:val="00975FC9"/>
    <w:rsid w:val="0097699F"/>
    <w:rsid w:val="0097755B"/>
    <w:rsid w:val="00980C53"/>
    <w:rsid w:val="00980F40"/>
    <w:rsid w:val="00981715"/>
    <w:rsid w:val="00982AB9"/>
    <w:rsid w:val="00983592"/>
    <w:rsid w:val="00984B8F"/>
    <w:rsid w:val="009852AA"/>
    <w:rsid w:val="009856F4"/>
    <w:rsid w:val="009858A1"/>
    <w:rsid w:val="009861A6"/>
    <w:rsid w:val="0098669D"/>
    <w:rsid w:val="009868F3"/>
    <w:rsid w:val="00987D12"/>
    <w:rsid w:val="009917C4"/>
    <w:rsid w:val="0099396B"/>
    <w:rsid w:val="00993D7E"/>
    <w:rsid w:val="00994095"/>
    <w:rsid w:val="009943CC"/>
    <w:rsid w:val="00995827"/>
    <w:rsid w:val="00996C8C"/>
    <w:rsid w:val="00996D56"/>
    <w:rsid w:val="009A07B7"/>
    <w:rsid w:val="009A2234"/>
    <w:rsid w:val="009A31E3"/>
    <w:rsid w:val="009A47D4"/>
    <w:rsid w:val="009A4C91"/>
    <w:rsid w:val="009A52BD"/>
    <w:rsid w:val="009A7E56"/>
    <w:rsid w:val="009B122D"/>
    <w:rsid w:val="009B487E"/>
    <w:rsid w:val="009B6A54"/>
    <w:rsid w:val="009B7808"/>
    <w:rsid w:val="009C0674"/>
    <w:rsid w:val="009C1450"/>
    <w:rsid w:val="009C25F0"/>
    <w:rsid w:val="009C317B"/>
    <w:rsid w:val="009C38BA"/>
    <w:rsid w:val="009C5A4E"/>
    <w:rsid w:val="009C6304"/>
    <w:rsid w:val="009C6F0A"/>
    <w:rsid w:val="009D16FA"/>
    <w:rsid w:val="009D174C"/>
    <w:rsid w:val="009D1963"/>
    <w:rsid w:val="009D2E79"/>
    <w:rsid w:val="009D348B"/>
    <w:rsid w:val="009D3998"/>
    <w:rsid w:val="009D48BA"/>
    <w:rsid w:val="009D588E"/>
    <w:rsid w:val="009D7210"/>
    <w:rsid w:val="009E4799"/>
    <w:rsid w:val="009E517C"/>
    <w:rsid w:val="009E7985"/>
    <w:rsid w:val="009F21B5"/>
    <w:rsid w:val="009F2FE9"/>
    <w:rsid w:val="009F32C3"/>
    <w:rsid w:val="009F3C80"/>
    <w:rsid w:val="009F40F3"/>
    <w:rsid w:val="009F673A"/>
    <w:rsid w:val="009F7E87"/>
    <w:rsid w:val="009F7F39"/>
    <w:rsid w:val="00A0304D"/>
    <w:rsid w:val="00A033AC"/>
    <w:rsid w:val="00A03A4A"/>
    <w:rsid w:val="00A049F7"/>
    <w:rsid w:val="00A04D71"/>
    <w:rsid w:val="00A10C43"/>
    <w:rsid w:val="00A129E0"/>
    <w:rsid w:val="00A13171"/>
    <w:rsid w:val="00A132E5"/>
    <w:rsid w:val="00A134E3"/>
    <w:rsid w:val="00A13776"/>
    <w:rsid w:val="00A15654"/>
    <w:rsid w:val="00A15A58"/>
    <w:rsid w:val="00A168B1"/>
    <w:rsid w:val="00A17356"/>
    <w:rsid w:val="00A2173F"/>
    <w:rsid w:val="00A21AD9"/>
    <w:rsid w:val="00A23774"/>
    <w:rsid w:val="00A24728"/>
    <w:rsid w:val="00A2472B"/>
    <w:rsid w:val="00A24B2B"/>
    <w:rsid w:val="00A271DB"/>
    <w:rsid w:val="00A320E1"/>
    <w:rsid w:val="00A32EEF"/>
    <w:rsid w:val="00A3423C"/>
    <w:rsid w:val="00A346B7"/>
    <w:rsid w:val="00A34DB9"/>
    <w:rsid w:val="00A362B4"/>
    <w:rsid w:val="00A379A7"/>
    <w:rsid w:val="00A37B35"/>
    <w:rsid w:val="00A37B97"/>
    <w:rsid w:val="00A40ADF"/>
    <w:rsid w:val="00A41DFB"/>
    <w:rsid w:val="00A425CA"/>
    <w:rsid w:val="00A425D0"/>
    <w:rsid w:val="00A433A2"/>
    <w:rsid w:val="00A448CD"/>
    <w:rsid w:val="00A44A5F"/>
    <w:rsid w:val="00A45483"/>
    <w:rsid w:val="00A45E2C"/>
    <w:rsid w:val="00A4625C"/>
    <w:rsid w:val="00A549BA"/>
    <w:rsid w:val="00A5513A"/>
    <w:rsid w:val="00A55A7E"/>
    <w:rsid w:val="00A56C56"/>
    <w:rsid w:val="00A570B0"/>
    <w:rsid w:val="00A604BB"/>
    <w:rsid w:val="00A60FDA"/>
    <w:rsid w:val="00A61F31"/>
    <w:rsid w:val="00A65BB7"/>
    <w:rsid w:val="00A6610B"/>
    <w:rsid w:val="00A66587"/>
    <w:rsid w:val="00A66E16"/>
    <w:rsid w:val="00A671D2"/>
    <w:rsid w:val="00A67A81"/>
    <w:rsid w:val="00A67E4D"/>
    <w:rsid w:val="00A70142"/>
    <w:rsid w:val="00A70503"/>
    <w:rsid w:val="00A73209"/>
    <w:rsid w:val="00A74571"/>
    <w:rsid w:val="00A74E14"/>
    <w:rsid w:val="00A757B3"/>
    <w:rsid w:val="00A76099"/>
    <w:rsid w:val="00A7620C"/>
    <w:rsid w:val="00A76675"/>
    <w:rsid w:val="00A76ECC"/>
    <w:rsid w:val="00A773F4"/>
    <w:rsid w:val="00A77AF0"/>
    <w:rsid w:val="00A8127F"/>
    <w:rsid w:val="00A825C8"/>
    <w:rsid w:val="00A82BD8"/>
    <w:rsid w:val="00A856E5"/>
    <w:rsid w:val="00A85E5A"/>
    <w:rsid w:val="00A85EB2"/>
    <w:rsid w:val="00A86E19"/>
    <w:rsid w:val="00A91ADD"/>
    <w:rsid w:val="00A92842"/>
    <w:rsid w:val="00A93435"/>
    <w:rsid w:val="00A93916"/>
    <w:rsid w:val="00A941D1"/>
    <w:rsid w:val="00A96180"/>
    <w:rsid w:val="00A96303"/>
    <w:rsid w:val="00A9644D"/>
    <w:rsid w:val="00A97E7D"/>
    <w:rsid w:val="00AA3539"/>
    <w:rsid w:val="00AA3747"/>
    <w:rsid w:val="00AA4938"/>
    <w:rsid w:val="00AA4B48"/>
    <w:rsid w:val="00AA5599"/>
    <w:rsid w:val="00AA5BA9"/>
    <w:rsid w:val="00AA624C"/>
    <w:rsid w:val="00AA7E72"/>
    <w:rsid w:val="00AA7F8B"/>
    <w:rsid w:val="00AB06BF"/>
    <w:rsid w:val="00AB0E01"/>
    <w:rsid w:val="00AB290B"/>
    <w:rsid w:val="00AB561B"/>
    <w:rsid w:val="00AB5CCC"/>
    <w:rsid w:val="00AB6CC0"/>
    <w:rsid w:val="00AB706E"/>
    <w:rsid w:val="00AC5AB3"/>
    <w:rsid w:val="00AC77F5"/>
    <w:rsid w:val="00AC7D05"/>
    <w:rsid w:val="00AC7D54"/>
    <w:rsid w:val="00AC7DA4"/>
    <w:rsid w:val="00AD0C75"/>
    <w:rsid w:val="00AD21F7"/>
    <w:rsid w:val="00AD2887"/>
    <w:rsid w:val="00AD3471"/>
    <w:rsid w:val="00AD5696"/>
    <w:rsid w:val="00AD6DE8"/>
    <w:rsid w:val="00AD75C9"/>
    <w:rsid w:val="00AD7AFC"/>
    <w:rsid w:val="00AE073B"/>
    <w:rsid w:val="00AE0AFE"/>
    <w:rsid w:val="00AE13CE"/>
    <w:rsid w:val="00AE215C"/>
    <w:rsid w:val="00AE26F3"/>
    <w:rsid w:val="00AE3E43"/>
    <w:rsid w:val="00AE40DF"/>
    <w:rsid w:val="00AE5696"/>
    <w:rsid w:val="00AE598B"/>
    <w:rsid w:val="00AE7893"/>
    <w:rsid w:val="00AF1EB7"/>
    <w:rsid w:val="00AF31B7"/>
    <w:rsid w:val="00AF3663"/>
    <w:rsid w:val="00AF3DC4"/>
    <w:rsid w:val="00AF4871"/>
    <w:rsid w:val="00AF4BD8"/>
    <w:rsid w:val="00AF4C9B"/>
    <w:rsid w:val="00AF514F"/>
    <w:rsid w:val="00AF6E7F"/>
    <w:rsid w:val="00AF711B"/>
    <w:rsid w:val="00B018CD"/>
    <w:rsid w:val="00B01E49"/>
    <w:rsid w:val="00B0371C"/>
    <w:rsid w:val="00B039FC"/>
    <w:rsid w:val="00B046E1"/>
    <w:rsid w:val="00B05B79"/>
    <w:rsid w:val="00B05CA0"/>
    <w:rsid w:val="00B06232"/>
    <w:rsid w:val="00B07858"/>
    <w:rsid w:val="00B07B3B"/>
    <w:rsid w:val="00B07DDB"/>
    <w:rsid w:val="00B1157D"/>
    <w:rsid w:val="00B14675"/>
    <w:rsid w:val="00B149AE"/>
    <w:rsid w:val="00B14DFB"/>
    <w:rsid w:val="00B1645B"/>
    <w:rsid w:val="00B17734"/>
    <w:rsid w:val="00B17BFA"/>
    <w:rsid w:val="00B17CE2"/>
    <w:rsid w:val="00B202F4"/>
    <w:rsid w:val="00B20585"/>
    <w:rsid w:val="00B213BB"/>
    <w:rsid w:val="00B23140"/>
    <w:rsid w:val="00B236BD"/>
    <w:rsid w:val="00B25B35"/>
    <w:rsid w:val="00B2651A"/>
    <w:rsid w:val="00B27B60"/>
    <w:rsid w:val="00B32CD3"/>
    <w:rsid w:val="00B33C2E"/>
    <w:rsid w:val="00B33FB2"/>
    <w:rsid w:val="00B35165"/>
    <w:rsid w:val="00B35A4A"/>
    <w:rsid w:val="00B35B39"/>
    <w:rsid w:val="00B36B58"/>
    <w:rsid w:val="00B37A6B"/>
    <w:rsid w:val="00B43A85"/>
    <w:rsid w:val="00B4616A"/>
    <w:rsid w:val="00B46522"/>
    <w:rsid w:val="00B46FF0"/>
    <w:rsid w:val="00B5104D"/>
    <w:rsid w:val="00B52C3C"/>
    <w:rsid w:val="00B52E36"/>
    <w:rsid w:val="00B55B8C"/>
    <w:rsid w:val="00B562FD"/>
    <w:rsid w:val="00B57AC6"/>
    <w:rsid w:val="00B57DA2"/>
    <w:rsid w:val="00B64065"/>
    <w:rsid w:val="00B6431D"/>
    <w:rsid w:val="00B65294"/>
    <w:rsid w:val="00B65C65"/>
    <w:rsid w:val="00B667B1"/>
    <w:rsid w:val="00B66EC4"/>
    <w:rsid w:val="00B715AD"/>
    <w:rsid w:val="00B7189B"/>
    <w:rsid w:val="00B73879"/>
    <w:rsid w:val="00B7408A"/>
    <w:rsid w:val="00B742EC"/>
    <w:rsid w:val="00B7474B"/>
    <w:rsid w:val="00B77089"/>
    <w:rsid w:val="00B7762F"/>
    <w:rsid w:val="00B802CE"/>
    <w:rsid w:val="00B8255A"/>
    <w:rsid w:val="00B82C32"/>
    <w:rsid w:val="00B837DB"/>
    <w:rsid w:val="00B84F64"/>
    <w:rsid w:val="00B85790"/>
    <w:rsid w:val="00B85EA6"/>
    <w:rsid w:val="00B86077"/>
    <w:rsid w:val="00B87F3E"/>
    <w:rsid w:val="00B9072C"/>
    <w:rsid w:val="00B94201"/>
    <w:rsid w:val="00B94600"/>
    <w:rsid w:val="00B9501C"/>
    <w:rsid w:val="00B95C5D"/>
    <w:rsid w:val="00BA0003"/>
    <w:rsid w:val="00BA1159"/>
    <w:rsid w:val="00BA1387"/>
    <w:rsid w:val="00BA26D0"/>
    <w:rsid w:val="00BA649F"/>
    <w:rsid w:val="00BA7243"/>
    <w:rsid w:val="00BA79BB"/>
    <w:rsid w:val="00BB040B"/>
    <w:rsid w:val="00BB1308"/>
    <w:rsid w:val="00BB5701"/>
    <w:rsid w:val="00BB7515"/>
    <w:rsid w:val="00BC0958"/>
    <w:rsid w:val="00BC12CD"/>
    <w:rsid w:val="00BC131C"/>
    <w:rsid w:val="00BC21CD"/>
    <w:rsid w:val="00BC2BCB"/>
    <w:rsid w:val="00BC2FBD"/>
    <w:rsid w:val="00BC4ADF"/>
    <w:rsid w:val="00BC68AE"/>
    <w:rsid w:val="00BD2112"/>
    <w:rsid w:val="00BD2C9C"/>
    <w:rsid w:val="00BD41B2"/>
    <w:rsid w:val="00BD591C"/>
    <w:rsid w:val="00BD5985"/>
    <w:rsid w:val="00BD5C52"/>
    <w:rsid w:val="00BD5CC5"/>
    <w:rsid w:val="00BD66E7"/>
    <w:rsid w:val="00BE1ABD"/>
    <w:rsid w:val="00BE25FC"/>
    <w:rsid w:val="00BE4EF3"/>
    <w:rsid w:val="00BE5B00"/>
    <w:rsid w:val="00BE5F55"/>
    <w:rsid w:val="00BE67B9"/>
    <w:rsid w:val="00BE750A"/>
    <w:rsid w:val="00BF1E21"/>
    <w:rsid w:val="00BF2035"/>
    <w:rsid w:val="00BF22E2"/>
    <w:rsid w:val="00BF2423"/>
    <w:rsid w:val="00BF35F9"/>
    <w:rsid w:val="00BF4781"/>
    <w:rsid w:val="00BF5D30"/>
    <w:rsid w:val="00BF5DF5"/>
    <w:rsid w:val="00BF632F"/>
    <w:rsid w:val="00BF6625"/>
    <w:rsid w:val="00BF6D8E"/>
    <w:rsid w:val="00C013F9"/>
    <w:rsid w:val="00C01A9C"/>
    <w:rsid w:val="00C04078"/>
    <w:rsid w:val="00C045FA"/>
    <w:rsid w:val="00C0489E"/>
    <w:rsid w:val="00C04C22"/>
    <w:rsid w:val="00C056CF"/>
    <w:rsid w:val="00C06539"/>
    <w:rsid w:val="00C11A36"/>
    <w:rsid w:val="00C12E16"/>
    <w:rsid w:val="00C13431"/>
    <w:rsid w:val="00C1383B"/>
    <w:rsid w:val="00C145AC"/>
    <w:rsid w:val="00C1542B"/>
    <w:rsid w:val="00C1703C"/>
    <w:rsid w:val="00C1711E"/>
    <w:rsid w:val="00C17643"/>
    <w:rsid w:val="00C204D0"/>
    <w:rsid w:val="00C22AE7"/>
    <w:rsid w:val="00C24A01"/>
    <w:rsid w:val="00C25A1B"/>
    <w:rsid w:val="00C265EC"/>
    <w:rsid w:val="00C27464"/>
    <w:rsid w:val="00C305DC"/>
    <w:rsid w:val="00C3067B"/>
    <w:rsid w:val="00C30FD1"/>
    <w:rsid w:val="00C31415"/>
    <w:rsid w:val="00C31533"/>
    <w:rsid w:val="00C31794"/>
    <w:rsid w:val="00C3182D"/>
    <w:rsid w:val="00C31A0A"/>
    <w:rsid w:val="00C33CAB"/>
    <w:rsid w:val="00C36696"/>
    <w:rsid w:val="00C3699B"/>
    <w:rsid w:val="00C36FB4"/>
    <w:rsid w:val="00C4051A"/>
    <w:rsid w:val="00C41136"/>
    <w:rsid w:val="00C41258"/>
    <w:rsid w:val="00C43159"/>
    <w:rsid w:val="00C44061"/>
    <w:rsid w:val="00C444B1"/>
    <w:rsid w:val="00C45237"/>
    <w:rsid w:val="00C55470"/>
    <w:rsid w:val="00C55ACD"/>
    <w:rsid w:val="00C56E6B"/>
    <w:rsid w:val="00C56EA8"/>
    <w:rsid w:val="00C624B9"/>
    <w:rsid w:val="00C63269"/>
    <w:rsid w:val="00C63C4E"/>
    <w:rsid w:val="00C64819"/>
    <w:rsid w:val="00C65760"/>
    <w:rsid w:val="00C66E2E"/>
    <w:rsid w:val="00C70622"/>
    <w:rsid w:val="00C70AD5"/>
    <w:rsid w:val="00C71623"/>
    <w:rsid w:val="00C71842"/>
    <w:rsid w:val="00C74312"/>
    <w:rsid w:val="00C748C5"/>
    <w:rsid w:val="00C7578B"/>
    <w:rsid w:val="00C7630D"/>
    <w:rsid w:val="00C76C8F"/>
    <w:rsid w:val="00C7786E"/>
    <w:rsid w:val="00C80B6E"/>
    <w:rsid w:val="00C82389"/>
    <w:rsid w:val="00C83D85"/>
    <w:rsid w:val="00C84432"/>
    <w:rsid w:val="00C84F28"/>
    <w:rsid w:val="00C8678A"/>
    <w:rsid w:val="00C8727D"/>
    <w:rsid w:val="00C90335"/>
    <w:rsid w:val="00C92F1C"/>
    <w:rsid w:val="00C94DD4"/>
    <w:rsid w:val="00C95483"/>
    <w:rsid w:val="00C96DB7"/>
    <w:rsid w:val="00CA040F"/>
    <w:rsid w:val="00CA0618"/>
    <w:rsid w:val="00CA078C"/>
    <w:rsid w:val="00CA19A9"/>
    <w:rsid w:val="00CA1AAF"/>
    <w:rsid w:val="00CA1E0B"/>
    <w:rsid w:val="00CA30A8"/>
    <w:rsid w:val="00CA42CF"/>
    <w:rsid w:val="00CA5407"/>
    <w:rsid w:val="00CA7466"/>
    <w:rsid w:val="00CB2453"/>
    <w:rsid w:val="00CB297A"/>
    <w:rsid w:val="00CB556B"/>
    <w:rsid w:val="00CB58F2"/>
    <w:rsid w:val="00CB6C17"/>
    <w:rsid w:val="00CC0242"/>
    <w:rsid w:val="00CC0ED1"/>
    <w:rsid w:val="00CC24DE"/>
    <w:rsid w:val="00CC25F3"/>
    <w:rsid w:val="00CC492A"/>
    <w:rsid w:val="00CC5AE3"/>
    <w:rsid w:val="00CC5BC4"/>
    <w:rsid w:val="00CC6CC7"/>
    <w:rsid w:val="00CC7181"/>
    <w:rsid w:val="00CD04ED"/>
    <w:rsid w:val="00CD04F0"/>
    <w:rsid w:val="00CD1D4A"/>
    <w:rsid w:val="00CD2E94"/>
    <w:rsid w:val="00CD32D8"/>
    <w:rsid w:val="00CD35AF"/>
    <w:rsid w:val="00CD4023"/>
    <w:rsid w:val="00CD4350"/>
    <w:rsid w:val="00CD53F1"/>
    <w:rsid w:val="00CD5F2C"/>
    <w:rsid w:val="00CD6062"/>
    <w:rsid w:val="00CD7241"/>
    <w:rsid w:val="00CE1F00"/>
    <w:rsid w:val="00CE2218"/>
    <w:rsid w:val="00CE42CB"/>
    <w:rsid w:val="00CE4DEF"/>
    <w:rsid w:val="00CE5767"/>
    <w:rsid w:val="00CE770C"/>
    <w:rsid w:val="00CF0FE5"/>
    <w:rsid w:val="00CF2412"/>
    <w:rsid w:val="00CF462F"/>
    <w:rsid w:val="00CF56FF"/>
    <w:rsid w:val="00CF6064"/>
    <w:rsid w:val="00CF6D06"/>
    <w:rsid w:val="00D01FBF"/>
    <w:rsid w:val="00D02A3E"/>
    <w:rsid w:val="00D0437B"/>
    <w:rsid w:val="00D06B96"/>
    <w:rsid w:val="00D078C8"/>
    <w:rsid w:val="00D104C0"/>
    <w:rsid w:val="00D10FEB"/>
    <w:rsid w:val="00D11932"/>
    <w:rsid w:val="00D124DB"/>
    <w:rsid w:val="00D12A67"/>
    <w:rsid w:val="00D134E9"/>
    <w:rsid w:val="00D13C83"/>
    <w:rsid w:val="00D13F83"/>
    <w:rsid w:val="00D166A3"/>
    <w:rsid w:val="00D16DEF"/>
    <w:rsid w:val="00D21467"/>
    <w:rsid w:val="00D221D3"/>
    <w:rsid w:val="00D222AE"/>
    <w:rsid w:val="00D22E2C"/>
    <w:rsid w:val="00D234D6"/>
    <w:rsid w:val="00D23560"/>
    <w:rsid w:val="00D23DFF"/>
    <w:rsid w:val="00D2420A"/>
    <w:rsid w:val="00D25404"/>
    <w:rsid w:val="00D26727"/>
    <w:rsid w:val="00D27F1C"/>
    <w:rsid w:val="00D3129A"/>
    <w:rsid w:val="00D314F0"/>
    <w:rsid w:val="00D35109"/>
    <w:rsid w:val="00D35513"/>
    <w:rsid w:val="00D35FE0"/>
    <w:rsid w:val="00D3698D"/>
    <w:rsid w:val="00D4089B"/>
    <w:rsid w:val="00D42A33"/>
    <w:rsid w:val="00D552B0"/>
    <w:rsid w:val="00D5565B"/>
    <w:rsid w:val="00D55EED"/>
    <w:rsid w:val="00D5618E"/>
    <w:rsid w:val="00D61018"/>
    <w:rsid w:val="00D61650"/>
    <w:rsid w:val="00D623C5"/>
    <w:rsid w:val="00D62BFE"/>
    <w:rsid w:val="00D62C85"/>
    <w:rsid w:val="00D63913"/>
    <w:rsid w:val="00D63D2D"/>
    <w:rsid w:val="00D64752"/>
    <w:rsid w:val="00D658F4"/>
    <w:rsid w:val="00D66926"/>
    <w:rsid w:val="00D66D1B"/>
    <w:rsid w:val="00D67FA9"/>
    <w:rsid w:val="00D729BA"/>
    <w:rsid w:val="00D73622"/>
    <w:rsid w:val="00D736E5"/>
    <w:rsid w:val="00D73A76"/>
    <w:rsid w:val="00D73CD0"/>
    <w:rsid w:val="00D749A0"/>
    <w:rsid w:val="00D758BF"/>
    <w:rsid w:val="00D758FA"/>
    <w:rsid w:val="00D75A6C"/>
    <w:rsid w:val="00D76917"/>
    <w:rsid w:val="00D77E9F"/>
    <w:rsid w:val="00D80843"/>
    <w:rsid w:val="00D81435"/>
    <w:rsid w:val="00D81E8A"/>
    <w:rsid w:val="00D820E4"/>
    <w:rsid w:val="00D82DF3"/>
    <w:rsid w:val="00D83876"/>
    <w:rsid w:val="00D83A53"/>
    <w:rsid w:val="00D840EE"/>
    <w:rsid w:val="00D843EF"/>
    <w:rsid w:val="00D84762"/>
    <w:rsid w:val="00D84797"/>
    <w:rsid w:val="00D84975"/>
    <w:rsid w:val="00D90B31"/>
    <w:rsid w:val="00D912C9"/>
    <w:rsid w:val="00D914D6"/>
    <w:rsid w:val="00D91647"/>
    <w:rsid w:val="00D91DC6"/>
    <w:rsid w:val="00D93979"/>
    <w:rsid w:val="00D94A47"/>
    <w:rsid w:val="00D95472"/>
    <w:rsid w:val="00D9551D"/>
    <w:rsid w:val="00D95C78"/>
    <w:rsid w:val="00D97BE0"/>
    <w:rsid w:val="00D97FF2"/>
    <w:rsid w:val="00DA0693"/>
    <w:rsid w:val="00DA11BE"/>
    <w:rsid w:val="00DA1F85"/>
    <w:rsid w:val="00DA2831"/>
    <w:rsid w:val="00DA3BFD"/>
    <w:rsid w:val="00DA3F4D"/>
    <w:rsid w:val="00DA4DA4"/>
    <w:rsid w:val="00DB00A5"/>
    <w:rsid w:val="00DB2878"/>
    <w:rsid w:val="00DB45F5"/>
    <w:rsid w:val="00DB4A2C"/>
    <w:rsid w:val="00DB4E55"/>
    <w:rsid w:val="00DB5407"/>
    <w:rsid w:val="00DC0BBA"/>
    <w:rsid w:val="00DC1D25"/>
    <w:rsid w:val="00DC31A7"/>
    <w:rsid w:val="00DC338D"/>
    <w:rsid w:val="00DC33D5"/>
    <w:rsid w:val="00DC40E7"/>
    <w:rsid w:val="00DC48AA"/>
    <w:rsid w:val="00DC645A"/>
    <w:rsid w:val="00DC714D"/>
    <w:rsid w:val="00DC7C7A"/>
    <w:rsid w:val="00DD0290"/>
    <w:rsid w:val="00DD1EA0"/>
    <w:rsid w:val="00DD27DA"/>
    <w:rsid w:val="00DD426B"/>
    <w:rsid w:val="00DD42F7"/>
    <w:rsid w:val="00DD5940"/>
    <w:rsid w:val="00DD5EEC"/>
    <w:rsid w:val="00DE0208"/>
    <w:rsid w:val="00DE1793"/>
    <w:rsid w:val="00DE1968"/>
    <w:rsid w:val="00DE223F"/>
    <w:rsid w:val="00DE2E68"/>
    <w:rsid w:val="00DE3415"/>
    <w:rsid w:val="00DE4732"/>
    <w:rsid w:val="00DE4D3D"/>
    <w:rsid w:val="00DE6B4E"/>
    <w:rsid w:val="00DE7330"/>
    <w:rsid w:val="00DE7A10"/>
    <w:rsid w:val="00DE7A6D"/>
    <w:rsid w:val="00DF2187"/>
    <w:rsid w:val="00DF24DA"/>
    <w:rsid w:val="00DF5063"/>
    <w:rsid w:val="00DF55F2"/>
    <w:rsid w:val="00DF5A80"/>
    <w:rsid w:val="00DF5B2F"/>
    <w:rsid w:val="00DF6EAC"/>
    <w:rsid w:val="00DF7F84"/>
    <w:rsid w:val="00E00011"/>
    <w:rsid w:val="00E002C8"/>
    <w:rsid w:val="00E005D4"/>
    <w:rsid w:val="00E009D5"/>
    <w:rsid w:val="00E01301"/>
    <w:rsid w:val="00E02090"/>
    <w:rsid w:val="00E020FD"/>
    <w:rsid w:val="00E04923"/>
    <w:rsid w:val="00E04ACC"/>
    <w:rsid w:val="00E050E3"/>
    <w:rsid w:val="00E059EC"/>
    <w:rsid w:val="00E05D86"/>
    <w:rsid w:val="00E10037"/>
    <w:rsid w:val="00E12604"/>
    <w:rsid w:val="00E14017"/>
    <w:rsid w:val="00E162BF"/>
    <w:rsid w:val="00E20E91"/>
    <w:rsid w:val="00E21407"/>
    <w:rsid w:val="00E22051"/>
    <w:rsid w:val="00E221B3"/>
    <w:rsid w:val="00E24131"/>
    <w:rsid w:val="00E26637"/>
    <w:rsid w:val="00E273F9"/>
    <w:rsid w:val="00E2748B"/>
    <w:rsid w:val="00E30CD2"/>
    <w:rsid w:val="00E30D27"/>
    <w:rsid w:val="00E314A6"/>
    <w:rsid w:val="00E316CD"/>
    <w:rsid w:val="00E31917"/>
    <w:rsid w:val="00E3353B"/>
    <w:rsid w:val="00E3416E"/>
    <w:rsid w:val="00E34EDF"/>
    <w:rsid w:val="00E40199"/>
    <w:rsid w:val="00E42AAB"/>
    <w:rsid w:val="00E42DBB"/>
    <w:rsid w:val="00E450D2"/>
    <w:rsid w:val="00E45144"/>
    <w:rsid w:val="00E47FA6"/>
    <w:rsid w:val="00E47FBA"/>
    <w:rsid w:val="00E5010E"/>
    <w:rsid w:val="00E5244F"/>
    <w:rsid w:val="00E52501"/>
    <w:rsid w:val="00E5473E"/>
    <w:rsid w:val="00E54E23"/>
    <w:rsid w:val="00E54E42"/>
    <w:rsid w:val="00E54EC2"/>
    <w:rsid w:val="00E55259"/>
    <w:rsid w:val="00E55521"/>
    <w:rsid w:val="00E56C84"/>
    <w:rsid w:val="00E573F0"/>
    <w:rsid w:val="00E6009E"/>
    <w:rsid w:val="00E61532"/>
    <w:rsid w:val="00E61B6D"/>
    <w:rsid w:val="00E62D2E"/>
    <w:rsid w:val="00E72DF0"/>
    <w:rsid w:val="00E7386E"/>
    <w:rsid w:val="00E74594"/>
    <w:rsid w:val="00E7497F"/>
    <w:rsid w:val="00E770BD"/>
    <w:rsid w:val="00E8026E"/>
    <w:rsid w:val="00E80B0F"/>
    <w:rsid w:val="00E80C93"/>
    <w:rsid w:val="00E818DC"/>
    <w:rsid w:val="00E82141"/>
    <w:rsid w:val="00E82FD8"/>
    <w:rsid w:val="00E840F5"/>
    <w:rsid w:val="00E84FFB"/>
    <w:rsid w:val="00E8663C"/>
    <w:rsid w:val="00E87229"/>
    <w:rsid w:val="00E87373"/>
    <w:rsid w:val="00E877F3"/>
    <w:rsid w:val="00E87CC2"/>
    <w:rsid w:val="00E90BCA"/>
    <w:rsid w:val="00E91E80"/>
    <w:rsid w:val="00E92017"/>
    <w:rsid w:val="00E921A0"/>
    <w:rsid w:val="00E9517E"/>
    <w:rsid w:val="00E960B5"/>
    <w:rsid w:val="00E969AC"/>
    <w:rsid w:val="00EA0A02"/>
    <w:rsid w:val="00EA0B83"/>
    <w:rsid w:val="00EA1808"/>
    <w:rsid w:val="00EA2564"/>
    <w:rsid w:val="00EA2993"/>
    <w:rsid w:val="00EA5AAB"/>
    <w:rsid w:val="00EA6A3C"/>
    <w:rsid w:val="00EA6DC1"/>
    <w:rsid w:val="00EA7022"/>
    <w:rsid w:val="00EA717C"/>
    <w:rsid w:val="00EA7A41"/>
    <w:rsid w:val="00EB0293"/>
    <w:rsid w:val="00EB23FD"/>
    <w:rsid w:val="00EB37E6"/>
    <w:rsid w:val="00EB3CB1"/>
    <w:rsid w:val="00EB5F8D"/>
    <w:rsid w:val="00EB7473"/>
    <w:rsid w:val="00EC7BEC"/>
    <w:rsid w:val="00ED093E"/>
    <w:rsid w:val="00ED0FF7"/>
    <w:rsid w:val="00ED3184"/>
    <w:rsid w:val="00ED4BBB"/>
    <w:rsid w:val="00ED5216"/>
    <w:rsid w:val="00ED5CD3"/>
    <w:rsid w:val="00ED5D31"/>
    <w:rsid w:val="00ED67C8"/>
    <w:rsid w:val="00EE0DDE"/>
    <w:rsid w:val="00EE3A1A"/>
    <w:rsid w:val="00EE49CE"/>
    <w:rsid w:val="00EE4A8B"/>
    <w:rsid w:val="00EF06B2"/>
    <w:rsid w:val="00EF1F16"/>
    <w:rsid w:val="00EF26B8"/>
    <w:rsid w:val="00EF2E70"/>
    <w:rsid w:val="00EF3D57"/>
    <w:rsid w:val="00EF4640"/>
    <w:rsid w:val="00EF713B"/>
    <w:rsid w:val="00EF7150"/>
    <w:rsid w:val="00EF72B4"/>
    <w:rsid w:val="00F003A1"/>
    <w:rsid w:val="00F0108C"/>
    <w:rsid w:val="00F01538"/>
    <w:rsid w:val="00F01696"/>
    <w:rsid w:val="00F01E4A"/>
    <w:rsid w:val="00F020C3"/>
    <w:rsid w:val="00F0234F"/>
    <w:rsid w:val="00F03377"/>
    <w:rsid w:val="00F06710"/>
    <w:rsid w:val="00F07AA9"/>
    <w:rsid w:val="00F07E90"/>
    <w:rsid w:val="00F10C25"/>
    <w:rsid w:val="00F10E4E"/>
    <w:rsid w:val="00F126CB"/>
    <w:rsid w:val="00F12FB4"/>
    <w:rsid w:val="00F13592"/>
    <w:rsid w:val="00F13687"/>
    <w:rsid w:val="00F13D70"/>
    <w:rsid w:val="00F14364"/>
    <w:rsid w:val="00F15067"/>
    <w:rsid w:val="00F15DF8"/>
    <w:rsid w:val="00F163F9"/>
    <w:rsid w:val="00F205E6"/>
    <w:rsid w:val="00F2138C"/>
    <w:rsid w:val="00F2317C"/>
    <w:rsid w:val="00F262DF"/>
    <w:rsid w:val="00F2680D"/>
    <w:rsid w:val="00F26D58"/>
    <w:rsid w:val="00F27B35"/>
    <w:rsid w:val="00F27CD3"/>
    <w:rsid w:val="00F30240"/>
    <w:rsid w:val="00F313B0"/>
    <w:rsid w:val="00F31B85"/>
    <w:rsid w:val="00F3282E"/>
    <w:rsid w:val="00F32C00"/>
    <w:rsid w:val="00F32C5E"/>
    <w:rsid w:val="00F32E54"/>
    <w:rsid w:val="00F36D34"/>
    <w:rsid w:val="00F37BFA"/>
    <w:rsid w:val="00F416D4"/>
    <w:rsid w:val="00F423F5"/>
    <w:rsid w:val="00F4265A"/>
    <w:rsid w:val="00F451A6"/>
    <w:rsid w:val="00F4584B"/>
    <w:rsid w:val="00F45C53"/>
    <w:rsid w:val="00F45FFB"/>
    <w:rsid w:val="00F4697B"/>
    <w:rsid w:val="00F46DC7"/>
    <w:rsid w:val="00F47FAB"/>
    <w:rsid w:val="00F53988"/>
    <w:rsid w:val="00F555C7"/>
    <w:rsid w:val="00F55B6B"/>
    <w:rsid w:val="00F5603D"/>
    <w:rsid w:val="00F57228"/>
    <w:rsid w:val="00F629A9"/>
    <w:rsid w:val="00F62BCC"/>
    <w:rsid w:val="00F63A8B"/>
    <w:rsid w:val="00F64154"/>
    <w:rsid w:val="00F64F5C"/>
    <w:rsid w:val="00F67180"/>
    <w:rsid w:val="00F675D0"/>
    <w:rsid w:val="00F678A3"/>
    <w:rsid w:val="00F70A9A"/>
    <w:rsid w:val="00F7182D"/>
    <w:rsid w:val="00F7210C"/>
    <w:rsid w:val="00F74BB4"/>
    <w:rsid w:val="00F75173"/>
    <w:rsid w:val="00F75ED8"/>
    <w:rsid w:val="00F76064"/>
    <w:rsid w:val="00F768AB"/>
    <w:rsid w:val="00F76942"/>
    <w:rsid w:val="00F7694C"/>
    <w:rsid w:val="00F76B82"/>
    <w:rsid w:val="00F7715E"/>
    <w:rsid w:val="00F80499"/>
    <w:rsid w:val="00F813C4"/>
    <w:rsid w:val="00F82C71"/>
    <w:rsid w:val="00F833D5"/>
    <w:rsid w:val="00F838F6"/>
    <w:rsid w:val="00F85D25"/>
    <w:rsid w:val="00F866B2"/>
    <w:rsid w:val="00F867D1"/>
    <w:rsid w:val="00F90142"/>
    <w:rsid w:val="00F908C1"/>
    <w:rsid w:val="00F9175B"/>
    <w:rsid w:val="00F93145"/>
    <w:rsid w:val="00F9513E"/>
    <w:rsid w:val="00F9575C"/>
    <w:rsid w:val="00F95760"/>
    <w:rsid w:val="00F97CF2"/>
    <w:rsid w:val="00FA03DD"/>
    <w:rsid w:val="00FA0A3E"/>
    <w:rsid w:val="00FA0EB0"/>
    <w:rsid w:val="00FA1AE7"/>
    <w:rsid w:val="00FA20D6"/>
    <w:rsid w:val="00FA2FE5"/>
    <w:rsid w:val="00FA56A9"/>
    <w:rsid w:val="00FA5784"/>
    <w:rsid w:val="00FA6871"/>
    <w:rsid w:val="00FA74A9"/>
    <w:rsid w:val="00FB219E"/>
    <w:rsid w:val="00FB233F"/>
    <w:rsid w:val="00FB25F3"/>
    <w:rsid w:val="00FB28A6"/>
    <w:rsid w:val="00FB4159"/>
    <w:rsid w:val="00FB4DA2"/>
    <w:rsid w:val="00FB500A"/>
    <w:rsid w:val="00FB6FBC"/>
    <w:rsid w:val="00FB78AC"/>
    <w:rsid w:val="00FC0189"/>
    <w:rsid w:val="00FC07FA"/>
    <w:rsid w:val="00FC0F86"/>
    <w:rsid w:val="00FC127D"/>
    <w:rsid w:val="00FC1EAF"/>
    <w:rsid w:val="00FC457A"/>
    <w:rsid w:val="00FC49A0"/>
    <w:rsid w:val="00FC49FE"/>
    <w:rsid w:val="00FC50F3"/>
    <w:rsid w:val="00FC6CA9"/>
    <w:rsid w:val="00FD0283"/>
    <w:rsid w:val="00FD0348"/>
    <w:rsid w:val="00FD0C84"/>
    <w:rsid w:val="00FD1D26"/>
    <w:rsid w:val="00FD1E00"/>
    <w:rsid w:val="00FD21B5"/>
    <w:rsid w:val="00FD2367"/>
    <w:rsid w:val="00FE052F"/>
    <w:rsid w:val="00FE0D87"/>
    <w:rsid w:val="00FE0DC4"/>
    <w:rsid w:val="00FE0F96"/>
    <w:rsid w:val="00FE1EC3"/>
    <w:rsid w:val="00FE345C"/>
    <w:rsid w:val="00FE465E"/>
    <w:rsid w:val="00FE493E"/>
    <w:rsid w:val="00FE4B74"/>
    <w:rsid w:val="00FE4CA7"/>
    <w:rsid w:val="00FE4E12"/>
    <w:rsid w:val="00FE501A"/>
    <w:rsid w:val="00FE586F"/>
    <w:rsid w:val="00FE6C30"/>
    <w:rsid w:val="00FE7E1D"/>
    <w:rsid w:val="00FF0A56"/>
    <w:rsid w:val="00FF1C1C"/>
    <w:rsid w:val="00FF449F"/>
    <w:rsid w:val="00FF549A"/>
    <w:rsid w:val="00FF75C1"/>
    <w:rsid w:val="00FF7D9A"/>
    <w:rsid w:val="01003242"/>
    <w:rsid w:val="0109594E"/>
    <w:rsid w:val="01124CC5"/>
    <w:rsid w:val="011C4500"/>
    <w:rsid w:val="012259A7"/>
    <w:rsid w:val="014D33EB"/>
    <w:rsid w:val="014F25AF"/>
    <w:rsid w:val="016B72A3"/>
    <w:rsid w:val="017F55F4"/>
    <w:rsid w:val="018F30C8"/>
    <w:rsid w:val="01BC2E60"/>
    <w:rsid w:val="01C761D7"/>
    <w:rsid w:val="01D4107A"/>
    <w:rsid w:val="01E152AE"/>
    <w:rsid w:val="01E52732"/>
    <w:rsid w:val="01EA0CDA"/>
    <w:rsid w:val="01FC4717"/>
    <w:rsid w:val="0211735C"/>
    <w:rsid w:val="023630EE"/>
    <w:rsid w:val="023E05FC"/>
    <w:rsid w:val="023E7AA8"/>
    <w:rsid w:val="0245208B"/>
    <w:rsid w:val="02500A70"/>
    <w:rsid w:val="02716342"/>
    <w:rsid w:val="02817925"/>
    <w:rsid w:val="029040BA"/>
    <w:rsid w:val="02BE6A19"/>
    <w:rsid w:val="02C01269"/>
    <w:rsid w:val="02CB1358"/>
    <w:rsid w:val="02DF3994"/>
    <w:rsid w:val="030B2C9C"/>
    <w:rsid w:val="03471663"/>
    <w:rsid w:val="03574BBE"/>
    <w:rsid w:val="03583547"/>
    <w:rsid w:val="0366596E"/>
    <w:rsid w:val="03695B0B"/>
    <w:rsid w:val="03901BDD"/>
    <w:rsid w:val="03BA2836"/>
    <w:rsid w:val="03C25B9F"/>
    <w:rsid w:val="03F71B22"/>
    <w:rsid w:val="04364867"/>
    <w:rsid w:val="047A38D7"/>
    <w:rsid w:val="0486237A"/>
    <w:rsid w:val="04912334"/>
    <w:rsid w:val="04A2000F"/>
    <w:rsid w:val="04A40190"/>
    <w:rsid w:val="04AB66FE"/>
    <w:rsid w:val="04B06832"/>
    <w:rsid w:val="04D75A2F"/>
    <w:rsid w:val="04E226A7"/>
    <w:rsid w:val="04E673A0"/>
    <w:rsid w:val="04F62DA6"/>
    <w:rsid w:val="04FB0603"/>
    <w:rsid w:val="04FD7C0E"/>
    <w:rsid w:val="05221476"/>
    <w:rsid w:val="05296BAF"/>
    <w:rsid w:val="053E55B0"/>
    <w:rsid w:val="053E69B9"/>
    <w:rsid w:val="05432782"/>
    <w:rsid w:val="05561C9B"/>
    <w:rsid w:val="05646647"/>
    <w:rsid w:val="05806AC8"/>
    <w:rsid w:val="05815A88"/>
    <w:rsid w:val="0595061A"/>
    <w:rsid w:val="05A201BD"/>
    <w:rsid w:val="05A21A1E"/>
    <w:rsid w:val="05A86320"/>
    <w:rsid w:val="05BD342F"/>
    <w:rsid w:val="05D36D4B"/>
    <w:rsid w:val="05E824CF"/>
    <w:rsid w:val="05F71D30"/>
    <w:rsid w:val="060F2A34"/>
    <w:rsid w:val="06112642"/>
    <w:rsid w:val="06382C18"/>
    <w:rsid w:val="064C21F3"/>
    <w:rsid w:val="06716DD5"/>
    <w:rsid w:val="06D64CED"/>
    <w:rsid w:val="06E87E87"/>
    <w:rsid w:val="06EB451D"/>
    <w:rsid w:val="06FB2C54"/>
    <w:rsid w:val="07071829"/>
    <w:rsid w:val="070B17E3"/>
    <w:rsid w:val="07104571"/>
    <w:rsid w:val="0729161B"/>
    <w:rsid w:val="07370E03"/>
    <w:rsid w:val="07533B82"/>
    <w:rsid w:val="076444D4"/>
    <w:rsid w:val="07776D8E"/>
    <w:rsid w:val="077869D4"/>
    <w:rsid w:val="077E152E"/>
    <w:rsid w:val="07886B70"/>
    <w:rsid w:val="07996D74"/>
    <w:rsid w:val="07C45D63"/>
    <w:rsid w:val="07C777CE"/>
    <w:rsid w:val="07D80A2F"/>
    <w:rsid w:val="07F42F89"/>
    <w:rsid w:val="0801567C"/>
    <w:rsid w:val="0811287F"/>
    <w:rsid w:val="08264627"/>
    <w:rsid w:val="08282E7A"/>
    <w:rsid w:val="08312278"/>
    <w:rsid w:val="083F2145"/>
    <w:rsid w:val="08497F0B"/>
    <w:rsid w:val="084C24F2"/>
    <w:rsid w:val="085260A9"/>
    <w:rsid w:val="087D42C3"/>
    <w:rsid w:val="0896217F"/>
    <w:rsid w:val="08AA110E"/>
    <w:rsid w:val="08DE5DD9"/>
    <w:rsid w:val="08EE2D07"/>
    <w:rsid w:val="09081FF3"/>
    <w:rsid w:val="092708D3"/>
    <w:rsid w:val="092B33AD"/>
    <w:rsid w:val="09703C2D"/>
    <w:rsid w:val="09B41AF1"/>
    <w:rsid w:val="09B45D2D"/>
    <w:rsid w:val="09C22FA5"/>
    <w:rsid w:val="09E14E30"/>
    <w:rsid w:val="09EF71E1"/>
    <w:rsid w:val="09FD3A32"/>
    <w:rsid w:val="0A0924BD"/>
    <w:rsid w:val="0A1204B2"/>
    <w:rsid w:val="0A160EC9"/>
    <w:rsid w:val="0A2235C4"/>
    <w:rsid w:val="0A441A30"/>
    <w:rsid w:val="0A4E00CD"/>
    <w:rsid w:val="0A6317D2"/>
    <w:rsid w:val="0A8F7DDB"/>
    <w:rsid w:val="0AA80C6F"/>
    <w:rsid w:val="0AA83146"/>
    <w:rsid w:val="0AB35AB2"/>
    <w:rsid w:val="0ACB1E4E"/>
    <w:rsid w:val="0ADA621D"/>
    <w:rsid w:val="0ADB2DC2"/>
    <w:rsid w:val="0AE664DA"/>
    <w:rsid w:val="0AFC23AB"/>
    <w:rsid w:val="0B562D19"/>
    <w:rsid w:val="0B576BAE"/>
    <w:rsid w:val="0B5A3A72"/>
    <w:rsid w:val="0B6A1BFD"/>
    <w:rsid w:val="0B7E5B88"/>
    <w:rsid w:val="0B826434"/>
    <w:rsid w:val="0B9D4295"/>
    <w:rsid w:val="0B9F33DB"/>
    <w:rsid w:val="0B9F70A1"/>
    <w:rsid w:val="0BB837FF"/>
    <w:rsid w:val="0BC407BF"/>
    <w:rsid w:val="0BCE0FF1"/>
    <w:rsid w:val="0BEE25E9"/>
    <w:rsid w:val="0C0B6DA8"/>
    <w:rsid w:val="0C0C5183"/>
    <w:rsid w:val="0C1E558E"/>
    <w:rsid w:val="0C246F82"/>
    <w:rsid w:val="0C2710AB"/>
    <w:rsid w:val="0C2B1CDB"/>
    <w:rsid w:val="0C475CAC"/>
    <w:rsid w:val="0C513ECB"/>
    <w:rsid w:val="0C6948F0"/>
    <w:rsid w:val="0C796F15"/>
    <w:rsid w:val="0CB41A5C"/>
    <w:rsid w:val="0CC1463D"/>
    <w:rsid w:val="0CD014BE"/>
    <w:rsid w:val="0CDD05A5"/>
    <w:rsid w:val="0CE2480D"/>
    <w:rsid w:val="0D215582"/>
    <w:rsid w:val="0D297B19"/>
    <w:rsid w:val="0D4841F2"/>
    <w:rsid w:val="0D4D3EB0"/>
    <w:rsid w:val="0D5D1265"/>
    <w:rsid w:val="0D72232F"/>
    <w:rsid w:val="0DAC34A3"/>
    <w:rsid w:val="0DB56CB0"/>
    <w:rsid w:val="0DBB0717"/>
    <w:rsid w:val="0DDF214F"/>
    <w:rsid w:val="0DEE2D3E"/>
    <w:rsid w:val="0E4565B8"/>
    <w:rsid w:val="0E8D7234"/>
    <w:rsid w:val="0E93448D"/>
    <w:rsid w:val="0EA60E90"/>
    <w:rsid w:val="0EB83B1C"/>
    <w:rsid w:val="0EDF167A"/>
    <w:rsid w:val="0F1B1E4B"/>
    <w:rsid w:val="0F213404"/>
    <w:rsid w:val="0F3072D2"/>
    <w:rsid w:val="0F3513A4"/>
    <w:rsid w:val="0F3629B0"/>
    <w:rsid w:val="0F387BC6"/>
    <w:rsid w:val="0F394CBB"/>
    <w:rsid w:val="0F4E0C61"/>
    <w:rsid w:val="0F4F7C33"/>
    <w:rsid w:val="0F51311B"/>
    <w:rsid w:val="0F5B2655"/>
    <w:rsid w:val="0F7B7E1B"/>
    <w:rsid w:val="0F7F0234"/>
    <w:rsid w:val="0FB11A5E"/>
    <w:rsid w:val="0FCD4425"/>
    <w:rsid w:val="0FD57DF7"/>
    <w:rsid w:val="0FFF4FAF"/>
    <w:rsid w:val="10023413"/>
    <w:rsid w:val="100901BE"/>
    <w:rsid w:val="100D367C"/>
    <w:rsid w:val="105F3B49"/>
    <w:rsid w:val="10714580"/>
    <w:rsid w:val="108115BA"/>
    <w:rsid w:val="10957568"/>
    <w:rsid w:val="10B771C0"/>
    <w:rsid w:val="10D8518E"/>
    <w:rsid w:val="10DE52DC"/>
    <w:rsid w:val="10E63D85"/>
    <w:rsid w:val="10EB4ADA"/>
    <w:rsid w:val="110F3B44"/>
    <w:rsid w:val="113B299C"/>
    <w:rsid w:val="11651F83"/>
    <w:rsid w:val="119C08FB"/>
    <w:rsid w:val="119F23B1"/>
    <w:rsid w:val="11AC648D"/>
    <w:rsid w:val="11B02CA7"/>
    <w:rsid w:val="11BA632A"/>
    <w:rsid w:val="120828D2"/>
    <w:rsid w:val="124C7783"/>
    <w:rsid w:val="12585D8C"/>
    <w:rsid w:val="12591F6D"/>
    <w:rsid w:val="12594386"/>
    <w:rsid w:val="125E282F"/>
    <w:rsid w:val="126E0D75"/>
    <w:rsid w:val="129B5000"/>
    <w:rsid w:val="12BA0D1E"/>
    <w:rsid w:val="12BE7800"/>
    <w:rsid w:val="12CA49D0"/>
    <w:rsid w:val="12CC1CB6"/>
    <w:rsid w:val="12CC44EC"/>
    <w:rsid w:val="12D67CD2"/>
    <w:rsid w:val="12DA307B"/>
    <w:rsid w:val="12FA6EBE"/>
    <w:rsid w:val="13010175"/>
    <w:rsid w:val="130D0EC9"/>
    <w:rsid w:val="131B7F29"/>
    <w:rsid w:val="133B10E0"/>
    <w:rsid w:val="134167EA"/>
    <w:rsid w:val="135626FF"/>
    <w:rsid w:val="135915A9"/>
    <w:rsid w:val="13830A7B"/>
    <w:rsid w:val="139A2AFE"/>
    <w:rsid w:val="13AA5686"/>
    <w:rsid w:val="13CD7F7A"/>
    <w:rsid w:val="13E74397"/>
    <w:rsid w:val="14384C69"/>
    <w:rsid w:val="143962D3"/>
    <w:rsid w:val="145D5D7B"/>
    <w:rsid w:val="146038EA"/>
    <w:rsid w:val="14A23354"/>
    <w:rsid w:val="14A34EC6"/>
    <w:rsid w:val="14BD0CD3"/>
    <w:rsid w:val="14E70C18"/>
    <w:rsid w:val="14F72BC7"/>
    <w:rsid w:val="14FC01EA"/>
    <w:rsid w:val="158308DC"/>
    <w:rsid w:val="1591642B"/>
    <w:rsid w:val="15AA3568"/>
    <w:rsid w:val="15AC59B8"/>
    <w:rsid w:val="15B50038"/>
    <w:rsid w:val="15CA76C5"/>
    <w:rsid w:val="15CF515F"/>
    <w:rsid w:val="15D62EA3"/>
    <w:rsid w:val="16015BD0"/>
    <w:rsid w:val="162870B0"/>
    <w:rsid w:val="16432CEA"/>
    <w:rsid w:val="16482398"/>
    <w:rsid w:val="164B3E37"/>
    <w:rsid w:val="164C69D2"/>
    <w:rsid w:val="16566072"/>
    <w:rsid w:val="16571308"/>
    <w:rsid w:val="166530B3"/>
    <w:rsid w:val="167D60E1"/>
    <w:rsid w:val="16814291"/>
    <w:rsid w:val="16AB5D1B"/>
    <w:rsid w:val="16B43C1A"/>
    <w:rsid w:val="16D059CE"/>
    <w:rsid w:val="16DD3E90"/>
    <w:rsid w:val="16EE14BF"/>
    <w:rsid w:val="172D7D6D"/>
    <w:rsid w:val="1732567D"/>
    <w:rsid w:val="17516C5A"/>
    <w:rsid w:val="17546308"/>
    <w:rsid w:val="17610F4D"/>
    <w:rsid w:val="176B6C54"/>
    <w:rsid w:val="17724EAC"/>
    <w:rsid w:val="177A36EB"/>
    <w:rsid w:val="178C67C1"/>
    <w:rsid w:val="1791364D"/>
    <w:rsid w:val="17B45BBC"/>
    <w:rsid w:val="17D06747"/>
    <w:rsid w:val="180F5F46"/>
    <w:rsid w:val="1817254C"/>
    <w:rsid w:val="182C39CC"/>
    <w:rsid w:val="18544F01"/>
    <w:rsid w:val="18550719"/>
    <w:rsid w:val="188815E1"/>
    <w:rsid w:val="18A76FEA"/>
    <w:rsid w:val="18AC3120"/>
    <w:rsid w:val="18C91E66"/>
    <w:rsid w:val="18F465E3"/>
    <w:rsid w:val="193A0E2C"/>
    <w:rsid w:val="19481A38"/>
    <w:rsid w:val="195235C3"/>
    <w:rsid w:val="195D7462"/>
    <w:rsid w:val="196518EF"/>
    <w:rsid w:val="196F2BDB"/>
    <w:rsid w:val="1970309C"/>
    <w:rsid w:val="1979340B"/>
    <w:rsid w:val="197E73EB"/>
    <w:rsid w:val="197F345D"/>
    <w:rsid w:val="199346DB"/>
    <w:rsid w:val="19B05C2A"/>
    <w:rsid w:val="19B85BA8"/>
    <w:rsid w:val="19BE14B0"/>
    <w:rsid w:val="19D27125"/>
    <w:rsid w:val="19E618B0"/>
    <w:rsid w:val="19E73B27"/>
    <w:rsid w:val="19FA13E8"/>
    <w:rsid w:val="1A0B5FF5"/>
    <w:rsid w:val="1A0D7983"/>
    <w:rsid w:val="1A127FD2"/>
    <w:rsid w:val="1A2A01BB"/>
    <w:rsid w:val="1A530A2D"/>
    <w:rsid w:val="1A626167"/>
    <w:rsid w:val="1A7035B1"/>
    <w:rsid w:val="1A7B255F"/>
    <w:rsid w:val="1A9F510C"/>
    <w:rsid w:val="1ADD03C2"/>
    <w:rsid w:val="1AF94BF3"/>
    <w:rsid w:val="1B0C0397"/>
    <w:rsid w:val="1B1A2BC9"/>
    <w:rsid w:val="1B1E632F"/>
    <w:rsid w:val="1B23766D"/>
    <w:rsid w:val="1B330385"/>
    <w:rsid w:val="1B3B1F26"/>
    <w:rsid w:val="1B445856"/>
    <w:rsid w:val="1B612A4D"/>
    <w:rsid w:val="1B685F21"/>
    <w:rsid w:val="1B7E6809"/>
    <w:rsid w:val="1B865526"/>
    <w:rsid w:val="1B95631D"/>
    <w:rsid w:val="1B9670CD"/>
    <w:rsid w:val="1BAF6B0D"/>
    <w:rsid w:val="1C2838BF"/>
    <w:rsid w:val="1C36497D"/>
    <w:rsid w:val="1C3C687E"/>
    <w:rsid w:val="1C3D1C3D"/>
    <w:rsid w:val="1C3D4856"/>
    <w:rsid w:val="1C5C0F08"/>
    <w:rsid w:val="1C666CE3"/>
    <w:rsid w:val="1C784A5D"/>
    <w:rsid w:val="1C8F6C9B"/>
    <w:rsid w:val="1C926D64"/>
    <w:rsid w:val="1C950A26"/>
    <w:rsid w:val="1CA904D0"/>
    <w:rsid w:val="1CAC73F1"/>
    <w:rsid w:val="1CAE224D"/>
    <w:rsid w:val="1CB145A4"/>
    <w:rsid w:val="1CBE2462"/>
    <w:rsid w:val="1CC11F5A"/>
    <w:rsid w:val="1CCA4C24"/>
    <w:rsid w:val="1CE324AB"/>
    <w:rsid w:val="1CE94979"/>
    <w:rsid w:val="1D1141C4"/>
    <w:rsid w:val="1D1972A9"/>
    <w:rsid w:val="1D2F6430"/>
    <w:rsid w:val="1D3A4B55"/>
    <w:rsid w:val="1D3D4AEA"/>
    <w:rsid w:val="1D4B050F"/>
    <w:rsid w:val="1D7E762B"/>
    <w:rsid w:val="1D8B1DF6"/>
    <w:rsid w:val="1D987A29"/>
    <w:rsid w:val="1DA657AD"/>
    <w:rsid w:val="1DE17229"/>
    <w:rsid w:val="1DE4779A"/>
    <w:rsid w:val="1DE631B0"/>
    <w:rsid w:val="1DF351A4"/>
    <w:rsid w:val="1E106FBF"/>
    <w:rsid w:val="1E3E1186"/>
    <w:rsid w:val="1E567940"/>
    <w:rsid w:val="1E907536"/>
    <w:rsid w:val="1E97767C"/>
    <w:rsid w:val="1EAB7596"/>
    <w:rsid w:val="1ECE0148"/>
    <w:rsid w:val="1ECE2DA7"/>
    <w:rsid w:val="1EDE4FE5"/>
    <w:rsid w:val="1EE4673D"/>
    <w:rsid w:val="1F040FC2"/>
    <w:rsid w:val="1F056F9E"/>
    <w:rsid w:val="1F0E4988"/>
    <w:rsid w:val="1F1C0EE1"/>
    <w:rsid w:val="1F1C53F2"/>
    <w:rsid w:val="1F1D5028"/>
    <w:rsid w:val="1F3A0D74"/>
    <w:rsid w:val="1F43091B"/>
    <w:rsid w:val="1F48190C"/>
    <w:rsid w:val="1F5119C9"/>
    <w:rsid w:val="1F5C248C"/>
    <w:rsid w:val="1F8075C3"/>
    <w:rsid w:val="1F864334"/>
    <w:rsid w:val="1F8F593C"/>
    <w:rsid w:val="1FA70AE4"/>
    <w:rsid w:val="1FB827FA"/>
    <w:rsid w:val="1FF620FB"/>
    <w:rsid w:val="20342C82"/>
    <w:rsid w:val="20357301"/>
    <w:rsid w:val="204213F3"/>
    <w:rsid w:val="205840FA"/>
    <w:rsid w:val="206D3B58"/>
    <w:rsid w:val="2073185F"/>
    <w:rsid w:val="209239FD"/>
    <w:rsid w:val="20B56531"/>
    <w:rsid w:val="20C466CA"/>
    <w:rsid w:val="20D14BC5"/>
    <w:rsid w:val="20E02279"/>
    <w:rsid w:val="21063677"/>
    <w:rsid w:val="21097D9E"/>
    <w:rsid w:val="2166388F"/>
    <w:rsid w:val="217B112C"/>
    <w:rsid w:val="217F3616"/>
    <w:rsid w:val="21823539"/>
    <w:rsid w:val="219A6B04"/>
    <w:rsid w:val="219E5E20"/>
    <w:rsid w:val="21D749EF"/>
    <w:rsid w:val="21D85178"/>
    <w:rsid w:val="21DB04D1"/>
    <w:rsid w:val="22205522"/>
    <w:rsid w:val="22341AAA"/>
    <w:rsid w:val="223A5D63"/>
    <w:rsid w:val="2262759A"/>
    <w:rsid w:val="22746176"/>
    <w:rsid w:val="227F414E"/>
    <w:rsid w:val="229473A2"/>
    <w:rsid w:val="229E75AD"/>
    <w:rsid w:val="22AB692E"/>
    <w:rsid w:val="22B076E6"/>
    <w:rsid w:val="22BC1C6C"/>
    <w:rsid w:val="22EB130B"/>
    <w:rsid w:val="22EB1893"/>
    <w:rsid w:val="23150D9C"/>
    <w:rsid w:val="23181117"/>
    <w:rsid w:val="231B67FA"/>
    <w:rsid w:val="2326264B"/>
    <w:rsid w:val="233D7C0B"/>
    <w:rsid w:val="233F2042"/>
    <w:rsid w:val="23495888"/>
    <w:rsid w:val="235356C5"/>
    <w:rsid w:val="236001EA"/>
    <w:rsid w:val="237369FB"/>
    <w:rsid w:val="237602B9"/>
    <w:rsid w:val="238143F2"/>
    <w:rsid w:val="2383579D"/>
    <w:rsid w:val="23971ACE"/>
    <w:rsid w:val="23985DF6"/>
    <w:rsid w:val="23A82D1D"/>
    <w:rsid w:val="23B05255"/>
    <w:rsid w:val="23C50720"/>
    <w:rsid w:val="23D43F8D"/>
    <w:rsid w:val="23E82E33"/>
    <w:rsid w:val="24091482"/>
    <w:rsid w:val="243D65D9"/>
    <w:rsid w:val="2441369E"/>
    <w:rsid w:val="244C1BAA"/>
    <w:rsid w:val="24B16BC3"/>
    <w:rsid w:val="24C96330"/>
    <w:rsid w:val="24E3463B"/>
    <w:rsid w:val="24ED7FF2"/>
    <w:rsid w:val="24EE7D9B"/>
    <w:rsid w:val="24F0288E"/>
    <w:rsid w:val="24F030F2"/>
    <w:rsid w:val="24F75DA9"/>
    <w:rsid w:val="25112F3D"/>
    <w:rsid w:val="25120299"/>
    <w:rsid w:val="252E562F"/>
    <w:rsid w:val="254B58EF"/>
    <w:rsid w:val="256000EE"/>
    <w:rsid w:val="2560597D"/>
    <w:rsid w:val="25711A14"/>
    <w:rsid w:val="257C646B"/>
    <w:rsid w:val="25C95094"/>
    <w:rsid w:val="25FA7A3B"/>
    <w:rsid w:val="261438AB"/>
    <w:rsid w:val="26217EDD"/>
    <w:rsid w:val="265C333B"/>
    <w:rsid w:val="265F3983"/>
    <w:rsid w:val="266412BB"/>
    <w:rsid w:val="26960378"/>
    <w:rsid w:val="26A82A80"/>
    <w:rsid w:val="26AA28EA"/>
    <w:rsid w:val="26B46BD6"/>
    <w:rsid w:val="26D60E92"/>
    <w:rsid w:val="26D82E39"/>
    <w:rsid w:val="26E6292A"/>
    <w:rsid w:val="26F475D2"/>
    <w:rsid w:val="271104CA"/>
    <w:rsid w:val="271B7BF9"/>
    <w:rsid w:val="271F0AA6"/>
    <w:rsid w:val="27723602"/>
    <w:rsid w:val="278535DF"/>
    <w:rsid w:val="279E4DD5"/>
    <w:rsid w:val="27B5300F"/>
    <w:rsid w:val="2807712D"/>
    <w:rsid w:val="28306ABD"/>
    <w:rsid w:val="2831508D"/>
    <w:rsid w:val="28416127"/>
    <w:rsid w:val="285F2833"/>
    <w:rsid w:val="286C6D8C"/>
    <w:rsid w:val="2898550E"/>
    <w:rsid w:val="28A16A2B"/>
    <w:rsid w:val="28B517A5"/>
    <w:rsid w:val="28BE57A5"/>
    <w:rsid w:val="28D92C6E"/>
    <w:rsid w:val="28DF066B"/>
    <w:rsid w:val="28F3516F"/>
    <w:rsid w:val="29220014"/>
    <w:rsid w:val="29386AA1"/>
    <w:rsid w:val="295920EB"/>
    <w:rsid w:val="295A4D74"/>
    <w:rsid w:val="29607C4F"/>
    <w:rsid w:val="296540E3"/>
    <w:rsid w:val="29AE1F41"/>
    <w:rsid w:val="2A155A85"/>
    <w:rsid w:val="2A2D509E"/>
    <w:rsid w:val="2A316C72"/>
    <w:rsid w:val="2A4E308A"/>
    <w:rsid w:val="2A736529"/>
    <w:rsid w:val="2A781EB5"/>
    <w:rsid w:val="2A815B98"/>
    <w:rsid w:val="2A8D7070"/>
    <w:rsid w:val="2A926577"/>
    <w:rsid w:val="2AA73CED"/>
    <w:rsid w:val="2AB729B7"/>
    <w:rsid w:val="2AD046DA"/>
    <w:rsid w:val="2AE4105E"/>
    <w:rsid w:val="2B3B0454"/>
    <w:rsid w:val="2B790767"/>
    <w:rsid w:val="2B99377E"/>
    <w:rsid w:val="2BA07853"/>
    <w:rsid w:val="2BB94188"/>
    <w:rsid w:val="2BEF0B9E"/>
    <w:rsid w:val="2BF22494"/>
    <w:rsid w:val="2BFA3C87"/>
    <w:rsid w:val="2C0D7B3F"/>
    <w:rsid w:val="2C1A587F"/>
    <w:rsid w:val="2C1D2A53"/>
    <w:rsid w:val="2C71207A"/>
    <w:rsid w:val="2C80549D"/>
    <w:rsid w:val="2C890A46"/>
    <w:rsid w:val="2C8E12D7"/>
    <w:rsid w:val="2CA13945"/>
    <w:rsid w:val="2CA828A4"/>
    <w:rsid w:val="2CB43194"/>
    <w:rsid w:val="2CF30022"/>
    <w:rsid w:val="2D021A60"/>
    <w:rsid w:val="2D177F0C"/>
    <w:rsid w:val="2D3D7EA4"/>
    <w:rsid w:val="2D4E47A8"/>
    <w:rsid w:val="2D517DC5"/>
    <w:rsid w:val="2D5523F7"/>
    <w:rsid w:val="2D564A3F"/>
    <w:rsid w:val="2D5C5A1D"/>
    <w:rsid w:val="2D793FC1"/>
    <w:rsid w:val="2D872760"/>
    <w:rsid w:val="2D940DB4"/>
    <w:rsid w:val="2D9B2143"/>
    <w:rsid w:val="2DA3549B"/>
    <w:rsid w:val="2DBB4972"/>
    <w:rsid w:val="2DE627CF"/>
    <w:rsid w:val="2E0141CE"/>
    <w:rsid w:val="2E073E0D"/>
    <w:rsid w:val="2E274A0C"/>
    <w:rsid w:val="2E4274AC"/>
    <w:rsid w:val="2E523E6C"/>
    <w:rsid w:val="2E536394"/>
    <w:rsid w:val="2E654BF6"/>
    <w:rsid w:val="2E6703F1"/>
    <w:rsid w:val="2E6F5600"/>
    <w:rsid w:val="2E842777"/>
    <w:rsid w:val="2EA22A88"/>
    <w:rsid w:val="2EA508A8"/>
    <w:rsid w:val="2EA82DC5"/>
    <w:rsid w:val="2F2C4EEE"/>
    <w:rsid w:val="2F583B7F"/>
    <w:rsid w:val="2FDD5A67"/>
    <w:rsid w:val="2FE70007"/>
    <w:rsid w:val="30152714"/>
    <w:rsid w:val="306A290C"/>
    <w:rsid w:val="306B0D9E"/>
    <w:rsid w:val="30757489"/>
    <w:rsid w:val="307753A4"/>
    <w:rsid w:val="307C330D"/>
    <w:rsid w:val="308C0FF5"/>
    <w:rsid w:val="308F5716"/>
    <w:rsid w:val="30922B28"/>
    <w:rsid w:val="30A87085"/>
    <w:rsid w:val="30B63BC5"/>
    <w:rsid w:val="30E722F5"/>
    <w:rsid w:val="30EB1FDF"/>
    <w:rsid w:val="30FD259F"/>
    <w:rsid w:val="30FF1A1B"/>
    <w:rsid w:val="31070A87"/>
    <w:rsid w:val="310E3D62"/>
    <w:rsid w:val="313E1799"/>
    <w:rsid w:val="313F4CF1"/>
    <w:rsid w:val="31472626"/>
    <w:rsid w:val="31520986"/>
    <w:rsid w:val="31566DB1"/>
    <w:rsid w:val="31795B7C"/>
    <w:rsid w:val="319C037F"/>
    <w:rsid w:val="31A679EB"/>
    <w:rsid w:val="31AC0745"/>
    <w:rsid w:val="31B03D4D"/>
    <w:rsid w:val="31BC4EB3"/>
    <w:rsid w:val="31D452C6"/>
    <w:rsid w:val="31D77F86"/>
    <w:rsid w:val="31F518A0"/>
    <w:rsid w:val="32023F05"/>
    <w:rsid w:val="320B7201"/>
    <w:rsid w:val="320F30FF"/>
    <w:rsid w:val="324F01C0"/>
    <w:rsid w:val="325B11DD"/>
    <w:rsid w:val="325F4AF3"/>
    <w:rsid w:val="32637642"/>
    <w:rsid w:val="32807B9E"/>
    <w:rsid w:val="32865A66"/>
    <w:rsid w:val="32954666"/>
    <w:rsid w:val="33175CD2"/>
    <w:rsid w:val="331900EE"/>
    <w:rsid w:val="33750F3E"/>
    <w:rsid w:val="33780A1A"/>
    <w:rsid w:val="338F5B5C"/>
    <w:rsid w:val="33E63A55"/>
    <w:rsid w:val="340071A3"/>
    <w:rsid w:val="343628AC"/>
    <w:rsid w:val="34462481"/>
    <w:rsid w:val="345816A0"/>
    <w:rsid w:val="34586E2E"/>
    <w:rsid w:val="345A2D08"/>
    <w:rsid w:val="34773BF2"/>
    <w:rsid w:val="34864FF7"/>
    <w:rsid w:val="34945B7F"/>
    <w:rsid w:val="34A07451"/>
    <w:rsid w:val="34A456D5"/>
    <w:rsid w:val="34CC063E"/>
    <w:rsid w:val="34CD095D"/>
    <w:rsid w:val="34CF04F8"/>
    <w:rsid w:val="34ED0958"/>
    <w:rsid w:val="35032FA3"/>
    <w:rsid w:val="352C46EC"/>
    <w:rsid w:val="353C7098"/>
    <w:rsid w:val="35494036"/>
    <w:rsid w:val="355B5701"/>
    <w:rsid w:val="356F6658"/>
    <w:rsid w:val="358431E6"/>
    <w:rsid w:val="359C4768"/>
    <w:rsid w:val="35B22915"/>
    <w:rsid w:val="35C81CBC"/>
    <w:rsid w:val="35D5174D"/>
    <w:rsid w:val="35E52779"/>
    <w:rsid w:val="36193C8D"/>
    <w:rsid w:val="361F7E55"/>
    <w:rsid w:val="36322AE5"/>
    <w:rsid w:val="363510E1"/>
    <w:rsid w:val="363F6CED"/>
    <w:rsid w:val="366326C4"/>
    <w:rsid w:val="366F208E"/>
    <w:rsid w:val="366F588A"/>
    <w:rsid w:val="367A5CD3"/>
    <w:rsid w:val="367C21B3"/>
    <w:rsid w:val="368A619C"/>
    <w:rsid w:val="36BE100B"/>
    <w:rsid w:val="36E07E35"/>
    <w:rsid w:val="36E467D2"/>
    <w:rsid w:val="36F42240"/>
    <w:rsid w:val="372A0138"/>
    <w:rsid w:val="37431104"/>
    <w:rsid w:val="37434459"/>
    <w:rsid w:val="375D490D"/>
    <w:rsid w:val="37647C8A"/>
    <w:rsid w:val="37A249A3"/>
    <w:rsid w:val="38013C97"/>
    <w:rsid w:val="385F3146"/>
    <w:rsid w:val="387B5426"/>
    <w:rsid w:val="389E342F"/>
    <w:rsid w:val="38A5656B"/>
    <w:rsid w:val="38DA2E28"/>
    <w:rsid w:val="38E62CF4"/>
    <w:rsid w:val="39185700"/>
    <w:rsid w:val="392621F1"/>
    <w:rsid w:val="39393F87"/>
    <w:rsid w:val="393A15D2"/>
    <w:rsid w:val="393B1C49"/>
    <w:rsid w:val="39417B2E"/>
    <w:rsid w:val="39670D34"/>
    <w:rsid w:val="39685670"/>
    <w:rsid w:val="3988337B"/>
    <w:rsid w:val="399117AD"/>
    <w:rsid w:val="399242FD"/>
    <w:rsid w:val="39B8361C"/>
    <w:rsid w:val="39D125AF"/>
    <w:rsid w:val="39F37A80"/>
    <w:rsid w:val="3A186253"/>
    <w:rsid w:val="3A1A10E2"/>
    <w:rsid w:val="3A3E5802"/>
    <w:rsid w:val="3A56703E"/>
    <w:rsid w:val="3A5E7F3E"/>
    <w:rsid w:val="3A804E4C"/>
    <w:rsid w:val="3A956FF8"/>
    <w:rsid w:val="3AB31F1B"/>
    <w:rsid w:val="3AB40CE8"/>
    <w:rsid w:val="3AC22322"/>
    <w:rsid w:val="3AD00ED3"/>
    <w:rsid w:val="3AD43836"/>
    <w:rsid w:val="3B183BFA"/>
    <w:rsid w:val="3B2822CC"/>
    <w:rsid w:val="3B305562"/>
    <w:rsid w:val="3B5013F4"/>
    <w:rsid w:val="3B622409"/>
    <w:rsid w:val="3B943FBF"/>
    <w:rsid w:val="3B9A0E3F"/>
    <w:rsid w:val="3BA055C6"/>
    <w:rsid w:val="3BC545D7"/>
    <w:rsid w:val="3BE52F68"/>
    <w:rsid w:val="3BEC4C4F"/>
    <w:rsid w:val="3BF465BC"/>
    <w:rsid w:val="3BFE7D53"/>
    <w:rsid w:val="3C0B1989"/>
    <w:rsid w:val="3C0F7E44"/>
    <w:rsid w:val="3C486B67"/>
    <w:rsid w:val="3C545AE3"/>
    <w:rsid w:val="3C704DD7"/>
    <w:rsid w:val="3C727B84"/>
    <w:rsid w:val="3C894B61"/>
    <w:rsid w:val="3C8A6A69"/>
    <w:rsid w:val="3C9748D5"/>
    <w:rsid w:val="3CA154C8"/>
    <w:rsid w:val="3CF00E91"/>
    <w:rsid w:val="3CF22FCA"/>
    <w:rsid w:val="3CFC354E"/>
    <w:rsid w:val="3D01304E"/>
    <w:rsid w:val="3D021DB0"/>
    <w:rsid w:val="3D032027"/>
    <w:rsid w:val="3D0C06B4"/>
    <w:rsid w:val="3D2A78FE"/>
    <w:rsid w:val="3D3372EE"/>
    <w:rsid w:val="3D373A52"/>
    <w:rsid w:val="3D3A3491"/>
    <w:rsid w:val="3D4323AC"/>
    <w:rsid w:val="3D570F4D"/>
    <w:rsid w:val="3D751344"/>
    <w:rsid w:val="3D852CE4"/>
    <w:rsid w:val="3DB95A21"/>
    <w:rsid w:val="3DCA0864"/>
    <w:rsid w:val="3DFA297C"/>
    <w:rsid w:val="3E052E3D"/>
    <w:rsid w:val="3E297ECE"/>
    <w:rsid w:val="3E4325D3"/>
    <w:rsid w:val="3E5E027A"/>
    <w:rsid w:val="3E6611A8"/>
    <w:rsid w:val="3E717E34"/>
    <w:rsid w:val="3E733D11"/>
    <w:rsid w:val="3E7755A6"/>
    <w:rsid w:val="3E876B4B"/>
    <w:rsid w:val="3EAA4A01"/>
    <w:rsid w:val="3EC314F9"/>
    <w:rsid w:val="3ED148E4"/>
    <w:rsid w:val="3EE20DE4"/>
    <w:rsid w:val="3F073780"/>
    <w:rsid w:val="3F087C33"/>
    <w:rsid w:val="3F1D72F6"/>
    <w:rsid w:val="3F2D0CFE"/>
    <w:rsid w:val="3F32042D"/>
    <w:rsid w:val="3F342FB6"/>
    <w:rsid w:val="3F355804"/>
    <w:rsid w:val="3F367C92"/>
    <w:rsid w:val="3F447A3C"/>
    <w:rsid w:val="3F9A73A5"/>
    <w:rsid w:val="3FB0279C"/>
    <w:rsid w:val="3FB12669"/>
    <w:rsid w:val="3FBC5E34"/>
    <w:rsid w:val="3FCB6C9F"/>
    <w:rsid w:val="3FDC2155"/>
    <w:rsid w:val="3FE8035B"/>
    <w:rsid w:val="3FF8599E"/>
    <w:rsid w:val="3FFC3BF2"/>
    <w:rsid w:val="400E4BF7"/>
    <w:rsid w:val="40242C1E"/>
    <w:rsid w:val="403610EF"/>
    <w:rsid w:val="40457ADE"/>
    <w:rsid w:val="407E6B3E"/>
    <w:rsid w:val="409B0EFC"/>
    <w:rsid w:val="409E3497"/>
    <w:rsid w:val="40D80510"/>
    <w:rsid w:val="41056469"/>
    <w:rsid w:val="411F2E46"/>
    <w:rsid w:val="412C782A"/>
    <w:rsid w:val="41595E53"/>
    <w:rsid w:val="417929AF"/>
    <w:rsid w:val="41990130"/>
    <w:rsid w:val="419D0147"/>
    <w:rsid w:val="419E7F43"/>
    <w:rsid w:val="41A33A58"/>
    <w:rsid w:val="41BF2D75"/>
    <w:rsid w:val="41D50F25"/>
    <w:rsid w:val="41DC5C85"/>
    <w:rsid w:val="41FA05C7"/>
    <w:rsid w:val="42026E2B"/>
    <w:rsid w:val="422608BA"/>
    <w:rsid w:val="4233656D"/>
    <w:rsid w:val="424D48D5"/>
    <w:rsid w:val="42513AE4"/>
    <w:rsid w:val="42597A40"/>
    <w:rsid w:val="425B09F8"/>
    <w:rsid w:val="426717BF"/>
    <w:rsid w:val="42721502"/>
    <w:rsid w:val="428C075A"/>
    <w:rsid w:val="42940C3F"/>
    <w:rsid w:val="42BF0286"/>
    <w:rsid w:val="42D631F1"/>
    <w:rsid w:val="432329D7"/>
    <w:rsid w:val="43281515"/>
    <w:rsid w:val="43316304"/>
    <w:rsid w:val="43360778"/>
    <w:rsid w:val="43410E16"/>
    <w:rsid w:val="43426AEA"/>
    <w:rsid w:val="43502C04"/>
    <w:rsid w:val="435935F9"/>
    <w:rsid w:val="435A07F0"/>
    <w:rsid w:val="436A3FDD"/>
    <w:rsid w:val="43776313"/>
    <w:rsid w:val="43793B90"/>
    <w:rsid w:val="43A16618"/>
    <w:rsid w:val="43B47990"/>
    <w:rsid w:val="43BB767B"/>
    <w:rsid w:val="43C014E4"/>
    <w:rsid w:val="440D4234"/>
    <w:rsid w:val="442A7D79"/>
    <w:rsid w:val="44357D4D"/>
    <w:rsid w:val="443F5102"/>
    <w:rsid w:val="444A4FF2"/>
    <w:rsid w:val="444C73B7"/>
    <w:rsid w:val="448E3309"/>
    <w:rsid w:val="448E4DEC"/>
    <w:rsid w:val="44902E7E"/>
    <w:rsid w:val="449A1B0A"/>
    <w:rsid w:val="44BF782F"/>
    <w:rsid w:val="44C05674"/>
    <w:rsid w:val="44D40789"/>
    <w:rsid w:val="44E022BE"/>
    <w:rsid w:val="44E20FAD"/>
    <w:rsid w:val="45253385"/>
    <w:rsid w:val="45465FF3"/>
    <w:rsid w:val="455A6965"/>
    <w:rsid w:val="456502E2"/>
    <w:rsid w:val="45B16A96"/>
    <w:rsid w:val="45B52C14"/>
    <w:rsid w:val="45BB1115"/>
    <w:rsid w:val="45D12DED"/>
    <w:rsid w:val="45D639C5"/>
    <w:rsid w:val="45D64B8B"/>
    <w:rsid w:val="45DE5523"/>
    <w:rsid w:val="45E6097A"/>
    <w:rsid w:val="461671D6"/>
    <w:rsid w:val="462F05D4"/>
    <w:rsid w:val="4645313C"/>
    <w:rsid w:val="464D0599"/>
    <w:rsid w:val="46646A2F"/>
    <w:rsid w:val="4670145A"/>
    <w:rsid w:val="46701BA1"/>
    <w:rsid w:val="467A3618"/>
    <w:rsid w:val="467C5870"/>
    <w:rsid w:val="46853538"/>
    <w:rsid w:val="46897D42"/>
    <w:rsid w:val="468A0B4E"/>
    <w:rsid w:val="46B63068"/>
    <w:rsid w:val="46DB511D"/>
    <w:rsid w:val="46E00EB3"/>
    <w:rsid w:val="46FB7E03"/>
    <w:rsid w:val="46FF3309"/>
    <w:rsid w:val="47024C6C"/>
    <w:rsid w:val="472E549E"/>
    <w:rsid w:val="47451335"/>
    <w:rsid w:val="474653BD"/>
    <w:rsid w:val="4784282B"/>
    <w:rsid w:val="47BF6B5F"/>
    <w:rsid w:val="47CE5B6E"/>
    <w:rsid w:val="47DF1FDE"/>
    <w:rsid w:val="480E3BAD"/>
    <w:rsid w:val="481A3989"/>
    <w:rsid w:val="48210818"/>
    <w:rsid w:val="482F0B1A"/>
    <w:rsid w:val="48401E0D"/>
    <w:rsid w:val="484A52EB"/>
    <w:rsid w:val="48533D15"/>
    <w:rsid w:val="485706D2"/>
    <w:rsid w:val="4859672E"/>
    <w:rsid w:val="485A5BFA"/>
    <w:rsid w:val="485E53BD"/>
    <w:rsid w:val="4860450F"/>
    <w:rsid w:val="48700110"/>
    <w:rsid w:val="488506F0"/>
    <w:rsid w:val="48B77253"/>
    <w:rsid w:val="48BA7AED"/>
    <w:rsid w:val="48C2235F"/>
    <w:rsid w:val="48DD7373"/>
    <w:rsid w:val="48E14C28"/>
    <w:rsid w:val="48E97707"/>
    <w:rsid w:val="490723CD"/>
    <w:rsid w:val="49CB04B5"/>
    <w:rsid w:val="49E06025"/>
    <w:rsid w:val="49FE26D7"/>
    <w:rsid w:val="4A04223F"/>
    <w:rsid w:val="4A1734ED"/>
    <w:rsid w:val="4A245A22"/>
    <w:rsid w:val="4A302E79"/>
    <w:rsid w:val="4A6A3275"/>
    <w:rsid w:val="4A8C335D"/>
    <w:rsid w:val="4AAC3411"/>
    <w:rsid w:val="4AB1764C"/>
    <w:rsid w:val="4AB96834"/>
    <w:rsid w:val="4ABD1D3D"/>
    <w:rsid w:val="4B0A3937"/>
    <w:rsid w:val="4B272AFC"/>
    <w:rsid w:val="4B3C0998"/>
    <w:rsid w:val="4B464016"/>
    <w:rsid w:val="4B7506B7"/>
    <w:rsid w:val="4B780DB5"/>
    <w:rsid w:val="4BC52BF5"/>
    <w:rsid w:val="4BE331FC"/>
    <w:rsid w:val="4BEC0BBB"/>
    <w:rsid w:val="4BEF60FB"/>
    <w:rsid w:val="4C007878"/>
    <w:rsid w:val="4C257843"/>
    <w:rsid w:val="4C455C43"/>
    <w:rsid w:val="4C4774DE"/>
    <w:rsid w:val="4C632C23"/>
    <w:rsid w:val="4C6E7DEC"/>
    <w:rsid w:val="4C766BE1"/>
    <w:rsid w:val="4C8D1CE3"/>
    <w:rsid w:val="4C8E4342"/>
    <w:rsid w:val="4C9E5AA1"/>
    <w:rsid w:val="4CA45134"/>
    <w:rsid w:val="4CB415B0"/>
    <w:rsid w:val="4CB8291E"/>
    <w:rsid w:val="4CCD4879"/>
    <w:rsid w:val="4CD91706"/>
    <w:rsid w:val="4CF6021A"/>
    <w:rsid w:val="4CFA69F4"/>
    <w:rsid w:val="4D062999"/>
    <w:rsid w:val="4D130F05"/>
    <w:rsid w:val="4D1D1CC5"/>
    <w:rsid w:val="4D2C2A8C"/>
    <w:rsid w:val="4D3123F7"/>
    <w:rsid w:val="4D447A09"/>
    <w:rsid w:val="4D5A15FB"/>
    <w:rsid w:val="4D5C0E4B"/>
    <w:rsid w:val="4D5F63E1"/>
    <w:rsid w:val="4DB5214A"/>
    <w:rsid w:val="4DB7631F"/>
    <w:rsid w:val="4DC902C0"/>
    <w:rsid w:val="4DD677F1"/>
    <w:rsid w:val="4DEA33FE"/>
    <w:rsid w:val="4E016700"/>
    <w:rsid w:val="4E022932"/>
    <w:rsid w:val="4E185BEB"/>
    <w:rsid w:val="4E205F85"/>
    <w:rsid w:val="4E225622"/>
    <w:rsid w:val="4E372625"/>
    <w:rsid w:val="4E516148"/>
    <w:rsid w:val="4E5504D5"/>
    <w:rsid w:val="4E6246E4"/>
    <w:rsid w:val="4E664FEF"/>
    <w:rsid w:val="4E6C7588"/>
    <w:rsid w:val="4E8E65C1"/>
    <w:rsid w:val="4E947A5F"/>
    <w:rsid w:val="4EBA66B5"/>
    <w:rsid w:val="4EC74768"/>
    <w:rsid w:val="4EEF0BA4"/>
    <w:rsid w:val="4F0A3C43"/>
    <w:rsid w:val="4F1F6E5C"/>
    <w:rsid w:val="4F2E5E48"/>
    <w:rsid w:val="4F302F79"/>
    <w:rsid w:val="4F31425D"/>
    <w:rsid w:val="4F3555EC"/>
    <w:rsid w:val="4F5B7E05"/>
    <w:rsid w:val="4F5C0944"/>
    <w:rsid w:val="4F7A5B35"/>
    <w:rsid w:val="4F997907"/>
    <w:rsid w:val="4F9C11DA"/>
    <w:rsid w:val="4FB56C3C"/>
    <w:rsid w:val="4FBE24D4"/>
    <w:rsid w:val="4FD811D6"/>
    <w:rsid w:val="4FE50529"/>
    <w:rsid w:val="4FF75321"/>
    <w:rsid w:val="500C40DE"/>
    <w:rsid w:val="50187712"/>
    <w:rsid w:val="501E3C91"/>
    <w:rsid w:val="502A587C"/>
    <w:rsid w:val="502F6EC7"/>
    <w:rsid w:val="503E607D"/>
    <w:rsid w:val="50454464"/>
    <w:rsid w:val="504A44DB"/>
    <w:rsid w:val="505E5526"/>
    <w:rsid w:val="50601964"/>
    <w:rsid w:val="50601CB7"/>
    <w:rsid w:val="50692F35"/>
    <w:rsid w:val="507F0456"/>
    <w:rsid w:val="50844F1D"/>
    <w:rsid w:val="508C5825"/>
    <w:rsid w:val="509C6FA3"/>
    <w:rsid w:val="50A32975"/>
    <w:rsid w:val="50A949C1"/>
    <w:rsid w:val="50CB5851"/>
    <w:rsid w:val="50D176D2"/>
    <w:rsid w:val="50DD4D25"/>
    <w:rsid w:val="50F440B3"/>
    <w:rsid w:val="510541E4"/>
    <w:rsid w:val="511D538A"/>
    <w:rsid w:val="51212C01"/>
    <w:rsid w:val="516D10FA"/>
    <w:rsid w:val="51891E31"/>
    <w:rsid w:val="518C1CC6"/>
    <w:rsid w:val="519A694D"/>
    <w:rsid w:val="51BF4B8A"/>
    <w:rsid w:val="51D06BAC"/>
    <w:rsid w:val="51D73484"/>
    <w:rsid w:val="521E7500"/>
    <w:rsid w:val="52204E08"/>
    <w:rsid w:val="523700BA"/>
    <w:rsid w:val="525A79B9"/>
    <w:rsid w:val="5279200A"/>
    <w:rsid w:val="52877D0C"/>
    <w:rsid w:val="52AA2E5B"/>
    <w:rsid w:val="52C11B36"/>
    <w:rsid w:val="52C2352A"/>
    <w:rsid w:val="52CB1D9E"/>
    <w:rsid w:val="52E706B9"/>
    <w:rsid w:val="52FA020B"/>
    <w:rsid w:val="53110444"/>
    <w:rsid w:val="53180A1C"/>
    <w:rsid w:val="53453F8B"/>
    <w:rsid w:val="536A5F90"/>
    <w:rsid w:val="538F4963"/>
    <w:rsid w:val="53901E9A"/>
    <w:rsid w:val="53AF1641"/>
    <w:rsid w:val="53B10EFF"/>
    <w:rsid w:val="53C42ACC"/>
    <w:rsid w:val="53EE0B9B"/>
    <w:rsid w:val="53F22BE1"/>
    <w:rsid w:val="53F64DDE"/>
    <w:rsid w:val="54033C8E"/>
    <w:rsid w:val="540F1211"/>
    <w:rsid w:val="54162CDC"/>
    <w:rsid w:val="542B759B"/>
    <w:rsid w:val="542C531C"/>
    <w:rsid w:val="54326140"/>
    <w:rsid w:val="544339BE"/>
    <w:rsid w:val="54772A41"/>
    <w:rsid w:val="54805F31"/>
    <w:rsid w:val="54876109"/>
    <w:rsid w:val="54B83F90"/>
    <w:rsid w:val="54C73D4E"/>
    <w:rsid w:val="54CF51E7"/>
    <w:rsid w:val="54E93423"/>
    <w:rsid w:val="54FE6850"/>
    <w:rsid w:val="553C3F90"/>
    <w:rsid w:val="554E44D2"/>
    <w:rsid w:val="555407D9"/>
    <w:rsid w:val="5561436A"/>
    <w:rsid w:val="5572737D"/>
    <w:rsid w:val="55C04E11"/>
    <w:rsid w:val="55CC380C"/>
    <w:rsid w:val="55DD65FC"/>
    <w:rsid w:val="55E010D4"/>
    <w:rsid w:val="55FF0FDF"/>
    <w:rsid w:val="56034BF9"/>
    <w:rsid w:val="56095BC3"/>
    <w:rsid w:val="562408B0"/>
    <w:rsid w:val="56262D5D"/>
    <w:rsid w:val="562862B5"/>
    <w:rsid w:val="562F45FB"/>
    <w:rsid w:val="56382985"/>
    <w:rsid w:val="56654034"/>
    <w:rsid w:val="56786AAF"/>
    <w:rsid w:val="56BE542F"/>
    <w:rsid w:val="56C84414"/>
    <w:rsid w:val="56D23E62"/>
    <w:rsid w:val="56F05944"/>
    <w:rsid w:val="57167097"/>
    <w:rsid w:val="57327666"/>
    <w:rsid w:val="5736520C"/>
    <w:rsid w:val="573967B5"/>
    <w:rsid w:val="57683DF4"/>
    <w:rsid w:val="57711F6F"/>
    <w:rsid w:val="57726F50"/>
    <w:rsid w:val="577C193E"/>
    <w:rsid w:val="57966C74"/>
    <w:rsid w:val="579771E9"/>
    <w:rsid w:val="579B49DC"/>
    <w:rsid w:val="57BB07E8"/>
    <w:rsid w:val="57C935EE"/>
    <w:rsid w:val="57CE22D7"/>
    <w:rsid w:val="57D53B36"/>
    <w:rsid w:val="57FA30DD"/>
    <w:rsid w:val="580A1290"/>
    <w:rsid w:val="58120ABA"/>
    <w:rsid w:val="584B3554"/>
    <w:rsid w:val="584D3AD4"/>
    <w:rsid w:val="588E4C0B"/>
    <w:rsid w:val="58947CEE"/>
    <w:rsid w:val="58AF64DC"/>
    <w:rsid w:val="58B94155"/>
    <w:rsid w:val="59110EAB"/>
    <w:rsid w:val="59442B2D"/>
    <w:rsid w:val="59503271"/>
    <w:rsid w:val="595917B8"/>
    <w:rsid w:val="597B22D0"/>
    <w:rsid w:val="59B83784"/>
    <w:rsid w:val="59E170EA"/>
    <w:rsid w:val="59F532E8"/>
    <w:rsid w:val="59FC4775"/>
    <w:rsid w:val="5A0C548D"/>
    <w:rsid w:val="5A15426C"/>
    <w:rsid w:val="5A5654C0"/>
    <w:rsid w:val="5A6A3685"/>
    <w:rsid w:val="5A902780"/>
    <w:rsid w:val="5AAF08EB"/>
    <w:rsid w:val="5ADC754F"/>
    <w:rsid w:val="5B095EF4"/>
    <w:rsid w:val="5B0E039B"/>
    <w:rsid w:val="5B11266A"/>
    <w:rsid w:val="5B3B66D5"/>
    <w:rsid w:val="5B55572A"/>
    <w:rsid w:val="5B5C6B06"/>
    <w:rsid w:val="5B5E160C"/>
    <w:rsid w:val="5B6873FF"/>
    <w:rsid w:val="5B9C30CD"/>
    <w:rsid w:val="5BA60A21"/>
    <w:rsid w:val="5BA7619C"/>
    <w:rsid w:val="5BD76646"/>
    <w:rsid w:val="5BF02087"/>
    <w:rsid w:val="5BF95BCF"/>
    <w:rsid w:val="5C1440AF"/>
    <w:rsid w:val="5C1A6133"/>
    <w:rsid w:val="5C375C0D"/>
    <w:rsid w:val="5C4C690E"/>
    <w:rsid w:val="5C566FBE"/>
    <w:rsid w:val="5C671DA5"/>
    <w:rsid w:val="5C6E7908"/>
    <w:rsid w:val="5C6F51D6"/>
    <w:rsid w:val="5C7C1C48"/>
    <w:rsid w:val="5C946D1F"/>
    <w:rsid w:val="5CB44DD0"/>
    <w:rsid w:val="5CBA2AC1"/>
    <w:rsid w:val="5CE173E2"/>
    <w:rsid w:val="5CE22608"/>
    <w:rsid w:val="5D0A471E"/>
    <w:rsid w:val="5D0F428F"/>
    <w:rsid w:val="5D1B41E6"/>
    <w:rsid w:val="5D284EF1"/>
    <w:rsid w:val="5D316B24"/>
    <w:rsid w:val="5D3856BD"/>
    <w:rsid w:val="5D4D6706"/>
    <w:rsid w:val="5D506F37"/>
    <w:rsid w:val="5D5A66A9"/>
    <w:rsid w:val="5D9E315E"/>
    <w:rsid w:val="5DD42ED7"/>
    <w:rsid w:val="5DD519C7"/>
    <w:rsid w:val="5DDD3738"/>
    <w:rsid w:val="5DE65E89"/>
    <w:rsid w:val="5DEB4C7D"/>
    <w:rsid w:val="5DEC57D0"/>
    <w:rsid w:val="5DF002D3"/>
    <w:rsid w:val="5DFF5D9B"/>
    <w:rsid w:val="5E4C79CF"/>
    <w:rsid w:val="5E6C312F"/>
    <w:rsid w:val="5E6D5E2A"/>
    <w:rsid w:val="5E835B04"/>
    <w:rsid w:val="5EB66C88"/>
    <w:rsid w:val="5EDF68BF"/>
    <w:rsid w:val="5F2B3E04"/>
    <w:rsid w:val="5F5A6BEC"/>
    <w:rsid w:val="5F766867"/>
    <w:rsid w:val="5F7E65FC"/>
    <w:rsid w:val="5F91293F"/>
    <w:rsid w:val="5FB75D25"/>
    <w:rsid w:val="5FC56EB7"/>
    <w:rsid w:val="5FD2438B"/>
    <w:rsid w:val="5FD565CC"/>
    <w:rsid w:val="5FD94F77"/>
    <w:rsid w:val="60230DB7"/>
    <w:rsid w:val="60274812"/>
    <w:rsid w:val="602C3436"/>
    <w:rsid w:val="605418A6"/>
    <w:rsid w:val="6085726A"/>
    <w:rsid w:val="60945816"/>
    <w:rsid w:val="60976540"/>
    <w:rsid w:val="60A550F1"/>
    <w:rsid w:val="60A7370A"/>
    <w:rsid w:val="60B13546"/>
    <w:rsid w:val="60C82547"/>
    <w:rsid w:val="60DA1684"/>
    <w:rsid w:val="60E01D13"/>
    <w:rsid w:val="60EF0AA9"/>
    <w:rsid w:val="61174828"/>
    <w:rsid w:val="61197628"/>
    <w:rsid w:val="611D7BA3"/>
    <w:rsid w:val="61272163"/>
    <w:rsid w:val="61391AF7"/>
    <w:rsid w:val="614129B2"/>
    <w:rsid w:val="61615F7A"/>
    <w:rsid w:val="61683CC7"/>
    <w:rsid w:val="616D7633"/>
    <w:rsid w:val="618527EB"/>
    <w:rsid w:val="619B7EA7"/>
    <w:rsid w:val="61A637A4"/>
    <w:rsid w:val="61EA1918"/>
    <w:rsid w:val="61F8706C"/>
    <w:rsid w:val="622104E9"/>
    <w:rsid w:val="62673F64"/>
    <w:rsid w:val="626B4779"/>
    <w:rsid w:val="628F5C74"/>
    <w:rsid w:val="62B33E1A"/>
    <w:rsid w:val="62BD6B95"/>
    <w:rsid w:val="62C629FA"/>
    <w:rsid w:val="62E47A37"/>
    <w:rsid w:val="62E62CA1"/>
    <w:rsid w:val="631B7591"/>
    <w:rsid w:val="633176B2"/>
    <w:rsid w:val="63360237"/>
    <w:rsid w:val="6340141B"/>
    <w:rsid w:val="634B149D"/>
    <w:rsid w:val="635269C6"/>
    <w:rsid w:val="636F404A"/>
    <w:rsid w:val="637A0F67"/>
    <w:rsid w:val="637A3FCD"/>
    <w:rsid w:val="637B3B2D"/>
    <w:rsid w:val="637B71B0"/>
    <w:rsid w:val="63815F14"/>
    <w:rsid w:val="638258A8"/>
    <w:rsid w:val="639E7210"/>
    <w:rsid w:val="63BE5172"/>
    <w:rsid w:val="63D52A24"/>
    <w:rsid w:val="63D81CD3"/>
    <w:rsid w:val="642F684B"/>
    <w:rsid w:val="643851F8"/>
    <w:rsid w:val="644E360C"/>
    <w:rsid w:val="64531898"/>
    <w:rsid w:val="6464454E"/>
    <w:rsid w:val="6488118D"/>
    <w:rsid w:val="64896D64"/>
    <w:rsid w:val="64A90E75"/>
    <w:rsid w:val="64B17EC2"/>
    <w:rsid w:val="64B27B27"/>
    <w:rsid w:val="64BC5967"/>
    <w:rsid w:val="64C52205"/>
    <w:rsid w:val="64C94E2C"/>
    <w:rsid w:val="64CB151F"/>
    <w:rsid w:val="64CE1644"/>
    <w:rsid w:val="64D5192A"/>
    <w:rsid w:val="64E631EE"/>
    <w:rsid w:val="64EA40C9"/>
    <w:rsid w:val="650173B8"/>
    <w:rsid w:val="651B17E0"/>
    <w:rsid w:val="65746F8E"/>
    <w:rsid w:val="657607C4"/>
    <w:rsid w:val="659543A1"/>
    <w:rsid w:val="65A7433F"/>
    <w:rsid w:val="65BE5CBA"/>
    <w:rsid w:val="65C31F8C"/>
    <w:rsid w:val="65F40D85"/>
    <w:rsid w:val="65FA56AB"/>
    <w:rsid w:val="660E39B6"/>
    <w:rsid w:val="6689582A"/>
    <w:rsid w:val="66A24AE1"/>
    <w:rsid w:val="66AE5A40"/>
    <w:rsid w:val="66D11AE0"/>
    <w:rsid w:val="66E71979"/>
    <w:rsid w:val="66EF78D0"/>
    <w:rsid w:val="67267860"/>
    <w:rsid w:val="673F4FEB"/>
    <w:rsid w:val="67490479"/>
    <w:rsid w:val="67541089"/>
    <w:rsid w:val="675C2D3B"/>
    <w:rsid w:val="679D79C6"/>
    <w:rsid w:val="67D225ED"/>
    <w:rsid w:val="67EE6DFC"/>
    <w:rsid w:val="682063F4"/>
    <w:rsid w:val="68333C14"/>
    <w:rsid w:val="68476448"/>
    <w:rsid w:val="684C2329"/>
    <w:rsid w:val="6858773F"/>
    <w:rsid w:val="686D7A2B"/>
    <w:rsid w:val="687F4A4A"/>
    <w:rsid w:val="688B69EA"/>
    <w:rsid w:val="68B00491"/>
    <w:rsid w:val="68B41D2F"/>
    <w:rsid w:val="691B590A"/>
    <w:rsid w:val="69217422"/>
    <w:rsid w:val="692A1391"/>
    <w:rsid w:val="692E55C1"/>
    <w:rsid w:val="69361846"/>
    <w:rsid w:val="694220F7"/>
    <w:rsid w:val="69436B19"/>
    <w:rsid w:val="694877C2"/>
    <w:rsid w:val="694A016C"/>
    <w:rsid w:val="694A6EB5"/>
    <w:rsid w:val="69580091"/>
    <w:rsid w:val="69586FD5"/>
    <w:rsid w:val="69947AD4"/>
    <w:rsid w:val="69B940FF"/>
    <w:rsid w:val="69C33F31"/>
    <w:rsid w:val="69FF38D2"/>
    <w:rsid w:val="6A0353A3"/>
    <w:rsid w:val="6A380393"/>
    <w:rsid w:val="6A3B727C"/>
    <w:rsid w:val="6A4140F8"/>
    <w:rsid w:val="6A4533D4"/>
    <w:rsid w:val="6A5052F7"/>
    <w:rsid w:val="6A564E8E"/>
    <w:rsid w:val="6A6923D4"/>
    <w:rsid w:val="6A8E035E"/>
    <w:rsid w:val="6A9028D6"/>
    <w:rsid w:val="6AA46CD4"/>
    <w:rsid w:val="6AAB220A"/>
    <w:rsid w:val="6AC454B0"/>
    <w:rsid w:val="6AD06AFF"/>
    <w:rsid w:val="6ADF7438"/>
    <w:rsid w:val="6AF8304D"/>
    <w:rsid w:val="6B207DC2"/>
    <w:rsid w:val="6B2A4286"/>
    <w:rsid w:val="6B3059C9"/>
    <w:rsid w:val="6B3A249E"/>
    <w:rsid w:val="6B6C7BE1"/>
    <w:rsid w:val="6B75742C"/>
    <w:rsid w:val="6B761F62"/>
    <w:rsid w:val="6B873380"/>
    <w:rsid w:val="6BA449DA"/>
    <w:rsid w:val="6BAD4A8E"/>
    <w:rsid w:val="6BD30581"/>
    <w:rsid w:val="6BD73784"/>
    <w:rsid w:val="6BEC39E0"/>
    <w:rsid w:val="6C0104AD"/>
    <w:rsid w:val="6C027255"/>
    <w:rsid w:val="6C0924C8"/>
    <w:rsid w:val="6C476C5F"/>
    <w:rsid w:val="6C62680F"/>
    <w:rsid w:val="6C655C2B"/>
    <w:rsid w:val="6C7274ED"/>
    <w:rsid w:val="6C880067"/>
    <w:rsid w:val="6CB21810"/>
    <w:rsid w:val="6CC51C63"/>
    <w:rsid w:val="6D17050A"/>
    <w:rsid w:val="6D806078"/>
    <w:rsid w:val="6D923390"/>
    <w:rsid w:val="6DC80828"/>
    <w:rsid w:val="6DD34B5E"/>
    <w:rsid w:val="6DF53601"/>
    <w:rsid w:val="6E160805"/>
    <w:rsid w:val="6E1719C5"/>
    <w:rsid w:val="6E1D27E4"/>
    <w:rsid w:val="6E736953"/>
    <w:rsid w:val="6E756A50"/>
    <w:rsid w:val="6E89603B"/>
    <w:rsid w:val="6EA83778"/>
    <w:rsid w:val="6EAE6153"/>
    <w:rsid w:val="6EAF635D"/>
    <w:rsid w:val="6EBC3111"/>
    <w:rsid w:val="6ED62F98"/>
    <w:rsid w:val="6ED87E72"/>
    <w:rsid w:val="6EEB39A3"/>
    <w:rsid w:val="6EF1395B"/>
    <w:rsid w:val="6F026A6D"/>
    <w:rsid w:val="6F1E2926"/>
    <w:rsid w:val="6F1F462F"/>
    <w:rsid w:val="6F2A26C0"/>
    <w:rsid w:val="6F2B1217"/>
    <w:rsid w:val="6F5405F3"/>
    <w:rsid w:val="6F67199B"/>
    <w:rsid w:val="6F6C5A54"/>
    <w:rsid w:val="6F6F1CDB"/>
    <w:rsid w:val="6F7931CA"/>
    <w:rsid w:val="6F7B0D27"/>
    <w:rsid w:val="6F830469"/>
    <w:rsid w:val="6FB31957"/>
    <w:rsid w:val="6FB62D05"/>
    <w:rsid w:val="6FC679A5"/>
    <w:rsid w:val="6FDD6E0A"/>
    <w:rsid w:val="6FF16FD2"/>
    <w:rsid w:val="70264895"/>
    <w:rsid w:val="705250FF"/>
    <w:rsid w:val="705821AE"/>
    <w:rsid w:val="705C58C2"/>
    <w:rsid w:val="70636E79"/>
    <w:rsid w:val="706551F1"/>
    <w:rsid w:val="70966F98"/>
    <w:rsid w:val="70A61325"/>
    <w:rsid w:val="70A71A7C"/>
    <w:rsid w:val="70CB2605"/>
    <w:rsid w:val="70DD78D4"/>
    <w:rsid w:val="70DE78F6"/>
    <w:rsid w:val="70F02E64"/>
    <w:rsid w:val="70FC2CF3"/>
    <w:rsid w:val="70FD7BBD"/>
    <w:rsid w:val="71077AAA"/>
    <w:rsid w:val="711A48EC"/>
    <w:rsid w:val="714F371C"/>
    <w:rsid w:val="715434EB"/>
    <w:rsid w:val="71550BD1"/>
    <w:rsid w:val="719C3BFC"/>
    <w:rsid w:val="719D68B5"/>
    <w:rsid w:val="719E1CC4"/>
    <w:rsid w:val="71D17AF0"/>
    <w:rsid w:val="71D50A36"/>
    <w:rsid w:val="71E9023A"/>
    <w:rsid w:val="721528CF"/>
    <w:rsid w:val="72197BF2"/>
    <w:rsid w:val="72406B13"/>
    <w:rsid w:val="72652F8E"/>
    <w:rsid w:val="7279311D"/>
    <w:rsid w:val="727D609F"/>
    <w:rsid w:val="728422CC"/>
    <w:rsid w:val="72AD5040"/>
    <w:rsid w:val="72C65A99"/>
    <w:rsid w:val="72E41463"/>
    <w:rsid w:val="7308688D"/>
    <w:rsid w:val="731C1532"/>
    <w:rsid w:val="733A77A9"/>
    <w:rsid w:val="738F2F5B"/>
    <w:rsid w:val="739A3915"/>
    <w:rsid w:val="73A17491"/>
    <w:rsid w:val="73D02403"/>
    <w:rsid w:val="73EF1131"/>
    <w:rsid w:val="74081181"/>
    <w:rsid w:val="740E089B"/>
    <w:rsid w:val="74182FCB"/>
    <w:rsid w:val="741D0093"/>
    <w:rsid w:val="742D5E82"/>
    <w:rsid w:val="74325C46"/>
    <w:rsid w:val="74367B0D"/>
    <w:rsid w:val="7445677F"/>
    <w:rsid w:val="744A0DD2"/>
    <w:rsid w:val="745D20BC"/>
    <w:rsid w:val="7477361A"/>
    <w:rsid w:val="748955AB"/>
    <w:rsid w:val="74906FD8"/>
    <w:rsid w:val="74AB4236"/>
    <w:rsid w:val="74C53898"/>
    <w:rsid w:val="74F37B00"/>
    <w:rsid w:val="74FE36A9"/>
    <w:rsid w:val="75167399"/>
    <w:rsid w:val="7531253F"/>
    <w:rsid w:val="75423F7C"/>
    <w:rsid w:val="75432FAA"/>
    <w:rsid w:val="754D324A"/>
    <w:rsid w:val="75633692"/>
    <w:rsid w:val="7567176D"/>
    <w:rsid w:val="75783621"/>
    <w:rsid w:val="758522C1"/>
    <w:rsid w:val="75891C0A"/>
    <w:rsid w:val="758E77FF"/>
    <w:rsid w:val="759652DE"/>
    <w:rsid w:val="7597644F"/>
    <w:rsid w:val="75AB4618"/>
    <w:rsid w:val="75C61618"/>
    <w:rsid w:val="75DC28C5"/>
    <w:rsid w:val="75F0092C"/>
    <w:rsid w:val="75F14B1E"/>
    <w:rsid w:val="761F3589"/>
    <w:rsid w:val="76385C7A"/>
    <w:rsid w:val="76900054"/>
    <w:rsid w:val="76A55F2D"/>
    <w:rsid w:val="76A944F7"/>
    <w:rsid w:val="76D348F8"/>
    <w:rsid w:val="76D9186E"/>
    <w:rsid w:val="76EE305C"/>
    <w:rsid w:val="76F040FD"/>
    <w:rsid w:val="77135C28"/>
    <w:rsid w:val="772F2CBC"/>
    <w:rsid w:val="7746095F"/>
    <w:rsid w:val="77547606"/>
    <w:rsid w:val="776E3D57"/>
    <w:rsid w:val="779C05C6"/>
    <w:rsid w:val="77A66FEF"/>
    <w:rsid w:val="77AD17F8"/>
    <w:rsid w:val="77D973B5"/>
    <w:rsid w:val="77DB6466"/>
    <w:rsid w:val="77EC5440"/>
    <w:rsid w:val="77F8401C"/>
    <w:rsid w:val="78105461"/>
    <w:rsid w:val="78142461"/>
    <w:rsid w:val="7815128E"/>
    <w:rsid w:val="782E7F5E"/>
    <w:rsid w:val="7858337E"/>
    <w:rsid w:val="786C568C"/>
    <w:rsid w:val="78705AB3"/>
    <w:rsid w:val="788D5C13"/>
    <w:rsid w:val="78AC7E6D"/>
    <w:rsid w:val="78AF0452"/>
    <w:rsid w:val="78F17A35"/>
    <w:rsid w:val="7906219D"/>
    <w:rsid w:val="7909498E"/>
    <w:rsid w:val="799123B3"/>
    <w:rsid w:val="799264E3"/>
    <w:rsid w:val="79A53A99"/>
    <w:rsid w:val="79C21932"/>
    <w:rsid w:val="79DE4837"/>
    <w:rsid w:val="79FF67F7"/>
    <w:rsid w:val="7A0A41AE"/>
    <w:rsid w:val="7A320374"/>
    <w:rsid w:val="7A35598B"/>
    <w:rsid w:val="7A4C1F6F"/>
    <w:rsid w:val="7A6F4CD3"/>
    <w:rsid w:val="7A901C87"/>
    <w:rsid w:val="7AA718CF"/>
    <w:rsid w:val="7AB93BC7"/>
    <w:rsid w:val="7AC728AE"/>
    <w:rsid w:val="7ACC1F20"/>
    <w:rsid w:val="7AD05D04"/>
    <w:rsid w:val="7AD517DA"/>
    <w:rsid w:val="7AD90BF5"/>
    <w:rsid w:val="7ADC5836"/>
    <w:rsid w:val="7ADD6E9E"/>
    <w:rsid w:val="7B150FC2"/>
    <w:rsid w:val="7B370FE9"/>
    <w:rsid w:val="7B5F59A0"/>
    <w:rsid w:val="7B85670A"/>
    <w:rsid w:val="7BA07EF1"/>
    <w:rsid w:val="7BA23B83"/>
    <w:rsid w:val="7BCB5462"/>
    <w:rsid w:val="7BEF1A41"/>
    <w:rsid w:val="7C0145CB"/>
    <w:rsid w:val="7C0B7DB2"/>
    <w:rsid w:val="7C1B61CB"/>
    <w:rsid w:val="7C2E06BF"/>
    <w:rsid w:val="7C38035E"/>
    <w:rsid w:val="7C3945CD"/>
    <w:rsid w:val="7C451CFE"/>
    <w:rsid w:val="7C4D5045"/>
    <w:rsid w:val="7C6F5B94"/>
    <w:rsid w:val="7C8F67B8"/>
    <w:rsid w:val="7C9E590D"/>
    <w:rsid w:val="7CB57CD2"/>
    <w:rsid w:val="7CE47FFC"/>
    <w:rsid w:val="7D0E04CD"/>
    <w:rsid w:val="7D19642F"/>
    <w:rsid w:val="7D4C279B"/>
    <w:rsid w:val="7D532078"/>
    <w:rsid w:val="7D9975BB"/>
    <w:rsid w:val="7DB73333"/>
    <w:rsid w:val="7DB862BA"/>
    <w:rsid w:val="7DD322DB"/>
    <w:rsid w:val="7DF61C76"/>
    <w:rsid w:val="7DFD382C"/>
    <w:rsid w:val="7DFE066D"/>
    <w:rsid w:val="7E0B6FEC"/>
    <w:rsid w:val="7E0E0427"/>
    <w:rsid w:val="7E200482"/>
    <w:rsid w:val="7E205D0D"/>
    <w:rsid w:val="7E347021"/>
    <w:rsid w:val="7E3F4588"/>
    <w:rsid w:val="7E4A61DB"/>
    <w:rsid w:val="7E4F16DF"/>
    <w:rsid w:val="7E5001CF"/>
    <w:rsid w:val="7E9975A5"/>
    <w:rsid w:val="7EB9700E"/>
    <w:rsid w:val="7EDE5E10"/>
    <w:rsid w:val="7F187B45"/>
    <w:rsid w:val="7F1F4BEA"/>
    <w:rsid w:val="7F3B433E"/>
    <w:rsid w:val="7F3C676F"/>
    <w:rsid w:val="7F49660A"/>
    <w:rsid w:val="7F4D37E4"/>
    <w:rsid w:val="7F5C4E33"/>
    <w:rsid w:val="7F6D6326"/>
    <w:rsid w:val="7F7A10A4"/>
    <w:rsid w:val="7F893FE5"/>
    <w:rsid w:val="7F922307"/>
    <w:rsid w:val="7FA466F2"/>
    <w:rsid w:val="7FC7097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link w:val="66"/>
    <w:qFormat/>
    <w:uiPriority w:val="0"/>
    <w:pPr>
      <w:keepNext/>
      <w:keepLines/>
      <w:spacing w:line="360" w:lineRule="auto"/>
      <w:outlineLvl w:val="0"/>
    </w:pPr>
    <w:rPr>
      <w:b/>
      <w:bCs/>
      <w:kern w:val="44"/>
      <w:sz w:val="32"/>
      <w:szCs w:val="44"/>
    </w:rPr>
  </w:style>
  <w:style w:type="paragraph" w:styleId="3">
    <w:name w:val="heading 2"/>
    <w:basedOn w:val="1"/>
    <w:next w:val="1"/>
    <w:link w:val="64"/>
    <w:qFormat/>
    <w:uiPriority w:val="0"/>
    <w:pPr>
      <w:keepNext/>
      <w:keepLines/>
      <w:spacing w:line="416" w:lineRule="auto"/>
      <w:jc w:val="left"/>
      <w:outlineLvl w:val="1"/>
    </w:pPr>
    <w:rPr>
      <w:b/>
      <w:bCs/>
      <w:sz w:val="24"/>
    </w:rPr>
  </w:style>
  <w:style w:type="paragraph" w:styleId="4">
    <w:name w:val="heading 3"/>
    <w:basedOn w:val="1"/>
    <w:next w:val="1"/>
    <w:link w:val="67"/>
    <w:qFormat/>
    <w:uiPriority w:val="0"/>
    <w:pPr>
      <w:keepNext/>
      <w:keepLines/>
      <w:spacing w:line="360" w:lineRule="auto"/>
      <w:outlineLvl w:val="2"/>
    </w:pPr>
    <w:rPr>
      <w:rFonts w:cs="Times New Roman"/>
      <w:b/>
      <w:bCs/>
    </w:rPr>
  </w:style>
  <w:style w:type="paragraph" w:styleId="5">
    <w:name w:val="heading 4"/>
    <w:basedOn w:val="1"/>
    <w:next w:val="1"/>
    <w:link w:val="70"/>
    <w:qFormat/>
    <w:uiPriority w:val="0"/>
    <w:pPr>
      <w:keepNext/>
      <w:keepLines/>
      <w:spacing w:before="280" w:after="290" w:line="376" w:lineRule="auto"/>
      <w:outlineLvl w:val="3"/>
    </w:pPr>
    <w:rPr>
      <w:rFonts w:ascii="Cambria" w:hAnsi="Cambria" w:cs="Times New Roman"/>
      <w:b/>
      <w:bCs/>
      <w:sz w:val="28"/>
      <w:szCs w:val="28"/>
    </w:rPr>
  </w:style>
  <w:style w:type="paragraph" w:styleId="6">
    <w:name w:val="heading 5"/>
    <w:basedOn w:val="1"/>
    <w:next w:val="1"/>
    <w:link w:val="71"/>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5"/>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7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73"/>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74"/>
    <w:qFormat/>
    <w:uiPriority w:val="0"/>
    <w:pPr>
      <w:keepNext/>
      <w:keepLines/>
      <w:spacing w:before="240" w:after="64" w:line="317" w:lineRule="auto"/>
      <w:outlineLvl w:val="8"/>
    </w:pPr>
    <w:rPr>
      <w:rFonts w:ascii="Cambria" w:hAnsi="Cambria"/>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99"/>
    <w:pPr>
      <w:ind w:firstLine="420" w:firstLineChars="200"/>
    </w:pPr>
    <w:rPr>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5"/>
    <w:qFormat/>
    <w:uiPriority w:val="0"/>
    <w:pPr>
      <w:shd w:val="clear" w:color="auto" w:fill="000080"/>
    </w:pPr>
    <w:rPr>
      <w:rFonts w:ascii="Times New Roman" w:hAnsi="Times New Roman" w:cs="Times New Roman"/>
      <w:szCs w:val="24"/>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link w:val="76"/>
    <w:qFormat/>
    <w:uiPriority w:val="0"/>
    <w:pPr>
      <w:jc w:val="left"/>
    </w:pPr>
    <w:rPr>
      <w:rFonts w:ascii="Times New Roman" w:hAnsi="Times New Roman" w:cs="Times New Roman"/>
      <w:szCs w:val="24"/>
    </w:rPr>
  </w:style>
  <w:style w:type="paragraph" w:styleId="17">
    <w:name w:val="Body Text 3"/>
    <w:basedOn w:val="1"/>
    <w:link w:val="77"/>
    <w:qFormat/>
    <w:uiPriority w:val="0"/>
    <w:pPr>
      <w:spacing w:after="120"/>
    </w:pPr>
    <w:rPr>
      <w:sz w:val="16"/>
      <w:szCs w:val="16"/>
    </w:rPr>
  </w:style>
  <w:style w:type="paragraph" w:styleId="18">
    <w:name w:val="Body Text"/>
    <w:basedOn w:val="1"/>
    <w:next w:val="19"/>
    <w:link w:val="78"/>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Body Text 2"/>
    <w:basedOn w:val="1"/>
    <w:next w:val="18"/>
    <w:link w:val="88"/>
    <w:qFormat/>
    <w:uiPriority w:val="0"/>
    <w:pPr>
      <w:widowControl/>
      <w:spacing w:before="100" w:beforeAutospacing="1" w:after="100" w:afterAutospacing="1"/>
      <w:jc w:val="left"/>
    </w:pPr>
    <w:rPr>
      <w:kern w:val="0"/>
      <w:sz w:val="24"/>
    </w:rPr>
  </w:style>
  <w:style w:type="paragraph" w:styleId="20">
    <w:name w:val="Body Text Indent"/>
    <w:basedOn w:val="1"/>
    <w:next w:val="21"/>
    <w:link w:val="79"/>
    <w:qFormat/>
    <w:uiPriority w:val="0"/>
    <w:pPr>
      <w:spacing w:after="120"/>
      <w:ind w:left="420" w:leftChars="200"/>
    </w:p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widowControl/>
      <w:spacing w:before="100" w:beforeAutospacing="1" w:after="100" w:afterAutospacing="1"/>
      <w:jc w:val="left"/>
    </w:pPr>
    <w:rPr>
      <w:kern w:val="0"/>
      <w:sz w:val="24"/>
    </w:rPr>
  </w:style>
  <w:style w:type="paragraph" w:styleId="24">
    <w:name w:val="index 4"/>
    <w:basedOn w:val="1"/>
    <w:next w:val="1"/>
    <w:qFormat/>
    <w:uiPriority w:val="0"/>
    <w:pPr>
      <w:ind w:left="600" w:leftChars="600"/>
    </w:pPr>
  </w:style>
  <w:style w:type="paragraph" w:styleId="25">
    <w:name w:val="toc 5"/>
    <w:basedOn w:val="1"/>
    <w:next w:val="1"/>
    <w:qFormat/>
    <w:uiPriority w:val="39"/>
    <w:pPr>
      <w:tabs>
        <w:tab w:val="right" w:leader="dot" w:pos="8296"/>
      </w:tabs>
      <w:ind w:left="1050" w:leftChars="5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80"/>
    <w:qFormat/>
    <w:uiPriority w:val="0"/>
    <w:rPr>
      <w:rFonts w:hAnsi="Courier New" w:cs="Courier New"/>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81"/>
    <w:qFormat/>
    <w:uiPriority w:val="0"/>
    <w:pPr>
      <w:ind w:left="100" w:leftChars="2500"/>
    </w:pPr>
    <w:rPr>
      <w:rFonts w:ascii="Times New Roman" w:hAnsi="Times New Roman" w:cs="Times New Roman"/>
      <w:szCs w:val="24"/>
    </w:rPr>
  </w:style>
  <w:style w:type="paragraph" w:styleId="30">
    <w:name w:val="Body Text Indent 2"/>
    <w:basedOn w:val="1"/>
    <w:link w:val="82"/>
    <w:qFormat/>
    <w:uiPriority w:val="0"/>
    <w:pPr>
      <w:ind w:firstLine="538" w:firstLineChars="192"/>
    </w:pPr>
    <w:rPr>
      <w:sz w:val="28"/>
      <w:szCs w:val="20"/>
    </w:rPr>
  </w:style>
  <w:style w:type="paragraph" w:styleId="31">
    <w:name w:val="Balloon Text"/>
    <w:basedOn w:val="1"/>
    <w:link w:val="83"/>
    <w:qFormat/>
    <w:uiPriority w:val="0"/>
    <w:rPr>
      <w:rFonts w:ascii="Times New Roman" w:hAnsi="Times New Roman" w:cs="Times New Roman"/>
      <w:sz w:val="18"/>
      <w:szCs w:val="18"/>
    </w:rPr>
  </w:style>
  <w:style w:type="paragraph" w:styleId="32">
    <w:name w:val="footer"/>
    <w:basedOn w:val="1"/>
    <w:link w:val="84"/>
    <w:qFormat/>
    <w:uiPriority w:val="99"/>
    <w:pPr>
      <w:tabs>
        <w:tab w:val="center" w:pos="4153"/>
        <w:tab w:val="right" w:pos="8306"/>
      </w:tabs>
      <w:snapToGrid w:val="0"/>
      <w:jc w:val="left"/>
    </w:pPr>
    <w:rPr>
      <w:rFonts w:ascii="Times New Roman" w:hAnsi="Times New Roman" w:cs="Times New Roman"/>
      <w:sz w:val="18"/>
      <w:szCs w:val="18"/>
    </w:rPr>
  </w:style>
  <w:style w:type="paragraph" w:styleId="33">
    <w:name w:val="header"/>
    <w:basedOn w:val="1"/>
    <w:link w:val="85"/>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34">
    <w:name w:val="toc 1"/>
    <w:basedOn w:val="1"/>
    <w:next w:val="1"/>
    <w:qFormat/>
    <w:uiPriority w:val="39"/>
  </w:style>
  <w:style w:type="paragraph" w:styleId="35">
    <w:name w:val="toc 4"/>
    <w:basedOn w:val="1"/>
    <w:next w:val="1"/>
    <w:qFormat/>
    <w:uiPriority w:val="39"/>
    <w:pPr>
      <w:tabs>
        <w:tab w:val="left" w:pos="1890"/>
        <w:tab w:val="right" w:leader="dot" w:pos="8296"/>
      </w:tabs>
      <w:ind w:left="630" w:leftChars="300"/>
    </w:pPr>
    <w:rPr>
      <w:rFonts w:ascii="Calibri" w:hAnsi="Calibri"/>
      <w:szCs w:val="22"/>
    </w:rPr>
  </w:style>
  <w:style w:type="paragraph" w:styleId="36">
    <w:name w:val="Subtitle"/>
    <w:basedOn w:val="1"/>
    <w:next w:val="1"/>
    <w:link w:val="86"/>
    <w:qFormat/>
    <w:uiPriority w:val="0"/>
    <w:pPr>
      <w:spacing w:before="240" w:after="60" w:line="312" w:lineRule="auto"/>
      <w:jc w:val="center"/>
      <w:outlineLvl w:val="1"/>
    </w:pPr>
    <w:rPr>
      <w:rFonts w:ascii="Cambria" w:hAnsi="Cambria" w:cs="Times New Roman"/>
      <w:b/>
      <w:bCs/>
      <w:kern w:val="28"/>
      <w:sz w:val="32"/>
      <w:szCs w:val="32"/>
    </w:rPr>
  </w:style>
  <w:style w:type="paragraph" w:styleId="37">
    <w:name w:val="List"/>
    <w:basedOn w:val="1"/>
    <w:qFormat/>
    <w:uiPriority w:val="0"/>
    <w:pPr>
      <w:ind w:left="420" w:hanging="420"/>
    </w:pPr>
    <w:rPr>
      <w:rFonts w:eastAsia="楷体_GB2312"/>
      <w:sz w:val="32"/>
      <w:szCs w:val="20"/>
    </w:rPr>
  </w:style>
  <w:style w:type="paragraph" w:styleId="38">
    <w:name w:val="toc 6"/>
    <w:basedOn w:val="1"/>
    <w:next w:val="1"/>
    <w:qFormat/>
    <w:uiPriority w:val="39"/>
    <w:pPr>
      <w:ind w:left="1050"/>
      <w:jc w:val="left"/>
    </w:pPr>
    <w:rPr>
      <w:sz w:val="20"/>
      <w:szCs w:val="20"/>
    </w:rPr>
  </w:style>
  <w:style w:type="paragraph" w:styleId="39">
    <w:name w:val="Body Text Indent 3"/>
    <w:basedOn w:val="1"/>
    <w:link w:val="87"/>
    <w:qFormat/>
    <w:uiPriority w:val="0"/>
    <w:pPr>
      <w:spacing w:after="120"/>
      <w:ind w:left="420" w:leftChars="200"/>
    </w:pPr>
    <w:rPr>
      <w:sz w:val="16"/>
      <w:szCs w:val="16"/>
    </w:rPr>
  </w:style>
  <w:style w:type="paragraph" w:styleId="40">
    <w:name w:val="toc 2"/>
    <w:basedOn w:val="1"/>
    <w:next w:val="1"/>
    <w:qFormat/>
    <w:uiPriority w:val="39"/>
    <w:pPr>
      <w:tabs>
        <w:tab w:val="left" w:pos="840"/>
        <w:tab w:val="right" w:leader="dot" w:pos="9061"/>
      </w:tabs>
      <w:ind w:left="420" w:leftChars="200"/>
    </w:pPr>
  </w:style>
  <w:style w:type="paragraph" w:styleId="41">
    <w:name w:val="toc 9"/>
    <w:basedOn w:val="1"/>
    <w:next w:val="1"/>
    <w:qFormat/>
    <w:uiPriority w:val="39"/>
    <w:pPr>
      <w:ind w:left="3360" w:leftChars="1600"/>
    </w:pPr>
    <w:rPr>
      <w:rFonts w:ascii="Calibri" w:hAnsi="Calibri"/>
      <w:szCs w:val="22"/>
    </w:rPr>
  </w:style>
  <w:style w:type="paragraph" w:styleId="42">
    <w:name w:val="Normal (Web)"/>
    <w:basedOn w:val="1"/>
    <w:qFormat/>
    <w:uiPriority w:val="0"/>
    <w:pPr>
      <w:widowControl/>
      <w:spacing w:before="100" w:beforeAutospacing="1" w:after="100" w:afterAutospacing="1" w:line="320" w:lineRule="atLeast"/>
      <w:jc w:val="left"/>
    </w:pPr>
    <w:rPr>
      <w:kern w:val="0"/>
      <w:sz w:val="18"/>
      <w:szCs w:val="18"/>
    </w:rPr>
  </w:style>
  <w:style w:type="paragraph" w:styleId="43">
    <w:name w:val="Title"/>
    <w:basedOn w:val="1"/>
    <w:link w:val="89"/>
    <w:qFormat/>
    <w:uiPriority w:val="0"/>
    <w:pPr>
      <w:spacing w:before="240" w:after="60"/>
      <w:jc w:val="center"/>
      <w:outlineLvl w:val="0"/>
    </w:pPr>
    <w:rPr>
      <w:rFonts w:ascii="Arial" w:hAnsi="Arial" w:cs="Arial"/>
      <w:b/>
      <w:bCs/>
      <w:sz w:val="32"/>
      <w:szCs w:val="32"/>
    </w:rPr>
  </w:style>
  <w:style w:type="paragraph" w:styleId="44">
    <w:name w:val="annotation subject"/>
    <w:basedOn w:val="16"/>
    <w:next w:val="16"/>
    <w:link w:val="90"/>
    <w:qFormat/>
    <w:uiPriority w:val="0"/>
    <w:rPr>
      <w:rFonts w:ascii="宋体"/>
      <w:b/>
      <w:bCs/>
      <w:kern w:val="0"/>
      <w:sz w:val="28"/>
      <w:szCs w:val="20"/>
    </w:rPr>
  </w:style>
  <w:style w:type="paragraph" w:styleId="45">
    <w:name w:val="Body Text First Indent"/>
    <w:basedOn w:val="18"/>
    <w:next w:val="46"/>
    <w:link w:val="91"/>
    <w:qFormat/>
    <w:uiPriority w:val="0"/>
    <w:pPr>
      <w:adjustRightInd/>
      <w:spacing w:after="120" w:line="240" w:lineRule="auto"/>
      <w:ind w:left="0" w:leftChars="0" w:right="0" w:rightChars="0" w:firstLine="420" w:firstLineChars="100"/>
      <w:jc w:val="both"/>
      <w:textAlignment w:val="auto"/>
    </w:pPr>
    <w:rPr>
      <w:kern w:val="2"/>
      <w:sz w:val="21"/>
      <w:szCs w:val="21"/>
    </w:rPr>
  </w:style>
  <w:style w:type="paragraph" w:styleId="46">
    <w:name w:val="Body Text First Indent 2"/>
    <w:basedOn w:val="20"/>
    <w:next w:val="1"/>
    <w:link w:val="92"/>
    <w:qFormat/>
    <w:uiPriority w:val="99"/>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qFormat/>
    <w:uiPriority w:val="0"/>
    <w:rPr>
      <w:i/>
      <w:iCs/>
    </w:rPr>
  </w:style>
  <w:style w:type="character" w:styleId="54">
    <w:name w:val="HTML Definition"/>
    <w:basedOn w:val="49"/>
    <w:qFormat/>
    <w:uiPriority w:val="0"/>
  </w:style>
  <w:style w:type="character" w:styleId="55">
    <w:name w:val="HTML Typewriter"/>
    <w:basedOn w:val="49"/>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basedOn w:val="49"/>
    <w:qFormat/>
    <w:uiPriority w:val="0"/>
  </w:style>
  <w:style w:type="character" w:styleId="58">
    <w:name w:val="Hyperlink"/>
    <w:basedOn w:val="49"/>
    <w:qFormat/>
    <w:uiPriority w:val="99"/>
    <w:rPr>
      <w:color w:val="0000FF"/>
      <w:u w:val="single"/>
    </w:rPr>
  </w:style>
  <w:style w:type="character" w:styleId="59">
    <w:name w:val="HTML Code"/>
    <w:basedOn w:val="49"/>
    <w:qFormat/>
    <w:uiPriority w:val="0"/>
    <w:rPr>
      <w:rFonts w:hint="default" w:ascii="monospace" w:hAnsi="monospace" w:eastAsia="monospace" w:cs="monospace"/>
      <w:sz w:val="20"/>
    </w:rPr>
  </w:style>
  <w:style w:type="character" w:styleId="60">
    <w:name w:val="annotation reference"/>
    <w:qFormat/>
    <w:uiPriority w:val="0"/>
    <w:rPr>
      <w:rFonts w:cs="Times New Roman"/>
      <w:sz w:val="21"/>
      <w:szCs w:val="21"/>
    </w:rPr>
  </w:style>
  <w:style w:type="character" w:styleId="61">
    <w:name w:val="HTML Cite"/>
    <w:basedOn w:val="49"/>
    <w:qFormat/>
    <w:uiPriority w:val="0"/>
  </w:style>
  <w:style w:type="character" w:styleId="62">
    <w:name w:val="HTML Keyboard"/>
    <w:basedOn w:val="49"/>
    <w:qFormat/>
    <w:uiPriority w:val="0"/>
    <w:rPr>
      <w:rFonts w:ascii="monospace" w:hAnsi="monospace" w:eastAsia="monospace" w:cs="monospace"/>
      <w:sz w:val="20"/>
    </w:rPr>
  </w:style>
  <w:style w:type="character" w:styleId="63">
    <w:name w:val="HTML Sample"/>
    <w:basedOn w:val="49"/>
    <w:qFormat/>
    <w:uiPriority w:val="0"/>
    <w:rPr>
      <w:rFonts w:hint="default" w:ascii="monospace" w:hAnsi="monospace" w:eastAsia="monospace" w:cs="monospace"/>
    </w:rPr>
  </w:style>
  <w:style w:type="character" w:customStyle="1" w:styleId="64">
    <w:name w:val="标题 2 Char"/>
    <w:basedOn w:val="49"/>
    <w:link w:val="3"/>
    <w:qFormat/>
    <w:uiPriority w:val="99"/>
    <w:rPr>
      <w:rFonts w:ascii="宋体" w:hAnsi="宋体" w:eastAsia="宋体" w:cs="宋体"/>
      <w:b/>
      <w:bCs/>
      <w:kern w:val="2"/>
      <w:sz w:val="24"/>
      <w:szCs w:val="24"/>
    </w:rPr>
  </w:style>
  <w:style w:type="character" w:customStyle="1" w:styleId="65">
    <w:name w:val="标题 6 Char"/>
    <w:basedOn w:val="49"/>
    <w:link w:val="7"/>
    <w:qFormat/>
    <w:uiPriority w:val="0"/>
    <w:rPr>
      <w:rFonts w:ascii="Cambria" w:hAnsi="Cambria"/>
      <w:b/>
      <w:bCs/>
      <w:kern w:val="2"/>
      <w:sz w:val="24"/>
      <w:szCs w:val="24"/>
    </w:rPr>
  </w:style>
  <w:style w:type="character" w:customStyle="1" w:styleId="66">
    <w:name w:val="标题 1 Char"/>
    <w:basedOn w:val="49"/>
    <w:link w:val="2"/>
    <w:qFormat/>
    <w:uiPriority w:val="0"/>
    <w:rPr>
      <w:b/>
      <w:bCs/>
      <w:kern w:val="44"/>
      <w:sz w:val="32"/>
      <w:szCs w:val="44"/>
    </w:rPr>
  </w:style>
  <w:style w:type="character" w:customStyle="1" w:styleId="67">
    <w:name w:val="标题 3 Char"/>
    <w:link w:val="4"/>
    <w:qFormat/>
    <w:uiPriority w:val="0"/>
    <w:rPr>
      <w:rFonts w:ascii="宋体" w:hAnsi="宋体" w:eastAsia="宋体" w:cs="宋体"/>
      <w:b/>
      <w:bCs/>
      <w:kern w:val="2"/>
      <w:sz w:val="21"/>
      <w:szCs w:val="21"/>
    </w:rPr>
  </w:style>
  <w:style w:type="paragraph" w:customStyle="1" w:styleId="68">
    <w:name w:val="无间隔1"/>
    <w:next w:val="6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70">
    <w:name w:val="标题 4 Char"/>
    <w:basedOn w:val="49"/>
    <w:link w:val="5"/>
    <w:qFormat/>
    <w:uiPriority w:val="0"/>
    <w:rPr>
      <w:rFonts w:ascii="Cambria" w:hAnsi="Cambria" w:eastAsia="宋体" w:cs="Times New Roman"/>
      <w:b/>
      <w:bCs/>
      <w:kern w:val="2"/>
      <w:sz w:val="28"/>
      <w:szCs w:val="28"/>
    </w:rPr>
  </w:style>
  <w:style w:type="character" w:customStyle="1" w:styleId="71">
    <w:name w:val="标题 5 Char"/>
    <w:basedOn w:val="49"/>
    <w:link w:val="6"/>
    <w:qFormat/>
    <w:uiPriority w:val="0"/>
    <w:rPr>
      <w:rFonts w:ascii="Calibri" w:hAnsi="Calibri"/>
      <w:b/>
      <w:bCs/>
      <w:kern w:val="2"/>
      <w:sz w:val="28"/>
      <w:szCs w:val="28"/>
    </w:rPr>
  </w:style>
  <w:style w:type="character" w:customStyle="1" w:styleId="72">
    <w:name w:val="标题 7 Char"/>
    <w:basedOn w:val="49"/>
    <w:link w:val="8"/>
    <w:qFormat/>
    <w:uiPriority w:val="0"/>
    <w:rPr>
      <w:rFonts w:ascii="Calibri" w:hAnsi="Calibri"/>
      <w:b/>
      <w:bCs/>
      <w:kern w:val="2"/>
      <w:sz w:val="24"/>
      <w:szCs w:val="24"/>
    </w:rPr>
  </w:style>
  <w:style w:type="character" w:customStyle="1" w:styleId="73">
    <w:name w:val="标题 8 Char"/>
    <w:basedOn w:val="49"/>
    <w:link w:val="9"/>
    <w:qFormat/>
    <w:uiPriority w:val="0"/>
    <w:rPr>
      <w:rFonts w:ascii="Cambria" w:hAnsi="Cambria"/>
      <w:kern w:val="2"/>
      <w:sz w:val="24"/>
      <w:szCs w:val="24"/>
    </w:rPr>
  </w:style>
  <w:style w:type="character" w:customStyle="1" w:styleId="74">
    <w:name w:val="标题 9 Char"/>
    <w:basedOn w:val="49"/>
    <w:link w:val="10"/>
    <w:qFormat/>
    <w:uiPriority w:val="0"/>
    <w:rPr>
      <w:rFonts w:ascii="Cambria" w:hAnsi="Cambria"/>
      <w:kern w:val="2"/>
      <w:sz w:val="21"/>
      <w:szCs w:val="21"/>
    </w:rPr>
  </w:style>
  <w:style w:type="character" w:customStyle="1" w:styleId="75">
    <w:name w:val="文档结构图 Char"/>
    <w:link w:val="14"/>
    <w:qFormat/>
    <w:uiPriority w:val="0"/>
    <w:rPr>
      <w:rFonts w:eastAsia="宋体"/>
      <w:kern w:val="2"/>
      <w:sz w:val="21"/>
      <w:szCs w:val="24"/>
      <w:lang w:val="en-US" w:eastAsia="zh-CN" w:bidi="ar-SA"/>
    </w:rPr>
  </w:style>
  <w:style w:type="character" w:customStyle="1" w:styleId="76">
    <w:name w:val="批注文字 Char"/>
    <w:link w:val="16"/>
    <w:qFormat/>
    <w:uiPriority w:val="0"/>
    <w:rPr>
      <w:kern w:val="2"/>
      <w:sz w:val="21"/>
      <w:szCs w:val="24"/>
    </w:rPr>
  </w:style>
  <w:style w:type="character" w:customStyle="1" w:styleId="77">
    <w:name w:val="正文文本 3 Char"/>
    <w:basedOn w:val="49"/>
    <w:link w:val="17"/>
    <w:qFormat/>
    <w:uiPriority w:val="0"/>
    <w:rPr>
      <w:kern w:val="2"/>
      <w:sz w:val="16"/>
      <w:szCs w:val="16"/>
    </w:rPr>
  </w:style>
  <w:style w:type="character" w:customStyle="1" w:styleId="78">
    <w:name w:val="正文文本 Char"/>
    <w:link w:val="18"/>
    <w:qFormat/>
    <w:uiPriority w:val="0"/>
  </w:style>
  <w:style w:type="character" w:customStyle="1" w:styleId="79">
    <w:name w:val="正文文本缩进 Char"/>
    <w:basedOn w:val="49"/>
    <w:link w:val="20"/>
    <w:qFormat/>
    <w:uiPriority w:val="0"/>
    <w:rPr>
      <w:kern w:val="2"/>
      <w:sz w:val="21"/>
      <w:szCs w:val="24"/>
    </w:rPr>
  </w:style>
  <w:style w:type="character" w:customStyle="1" w:styleId="80">
    <w:name w:val="纯文本 Char"/>
    <w:basedOn w:val="49"/>
    <w:link w:val="27"/>
    <w:qFormat/>
    <w:uiPriority w:val="0"/>
    <w:rPr>
      <w:rFonts w:ascii="宋体" w:hAnsi="Courier New" w:cs="Courier New"/>
      <w:kern w:val="2"/>
      <w:sz w:val="21"/>
      <w:szCs w:val="21"/>
    </w:rPr>
  </w:style>
  <w:style w:type="character" w:customStyle="1" w:styleId="81">
    <w:name w:val="日期 Char"/>
    <w:link w:val="29"/>
    <w:qFormat/>
    <w:uiPriority w:val="0"/>
    <w:rPr>
      <w:kern w:val="2"/>
      <w:sz w:val="21"/>
      <w:szCs w:val="24"/>
    </w:rPr>
  </w:style>
  <w:style w:type="character" w:customStyle="1" w:styleId="82">
    <w:name w:val="正文文本缩进 2 Char"/>
    <w:basedOn w:val="49"/>
    <w:link w:val="30"/>
    <w:qFormat/>
    <w:uiPriority w:val="0"/>
    <w:rPr>
      <w:kern w:val="2"/>
      <w:sz w:val="28"/>
    </w:rPr>
  </w:style>
  <w:style w:type="character" w:customStyle="1" w:styleId="83">
    <w:name w:val="批注框文本 Char"/>
    <w:link w:val="31"/>
    <w:qFormat/>
    <w:uiPriority w:val="0"/>
    <w:rPr>
      <w:kern w:val="2"/>
      <w:sz w:val="18"/>
      <w:szCs w:val="18"/>
    </w:rPr>
  </w:style>
  <w:style w:type="character" w:customStyle="1" w:styleId="84">
    <w:name w:val="页脚 Char"/>
    <w:link w:val="32"/>
    <w:qFormat/>
    <w:uiPriority w:val="99"/>
    <w:rPr>
      <w:kern w:val="2"/>
      <w:sz w:val="18"/>
      <w:szCs w:val="18"/>
    </w:rPr>
  </w:style>
  <w:style w:type="character" w:customStyle="1" w:styleId="85">
    <w:name w:val="页眉 Char"/>
    <w:link w:val="33"/>
    <w:qFormat/>
    <w:uiPriority w:val="0"/>
    <w:rPr>
      <w:kern w:val="2"/>
      <w:sz w:val="18"/>
      <w:szCs w:val="18"/>
    </w:rPr>
  </w:style>
  <w:style w:type="character" w:customStyle="1" w:styleId="86">
    <w:name w:val="副标题 Char"/>
    <w:link w:val="36"/>
    <w:qFormat/>
    <w:uiPriority w:val="0"/>
    <w:rPr>
      <w:rFonts w:ascii="Cambria" w:hAnsi="Cambria"/>
      <w:b/>
      <w:bCs/>
      <w:kern w:val="28"/>
      <w:sz w:val="32"/>
      <w:szCs w:val="32"/>
    </w:rPr>
  </w:style>
  <w:style w:type="character" w:customStyle="1" w:styleId="87">
    <w:name w:val="正文文本缩进 3 Char"/>
    <w:basedOn w:val="49"/>
    <w:link w:val="39"/>
    <w:qFormat/>
    <w:uiPriority w:val="0"/>
    <w:rPr>
      <w:kern w:val="2"/>
      <w:sz w:val="16"/>
      <w:szCs w:val="16"/>
    </w:rPr>
  </w:style>
  <w:style w:type="character" w:customStyle="1" w:styleId="88">
    <w:name w:val="正文文本 2 Char"/>
    <w:basedOn w:val="49"/>
    <w:link w:val="19"/>
    <w:qFormat/>
    <w:uiPriority w:val="0"/>
    <w:rPr>
      <w:rFonts w:ascii="宋体" w:hAnsi="宋体" w:cs="宋体"/>
      <w:sz w:val="24"/>
      <w:szCs w:val="24"/>
    </w:rPr>
  </w:style>
  <w:style w:type="character" w:customStyle="1" w:styleId="89">
    <w:name w:val="标题 Char"/>
    <w:basedOn w:val="49"/>
    <w:link w:val="43"/>
    <w:qFormat/>
    <w:uiPriority w:val="0"/>
    <w:rPr>
      <w:rFonts w:ascii="Arial" w:hAnsi="Arial" w:cs="Arial"/>
      <w:b/>
      <w:bCs/>
      <w:kern w:val="2"/>
      <w:sz w:val="32"/>
      <w:szCs w:val="32"/>
    </w:rPr>
  </w:style>
  <w:style w:type="character" w:customStyle="1" w:styleId="90">
    <w:name w:val="批注主题 Char"/>
    <w:link w:val="44"/>
    <w:qFormat/>
    <w:uiPriority w:val="0"/>
    <w:rPr>
      <w:rFonts w:ascii="宋体"/>
      <w:b/>
      <w:bCs/>
      <w:sz w:val="28"/>
    </w:rPr>
  </w:style>
  <w:style w:type="character" w:customStyle="1" w:styleId="91">
    <w:name w:val="正文首行缩进 Char"/>
    <w:basedOn w:val="78"/>
    <w:link w:val="45"/>
    <w:qFormat/>
    <w:uiPriority w:val="0"/>
    <w:rPr>
      <w:rFonts w:ascii="宋体" w:hAnsi="宋体" w:cs="宋体"/>
      <w:kern w:val="2"/>
      <w:sz w:val="21"/>
      <w:szCs w:val="21"/>
    </w:rPr>
  </w:style>
  <w:style w:type="character" w:customStyle="1" w:styleId="92">
    <w:name w:val="正文首行缩进 2 Char"/>
    <w:basedOn w:val="79"/>
    <w:link w:val="46"/>
    <w:qFormat/>
    <w:uiPriority w:val="99"/>
    <w:rPr>
      <w:rFonts w:eastAsia="宋体"/>
    </w:rPr>
  </w:style>
  <w:style w:type="character" w:customStyle="1" w:styleId="93">
    <w:name w:val="日期 Char1"/>
    <w:qFormat/>
    <w:uiPriority w:val="0"/>
    <w:rPr>
      <w:kern w:val="2"/>
      <w:sz w:val="21"/>
      <w:szCs w:val="22"/>
    </w:rPr>
  </w:style>
  <w:style w:type="character" w:customStyle="1" w:styleId="94">
    <w:name w:val="_Style 85"/>
    <w:qFormat/>
    <w:uiPriority w:val="0"/>
    <w:rPr>
      <w:i/>
      <w:iCs/>
      <w:color w:val="808080"/>
    </w:rPr>
  </w:style>
  <w:style w:type="character" w:customStyle="1" w:styleId="95">
    <w:name w:val="_Style 86"/>
    <w:qFormat/>
    <w:uiPriority w:val="0"/>
    <w:rPr>
      <w:b/>
      <w:bCs/>
      <w:smallCaps/>
      <w:spacing w:val="5"/>
    </w:rPr>
  </w:style>
  <w:style w:type="character" w:customStyle="1" w:styleId="96">
    <w:name w:val="批注主题 Char1"/>
    <w:qFormat/>
    <w:uiPriority w:val="0"/>
    <w:rPr>
      <w:b/>
      <w:bCs/>
      <w:kern w:val="2"/>
      <w:sz w:val="21"/>
      <w:szCs w:val="22"/>
    </w:rPr>
  </w:style>
  <w:style w:type="character" w:customStyle="1" w:styleId="97">
    <w:name w:val="明显引用 Char"/>
    <w:link w:val="98"/>
    <w:qFormat/>
    <w:uiPriority w:val="0"/>
    <w:rPr>
      <w:b/>
      <w:bCs/>
      <w:i/>
      <w:iCs/>
      <w:color w:val="4F81BD"/>
      <w:kern w:val="2"/>
      <w:sz w:val="21"/>
      <w:szCs w:val="22"/>
    </w:rPr>
  </w:style>
  <w:style w:type="paragraph" w:styleId="98">
    <w:name w:val="Intense Quote"/>
    <w:basedOn w:val="1"/>
    <w:next w:val="1"/>
    <w:link w:val="97"/>
    <w:qFormat/>
    <w:uiPriority w:val="0"/>
    <w:pPr>
      <w:pBdr>
        <w:bottom w:val="single" w:color="4F81BD" w:sz="4" w:space="4"/>
      </w:pBdr>
      <w:spacing w:before="200" w:after="280"/>
      <w:ind w:left="936" w:right="936"/>
    </w:pPr>
    <w:rPr>
      <w:rFonts w:ascii="Times New Roman" w:hAnsi="Times New Roman" w:cs="Times New Roman"/>
      <w:b/>
      <w:bCs/>
      <w:i/>
      <w:iCs/>
      <w:color w:val="4F81BD"/>
      <w:szCs w:val="22"/>
    </w:rPr>
  </w:style>
  <w:style w:type="character" w:customStyle="1" w:styleId="99">
    <w:name w:val="日期 Char2"/>
    <w:basedOn w:val="49"/>
    <w:semiHidden/>
    <w:qFormat/>
    <w:uiPriority w:val="99"/>
    <w:rPr>
      <w:kern w:val="2"/>
      <w:sz w:val="21"/>
      <w:szCs w:val="22"/>
    </w:rPr>
  </w:style>
  <w:style w:type="character" w:customStyle="1" w:styleId="100">
    <w:name w:val="正文缩进 Char1"/>
    <w:link w:val="101"/>
    <w:qFormat/>
    <w:uiPriority w:val="0"/>
    <w:rPr>
      <w:rFonts w:ascii="宋体"/>
      <w:sz w:val="24"/>
    </w:rPr>
  </w:style>
  <w:style w:type="paragraph" w:customStyle="1" w:styleId="101">
    <w:name w:val="正文缩进1"/>
    <w:basedOn w:val="1"/>
    <w:link w:val="100"/>
    <w:qFormat/>
    <w:uiPriority w:val="0"/>
    <w:pPr>
      <w:wordWrap/>
      <w:topLinePunct w:val="0"/>
      <w:autoSpaceDE w:val="0"/>
      <w:autoSpaceDN w:val="0"/>
      <w:adjustRightInd w:val="0"/>
      <w:ind w:firstLine="420"/>
      <w:jc w:val="left"/>
    </w:pPr>
    <w:rPr>
      <w:rFonts w:hAnsi="Times New Roman" w:cs="Times New Roman"/>
      <w:kern w:val="0"/>
      <w:sz w:val="24"/>
      <w:szCs w:val="20"/>
    </w:rPr>
  </w:style>
  <w:style w:type="character" w:customStyle="1" w:styleId="102">
    <w:name w:val="font41"/>
    <w:basedOn w:val="49"/>
    <w:qFormat/>
    <w:uiPriority w:val="0"/>
    <w:rPr>
      <w:rFonts w:hint="eastAsia" w:ascii="宋体" w:hAnsi="宋体" w:eastAsia="宋体" w:cs="宋体"/>
      <w:b/>
      <w:color w:val="000000"/>
      <w:sz w:val="20"/>
      <w:szCs w:val="20"/>
      <w:u w:val="none"/>
    </w:rPr>
  </w:style>
  <w:style w:type="character" w:customStyle="1" w:styleId="103">
    <w:name w:val="引用 Char"/>
    <w:link w:val="104"/>
    <w:qFormat/>
    <w:uiPriority w:val="0"/>
    <w:rPr>
      <w:i/>
      <w:iCs/>
      <w:color w:val="000000"/>
      <w:kern w:val="2"/>
      <w:sz w:val="21"/>
      <w:szCs w:val="22"/>
    </w:rPr>
  </w:style>
  <w:style w:type="paragraph" w:styleId="104">
    <w:name w:val="Quote"/>
    <w:basedOn w:val="1"/>
    <w:next w:val="1"/>
    <w:link w:val="103"/>
    <w:qFormat/>
    <w:uiPriority w:val="0"/>
    <w:rPr>
      <w:rFonts w:ascii="Times New Roman" w:hAnsi="Times New Roman" w:cs="Times New Roman"/>
      <w:i/>
      <w:iCs/>
      <w:color w:val="000000"/>
      <w:szCs w:val="22"/>
    </w:rPr>
  </w:style>
  <w:style w:type="character" w:customStyle="1" w:styleId="105">
    <w:name w:val="明显引用 Char1"/>
    <w:basedOn w:val="49"/>
    <w:qFormat/>
    <w:uiPriority w:val="30"/>
    <w:rPr>
      <w:b/>
      <w:bCs/>
      <w:i/>
      <w:iCs/>
      <w:color w:val="4F81BD"/>
      <w:kern w:val="2"/>
      <w:sz w:val="21"/>
      <w:szCs w:val="24"/>
    </w:rPr>
  </w:style>
  <w:style w:type="character" w:customStyle="1" w:styleId="106">
    <w:name w:val="_Style 97"/>
    <w:qFormat/>
    <w:uiPriority w:val="0"/>
    <w:rPr>
      <w:b/>
      <w:bCs/>
      <w:smallCaps/>
      <w:color w:val="C0504D"/>
      <w:spacing w:val="5"/>
      <w:u w:val="single"/>
    </w:rPr>
  </w:style>
  <w:style w:type="character" w:customStyle="1" w:styleId="107">
    <w:name w:val="font161"/>
    <w:basedOn w:val="49"/>
    <w:qFormat/>
    <w:uiPriority w:val="0"/>
    <w:rPr>
      <w:b/>
      <w:bCs/>
      <w:sz w:val="32"/>
      <w:szCs w:val="32"/>
    </w:rPr>
  </w:style>
  <w:style w:type="character" w:customStyle="1" w:styleId="108">
    <w:name w:val="文档结构图 Char2"/>
    <w:basedOn w:val="49"/>
    <w:semiHidden/>
    <w:qFormat/>
    <w:uiPriority w:val="99"/>
    <w:rPr>
      <w:rFonts w:ascii="宋体"/>
      <w:kern w:val="2"/>
      <w:sz w:val="18"/>
      <w:szCs w:val="18"/>
    </w:rPr>
  </w:style>
  <w:style w:type="character" w:customStyle="1" w:styleId="109">
    <w:name w:val="标题4 Char Char"/>
    <w:link w:val="110"/>
    <w:qFormat/>
    <w:uiPriority w:val="0"/>
    <w:rPr>
      <w:rFonts w:ascii="Arial" w:hAnsi="Arial"/>
      <w:b/>
      <w:bCs/>
      <w:sz w:val="24"/>
      <w:szCs w:val="32"/>
    </w:rPr>
  </w:style>
  <w:style w:type="paragraph" w:customStyle="1" w:styleId="110">
    <w:name w:val="标题4"/>
    <w:basedOn w:val="3"/>
    <w:next w:val="24"/>
    <w:link w:val="109"/>
    <w:qFormat/>
    <w:uiPriority w:val="0"/>
    <w:pPr>
      <w:spacing w:line="413" w:lineRule="auto"/>
    </w:pPr>
    <w:rPr>
      <w:rFonts w:ascii="Arial" w:hAnsi="Arial" w:cs="Times New Roman"/>
      <w:kern w:val="0"/>
      <w:szCs w:val="32"/>
    </w:rPr>
  </w:style>
  <w:style w:type="character" w:customStyle="1" w:styleId="111">
    <w:name w:val="页脚 Char1"/>
    <w:basedOn w:val="49"/>
    <w:semiHidden/>
    <w:qFormat/>
    <w:uiPriority w:val="99"/>
    <w:rPr>
      <w:kern w:val="2"/>
      <w:sz w:val="18"/>
      <w:szCs w:val="18"/>
    </w:rPr>
  </w:style>
  <w:style w:type="character" w:customStyle="1" w:styleId="112">
    <w:name w:val="副标题 Char1"/>
    <w:basedOn w:val="49"/>
    <w:qFormat/>
    <w:uiPriority w:val="11"/>
    <w:rPr>
      <w:rFonts w:ascii="Cambria" w:hAnsi="Cambria" w:cs="Times New Roman"/>
      <w:b/>
      <w:bCs/>
      <w:kern w:val="28"/>
      <w:sz w:val="32"/>
      <w:szCs w:val="32"/>
    </w:rPr>
  </w:style>
  <w:style w:type="character" w:customStyle="1" w:styleId="113">
    <w:name w:val="纯文本 Char1"/>
    <w:link w:val="114"/>
    <w:qFormat/>
    <w:uiPriority w:val="0"/>
    <w:rPr>
      <w:rFonts w:ascii="宋体" w:hAnsi="Courier New"/>
    </w:rPr>
  </w:style>
  <w:style w:type="paragraph" w:customStyle="1" w:styleId="114">
    <w:name w:val="纯文本1"/>
    <w:basedOn w:val="1"/>
    <w:link w:val="113"/>
    <w:qFormat/>
    <w:uiPriority w:val="0"/>
    <w:pPr>
      <w:wordWrap/>
      <w:topLinePunct w:val="0"/>
    </w:pPr>
    <w:rPr>
      <w:rFonts w:hAnsi="Courier New" w:cs="Times New Roman"/>
      <w:kern w:val="0"/>
      <w:sz w:val="20"/>
      <w:szCs w:val="20"/>
    </w:rPr>
  </w:style>
  <w:style w:type="character" w:customStyle="1" w:styleId="115">
    <w:name w:val="_Style 106"/>
    <w:qFormat/>
    <w:uiPriority w:val="0"/>
    <w:rPr>
      <w:b/>
      <w:bCs/>
      <w:i/>
      <w:iCs/>
      <w:color w:val="4F81BD"/>
    </w:rPr>
  </w:style>
  <w:style w:type="character" w:customStyle="1" w:styleId="116">
    <w:name w:val="批注主题 Char2"/>
    <w:basedOn w:val="117"/>
    <w:qFormat/>
    <w:uiPriority w:val="99"/>
    <w:rPr>
      <w:b/>
      <w:bCs/>
    </w:rPr>
  </w:style>
  <w:style w:type="character" w:customStyle="1" w:styleId="117">
    <w:name w:val="批注文字 Char1"/>
    <w:basedOn w:val="49"/>
    <w:qFormat/>
    <w:uiPriority w:val="99"/>
    <w:rPr>
      <w:kern w:val="2"/>
      <w:sz w:val="21"/>
      <w:szCs w:val="24"/>
    </w:rPr>
  </w:style>
  <w:style w:type="character" w:customStyle="1" w:styleId="118">
    <w:name w:val="正文文本 Char2"/>
    <w:basedOn w:val="49"/>
    <w:qFormat/>
    <w:uiPriority w:val="99"/>
    <w:rPr>
      <w:kern w:val="2"/>
      <w:sz w:val="21"/>
      <w:szCs w:val="24"/>
    </w:rPr>
  </w:style>
  <w:style w:type="character" w:customStyle="1" w:styleId="119">
    <w:name w:val="批注框文本 Char2"/>
    <w:basedOn w:val="49"/>
    <w:qFormat/>
    <w:uiPriority w:val="99"/>
    <w:rPr>
      <w:kern w:val="2"/>
      <w:sz w:val="18"/>
      <w:szCs w:val="18"/>
    </w:rPr>
  </w:style>
  <w:style w:type="character" w:customStyle="1" w:styleId="120">
    <w:name w:val="页眉 Char1"/>
    <w:basedOn w:val="49"/>
    <w:semiHidden/>
    <w:qFormat/>
    <w:uiPriority w:val="99"/>
    <w:rPr>
      <w:kern w:val="2"/>
      <w:sz w:val="18"/>
      <w:szCs w:val="18"/>
    </w:rPr>
  </w:style>
  <w:style w:type="character" w:customStyle="1" w:styleId="121">
    <w:name w:val="引用 Char1"/>
    <w:basedOn w:val="49"/>
    <w:qFormat/>
    <w:uiPriority w:val="29"/>
    <w:rPr>
      <w:i/>
      <w:iCs/>
      <w:color w:val="000000"/>
      <w:kern w:val="2"/>
      <w:sz w:val="21"/>
      <w:szCs w:val="24"/>
    </w:rPr>
  </w:style>
  <w:style w:type="character" w:customStyle="1" w:styleId="122">
    <w:name w:val="textcontents"/>
    <w:qFormat/>
    <w:uiPriority w:val="0"/>
    <w:rPr>
      <w:rFonts w:cs="Times New Roman"/>
    </w:rPr>
  </w:style>
  <w:style w:type="character" w:customStyle="1" w:styleId="123">
    <w:name w:val="正文文本 3 Char1"/>
    <w:basedOn w:val="49"/>
    <w:qFormat/>
    <w:uiPriority w:val="0"/>
    <w:rPr>
      <w:kern w:val="2"/>
      <w:sz w:val="16"/>
      <w:szCs w:val="16"/>
    </w:rPr>
  </w:style>
  <w:style w:type="character" w:customStyle="1" w:styleId="124">
    <w:name w:val="批注框文本 Char1"/>
    <w:qFormat/>
    <w:uiPriority w:val="0"/>
    <w:rPr>
      <w:kern w:val="2"/>
      <w:sz w:val="18"/>
      <w:szCs w:val="18"/>
    </w:rPr>
  </w:style>
  <w:style w:type="character" w:customStyle="1" w:styleId="125">
    <w:name w:val="_Style 116"/>
    <w:qFormat/>
    <w:uiPriority w:val="0"/>
    <w:rPr>
      <w:smallCaps/>
      <w:color w:val="C0504D"/>
      <w:u w:val="single"/>
    </w:rPr>
  </w:style>
  <w:style w:type="character" w:customStyle="1" w:styleId="126">
    <w:name w:val="Char Char17"/>
    <w:qFormat/>
    <w:uiPriority w:val="0"/>
    <w:rPr>
      <w:rFonts w:ascii="Cambria" w:hAnsi="Cambria" w:eastAsia="宋体"/>
      <w:b/>
      <w:bCs/>
      <w:kern w:val="2"/>
      <w:sz w:val="32"/>
      <w:szCs w:val="32"/>
      <w:lang w:val="en-US" w:eastAsia="zh-CN" w:bidi="ar-SA"/>
    </w:rPr>
  </w:style>
  <w:style w:type="character" w:customStyle="1" w:styleId="127">
    <w:name w:val="Char Char18"/>
    <w:qFormat/>
    <w:uiPriority w:val="0"/>
    <w:rPr>
      <w:rFonts w:ascii="Calibri" w:hAnsi="Calibri" w:eastAsia="宋体"/>
      <w:b/>
      <w:bCs/>
      <w:kern w:val="44"/>
      <w:sz w:val="44"/>
      <w:szCs w:val="4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标题5 Char Char"/>
    <w:link w:val="130"/>
    <w:qFormat/>
    <w:uiPriority w:val="0"/>
    <w:rPr>
      <w:rFonts w:ascii="Arial" w:hAnsi="Arial"/>
      <w:b/>
      <w:bCs/>
      <w:sz w:val="24"/>
      <w:szCs w:val="32"/>
    </w:rPr>
  </w:style>
  <w:style w:type="paragraph" w:customStyle="1" w:styleId="130">
    <w:name w:val="标题5"/>
    <w:basedOn w:val="4"/>
    <w:link w:val="129"/>
    <w:qFormat/>
    <w:uiPriority w:val="0"/>
    <w:pPr>
      <w:spacing w:line="413" w:lineRule="auto"/>
    </w:pPr>
    <w:rPr>
      <w:rFonts w:ascii="Arial" w:hAnsi="Arial"/>
      <w:kern w:val="0"/>
      <w:sz w:val="24"/>
      <w:szCs w:val="32"/>
    </w:r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标题 Char1"/>
    <w:basedOn w:val="49"/>
    <w:qFormat/>
    <w:uiPriority w:val="10"/>
    <w:rPr>
      <w:rFonts w:ascii="Cambria" w:hAnsi="Cambria" w:cs="Times New Roman"/>
      <w:b/>
      <w:bCs/>
      <w:kern w:val="2"/>
      <w:sz w:val="32"/>
      <w:szCs w:val="32"/>
    </w:rPr>
  </w:style>
  <w:style w:type="character" w:customStyle="1" w:styleId="133">
    <w:name w:val="普通文字 Char"/>
    <w:basedOn w:val="49"/>
    <w:qFormat/>
    <w:uiPriority w:val="0"/>
    <w:rPr>
      <w:rFonts w:ascii="宋体" w:hAnsi="Courier New" w:eastAsia="幼圆"/>
      <w:kern w:val="2"/>
      <w:sz w:val="21"/>
      <w:lang w:val="en-US" w:eastAsia="zh-CN" w:bidi="ar-SA"/>
    </w:rPr>
  </w:style>
  <w:style w:type="character" w:customStyle="1" w:styleId="134">
    <w:name w:val="正文文本 Char1"/>
    <w:qFormat/>
    <w:uiPriority w:val="0"/>
    <w:rPr>
      <w:kern w:val="2"/>
      <w:sz w:val="21"/>
      <w:szCs w:val="22"/>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bCs w:val="0"/>
      <w:szCs w:val="20"/>
    </w:rPr>
  </w:style>
  <w:style w:type="paragraph" w:customStyle="1" w:styleId="137">
    <w:name w:val="dash6b63_65871"/>
    <w:basedOn w:val="1"/>
    <w:qFormat/>
    <w:uiPriority w:val="0"/>
    <w:pPr>
      <w:widowControl/>
    </w:pPr>
    <w:rPr>
      <w:rFonts w:ascii="Calibri" w:hAnsi="Calibri" w:cs="Calibri"/>
      <w:kern w:val="0"/>
      <w:sz w:val="20"/>
      <w:szCs w:val="20"/>
    </w:rPr>
  </w:style>
  <w:style w:type="paragraph" w:customStyle="1" w:styleId="138">
    <w:name w:val="a2"/>
    <w:basedOn w:val="1"/>
    <w:qFormat/>
    <w:uiPriority w:val="0"/>
    <w:pPr>
      <w:widowControl/>
      <w:spacing w:before="100" w:beforeAutospacing="1" w:after="100" w:afterAutospacing="1"/>
      <w:jc w:val="left"/>
    </w:pPr>
    <w:rPr>
      <w:kern w:val="0"/>
      <w:sz w:val="24"/>
    </w:rPr>
  </w:style>
  <w:style w:type="paragraph" w:customStyle="1" w:styleId="139">
    <w:name w:val="_Style 1"/>
    <w:basedOn w:val="1"/>
    <w:qFormat/>
    <w:uiPriority w:val="34"/>
    <w:pPr>
      <w:ind w:firstLine="420" w:firstLineChars="200"/>
    </w:pPr>
  </w:style>
  <w:style w:type="paragraph" w:customStyle="1" w:styleId="140">
    <w:name w:val="大纲一"/>
    <w:basedOn w:val="1"/>
    <w:qFormat/>
    <w:uiPriority w:val="99"/>
    <w:pPr>
      <w:numPr>
        <w:ilvl w:val="0"/>
        <w:numId w:val="1"/>
      </w:numPr>
      <w:spacing w:beforeLines="50" w:line="360" w:lineRule="auto"/>
      <w:outlineLvl w:val="0"/>
    </w:pPr>
    <w:rPr>
      <w:rFonts w:ascii="微软雅黑" w:hAnsi="微软雅黑" w:eastAsia="微软雅黑"/>
      <w:b/>
      <w:sz w:val="32"/>
      <w:szCs w:val="22"/>
    </w:rPr>
  </w:style>
  <w:style w:type="paragraph" w:customStyle="1" w:styleId="141">
    <w:name w:val="默认段落字体 Para Char Char Char Char"/>
    <w:basedOn w:val="1"/>
    <w:qFormat/>
    <w:uiPriority w:val="0"/>
  </w:style>
  <w:style w:type="paragraph" w:styleId="142">
    <w:name w:val="List Paragraph"/>
    <w:basedOn w:val="1"/>
    <w:qFormat/>
    <w:uiPriority w:val="99"/>
    <w:pPr>
      <w:ind w:firstLine="420" w:firstLineChars="200"/>
    </w:pPr>
    <w:rPr>
      <w:rFonts w:ascii="Calibri" w:hAnsi="Calibri"/>
      <w:szCs w:val="22"/>
    </w:rPr>
  </w:style>
  <w:style w:type="paragraph" w:customStyle="1" w:styleId="143">
    <w:name w:val="Char1"/>
    <w:basedOn w:val="1"/>
    <w:qFormat/>
    <w:uiPriority w:val="0"/>
    <w:rPr>
      <w:rFonts w:ascii="Tahoma" w:hAnsi="Tahoma"/>
      <w:sz w:val="24"/>
      <w:szCs w:val="20"/>
    </w:rPr>
  </w:style>
  <w:style w:type="paragraph" w:customStyle="1" w:styleId="144">
    <w:name w:val="Char Char Char Char"/>
    <w:basedOn w:val="14"/>
    <w:qFormat/>
    <w:uiPriority w:val="0"/>
    <w:rPr>
      <w:szCs w:val="20"/>
    </w:rPr>
  </w:style>
  <w:style w:type="paragraph" w:customStyle="1" w:styleId="145">
    <w:name w:val="_Style 136"/>
    <w:basedOn w:val="2"/>
    <w:next w:val="1"/>
    <w:qFormat/>
    <w:uiPriority w:val="39"/>
    <w:pPr>
      <w:spacing w:before="340" w:after="330" w:line="576" w:lineRule="auto"/>
      <w:outlineLvl w:val="9"/>
    </w:pPr>
    <w:rPr>
      <w:rFonts w:ascii="Calibri" w:hAnsi="Calibri"/>
      <w:sz w:val="44"/>
    </w:rPr>
  </w:style>
  <w:style w:type="paragraph" w:customStyle="1" w:styleId="146">
    <w:name w:val="正文2"/>
    <w:basedOn w:val="1"/>
    <w:qFormat/>
    <w:uiPriority w:val="0"/>
    <w:pPr>
      <w:widowControl/>
      <w:spacing w:after="160" w:line="360" w:lineRule="auto"/>
      <w:ind w:firstLine="200" w:firstLineChars="200"/>
      <w:jc w:val="left"/>
    </w:pPr>
    <w:rPr>
      <w:szCs w:val="20"/>
    </w:rPr>
  </w:style>
  <w:style w:type="paragraph" w:customStyle="1" w:styleId="14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8">
    <w:name w:val="Char"/>
    <w:basedOn w:val="1"/>
    <w:qFormat/>
    <w:uiPriority w:val="0"/>
  </w:style>
  <w:style w:type="paragraph" w:customStyle="1" w:styleId="149">
    <w:name w:val="列出段落1"/>
    <w:basedOn w:val="1"/>
    <w:qFormat/>
    <w:uiPriority w:val="0"/>
    <w:pPr>
      <w:ind w:firstLine="420" w:firstLineChars="200"/>
    </w:pPr>
    <w:rPr>
      <w:rFonts w:ascii="Calibri" w:hAnsi="Calibri" w:cs="黑体"/>
    </w:rPr>
  </w:style>
  <w:style w:type="paragraph" w:customStyle="1" w:styleId="150">
    <w:name w:val="1"/>
    <w:basedOn w:val="1"/>
    <w:qFormat/>
    <w:uiPriority w:val="0"/>
  </w:style>
  <w:style w:type="paragraph" w:customStyle="1" w:styleId="151">
    <w:name w:val="_Style 142"/>
    <w:qFormat/>
    <w:uiPriority w:val="0"/>
    <w:rPr>
      <w:rFonts w:ascii="Times New Roman" w:hAnsi="Times New Roman" w:eastAsia="宋体" w:cs="Times New Roman"/>
      <w:kern w:val="2"/>
      <w:sz w:val="21"/>
      <w:szCs w:val="24"/>
      <w:lang w:val="en-US" w:eastAsia="zh-CN" w:bidi="ar-SA"/>
    </w:rPr>
  </w:style>
  <w:style w:type="paragraph" w:customStyle="1" w:styleId="152">
    <w:name w:val="表格文字"/>
    <w:basedOn w:val="1"/>
    <w:qFormat/>
    <w:uiPriority w:val="0"/>
    <w:pPr>
      <w:adjustRightInd w:val="0"/>
      <w:spacing w:line="420" w:lineRule="atLeast"/>
      <w:jc w:val="left"/>
      <w:textAlignment w:val="baseline"/>
    </w:pPr>
    <w:rPr>
      <w:kern w:val="0"/>
      <w:szCs w:val="20"/>
    </w:rPr>
  </w:style>
  <w:style w:type="paragraph" w:customStyle="1" w:styleId="153">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kern w:val="0"/>
      <w:sz w:val="28"/>
      <w:szCs w:val="20"/>
    </w:rPr>
  </w:style>
  <w:style w:type="paragraph" w:customStyle="1" w:styleId="154">
    <w:name w:val="表格"/>
    <w:basedOn w:val="1"/>
    <w:qFormat/>
    <w:uiPriority w:val="0"/>
    <w:pPr>
      <w:jc w:val="center"/>
      <w:textAlignment w:val="center"/>
    </w:pPr>
    <w:rPr>
      <w:rFonts w:ascii="华文细黑" w:hAnsi="华文细黑"/>
      <w:kern w:val="0"/>
      <w:szCs w:val="20"/>
    </w:rPr>
  </w:style>
  <w:style w:type="paragraph" w:customStyle="1" w:styleId="155">
    <w:name w:val="Char2 Char Char Char Char Char Char"/>
    <w:basedOn w:val="1"/>
    <w:qFormat/>
    <w:uiPriority w:val="0"/>
    <w:rPr>
      <w:rFonts w:ascii="仿宋_GB2312"/>
      <w:b/>
      <w:sz w:val="30"/>
      <w:szCs w:val="32"/>
    </w:rPr>
  </w:style>
  <w:style w:type="paragraph" w:customStyle="1" w:styleId="15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大纲二"/>
    <w:basedOn w:val="1"/>
    <w:qFormat/>
    <w:uiPriority w:val="99"/>
    <w:pPr>
      <w:numPr>
        <w:ilvl w:val="1"/>
        <w:numId w:val="1"/>
      </w:numPr>
      <w:tabs>
        <w:tab w:val="left" w:pos="432"/>
      </w:tabs>
      <w:spacing w:beforeLines="50" w:line="360" w:lineRule="auto"/>
      <w:outlineLvl w:val="1"/>
    </w:pPr>
    <w:rPr>
      <w:rFonts w:ascii="微软雅黑" w:hAnsi="微软雅黑" w:eastAsia="微软雅黑"/>
      <w:b/>
      <w:sz w:val="28"/>
      <w:szCs w:val="30"/>
    </w:rPr>
  </w:style>
  <w:style w:type="paragraph" w:customStyle="1" w:styleId="158">
    <w:name w:val="xl26"/>
    <w:basedOn w:val="1"/>
    <w:qFormat/>
    <w:uiPriority w:val="0"/>
    <w:pPr>
      <w:widowControl/>
      <w:spacing w:before="100" w:beforeAutospacing="1" w:after="100" w:afterAutospacing="1"/>
      <w:jc w:val="left"/>
    </w:pPr>
    <w:rPr>
      <w:rFonts w:hint="eastAsia" w:ascii="仿宋_GB2312" w:eastAsia="仿宋_GB2312"/>
      <w:kern w:val="0"/>
      <w:sz w:val="32"/>
      <w:szCs w:val="32"/>
    </w:rPr>
  </w:style>
  <w:style w:type="paragraph" w:customStyle="1" w:styleId="159">
    <w:name w:val="shsj2em"/>
    <w:basedOn w:val="1"/>
    <w:qFormat/>
    <w:uiPriority w:val="0"/>
    <w:pPr>
      <w:widowControl/>
      <w:wordWrap/>
      <w:topLinePunct w:val="0"/>
      <w:spacing w:before="100" w:beforeAutospacing="1" w:after="100" w:afterAutospacing="1"/>
      <w:jc w:val="left"/>
    </w:pPr>
    <w:rPr>
      <w:kern w:val="0"/>
      <w:sz w:val="24"/>
      <w:szCs w:val="24"/>
    </w:rPr>
  </w:style>
  <w:style w:type="paragraph" w:customStyle="1" w:styleId="160">
    <w:name w:val="Char Char10 Char Char Char Char"/>
    <w:basedOn w:val="1"/>
    <w:qFormat/>
    <w:uiPriority w:val="0"/>
  </w:style>
  <w:style w:type="paragraph" w:customStyle="1" w:styleId="161">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6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4">
    <w:name w:val="外网二级标题"/>
    <w:basedOn w:val="3"/>
    <w:next w:val="165"/>
    <w:qFormat/>
    <w:uiPriority w:val="0"/>
    <w:pPr>
      <w:spacing w:line="520" w:lineRule="exact"/>
      <w:ind w:firstLine="200" w:firstLineChars="200"/>
    </w:pPr>
    <w:rPr>
      <w:rFonts w:ascii="Arial" w:hAnsi="Arial" w:eastAsia="楷体" w:cs="Times New Roman"/>
      <w:b w:val="0"/>
    </w:rPr>
  </w:style>
  <w:style w:type="paragraph" w:customStyle="1" w:styleId="165">
    <w:name w:val="外网"/>
    <w:basedOn w:val="2"/>
    <w:qFormat/>
    <w:uiPriority w:val="0"/>
    <w:pPr>
      <w:spacing w:beforeLines="50" w:afterLines="50" w:line="520" w:lineRule="exact"/>
      <w:ind w:firstLine="200" w:firstLineChars="200"/>
    </w:pPr>
    <w:rPr>
      <w:rFonts w:eastAsia="黑体"/>
      <w:b w:val="0"/>
    </w:rPr>
  </w:style>
  <w:style w:type="paragraph" w:styleId="16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索引 11"/>
    <w:basedOn w:val="1"/>
    <w:next w:val="1"/>
    <w:qFormat/>
    <w:uiPriority w:val="0"/>
    <w:pPr>
      <w:wordWrap/>
      <w:topLinePunct w:val="0"/>
      <w:spacing w:line="360" w:lineRule="auto"/>
    </w:pPr>
    <w:rPr>
      <w:rFonts w:ascii="仿宋_GB2312" w:hAnsi="Times New Roman" w:eastAsia="仿宋_GB2312" w:cs="Times New Roman"/>
      <w:sz w:val="24"/>
      <w:szCs w:val="20"/>
    </w:rPr>
  </w:style>
  <w:style w:type="paragraph" w:customStyle="1" w:styleId="168">
    <w:name w:val="_Style 2"/>
    <w:basedOn w:val="2"/>
    <w:next w:val="1"/>
    <w:qFormat/>
    <w:uiPriority w:val="0"/>
    <w:pPr>
      <w:outlineLvl w:val="9"/>
    </w:pPr>
  </w:style>
  <w:style w:type="character" w:customStyle="1" w:styleId="169">
    <w:name w:val="font13"/>
    <w:basedOn w:val="49"/>
    <w:qFormat/>
    <w:uiPriority w:val="0"/>
    <w:rPr>
      <w:rFonts w:hint="eastAsia" w:ascii="宋体" w:hAnsi="宋体" w:eastAsia="宋体" w:cs="宋体"/>
      <w:color w:val="000000"/>
      <w:sz w:val="22"/>
      <w:szCs w:val="22"/>
      <w:u w:val="none"/>
    </w:rPr>
  </w:style>
  <w:style w:type="character" w:customStyle="1" w:styleId="170">
    <w:name w:val="font132"/>
    <w:basedOn w:val="49"/>
    <w:qFormat/>
    <w:uiPriority w:val="0"/>
    <w:rPr>
      <w:rFonts w:hint="eastAsia" w:ascii="宋体" w:hAnsi="宋体" w:eastAsia="宋体" w:cs="宋体"/>
      <w:color w:val="000000"/>
      <w:sz w:val="20"/>
      <w:szCs w:val="20"/>
      <w:u w:val="none"/>
      <w:vertAlign w:val="subscript"/>
    </w:rPr>
  </w:style>
  <w:style w:type="paragraph" w:customStyle="1" w:styleId="171">
    <w:name w:val="Table Paragraph"/>
    <w:basedOn w:val="1"/>
    <w:qFormat/>
    <w:uiPriority w:val="1"/>
    <w:pPr>
      <w:autoSpaceDE w:val="0"/>
      <w:autoSpaceDN w:val="0"/>
      <w:jc w:val="left"/>
    </w:pPr>
    <w:rPr>
      <w:rFonts w:hint="eastAsia"/>
      <w:kern w:val="0"/>
      <w:sz w:val="22"/>
      <w:szCs w:val="22"/>
    </w:rPr>
  </w:style>
  <w:style w:type="paragraph" w:customStyle="1" w:styleId="172">
    <w:name w:val="List Paragraph1"/>
    <w:basedOn w:val="1"/>
    <w:qFormat/>
    <w:uiPriority w:val="0"/>
    <w:pPr>
      <w:ind w:firstLine="420" w:firstLineChars="200"/>
    </w:pPr>
  </w:style>
  <w:style w:type="character" w:customStyle="1" w:styleId="173">
    <w:name w:val="font21"/>
    <w:basedOn w:val="49"/>
    <w:qFormat/>
    <w:uiPriority w:val="0"/>
    <w:rPr>
      <w:rFonts w:hint="eastAsia" w:ascii="宋体" w:hAnsi="宋体" w:eastAsia="宋体" w:cs="宋体"/>
      <w:color w:val="000000"/>
      <w:sz w:val="24"/>
      <w:szCs w:val="24"/>
      <w:u w:val="none"/>
    </w:rPr>
  </w:style>
  <w:style w:type="character" w:customStyle="1" w:styleId="174">
    <w:name w:val="font11"/>
    <w:basedOn w:val="49"/>
    <w:qFormat/>
    <w:uiPriority w:val="0"/>
    <w:rPr>
      <w:rFonts w:hint="eastAsia" w:ascii="宋体" w:hAnsi="宋体" w:eastAsia="宋体" w:cs="宋体"/>
      <w:color w:val="000000"/>
      <w:sz w:val="24"/>
      <w:szCs w:val="24"/>
      <w:u w:val="none"/>
    </w:rPr>
  </w:style>
  <w:style w:type="character" w:customStyle="1" w:styleId="175">
    <w:name w:val="font51"/>
    <w:basedOn w:val="49"/>
    <w:qFormat/>
    <w:uiPriority w:val="0"/>
    <w:rPr>
      <w:rFonts w:hint="eastAsia" w:ascii="宋体" w:hAnsi="宋体" w:eastAsia="宋体" w:cs="宋体"/>
      <w:color w:val="000000"/>
      <w:sz w:val="20"/>
      <w:szCs w:val="20"/>
      <w:u w:val="none"/>
    </w:rPr>
  </w:style>
  <w:style w:type="paragraph" w:customStyle="1" w:styleId="176">
    <w:name w:val="正文_10"/>
    <w:qFormat/>
    <w:uiPriority w:val="0"/>
    <w:pPr>
      <w:widowControl w:val="0"/>
      <w:jc w:val="both"/>
    </w:pPr>
    <w:rPr>
      <w:rFonts w:ascii="Times New Roman" w:hAnsi="Times New Roman" w:eastAsia="宋体" w:cs="Times New Roman"/>
      <w:lang w:val="en-US" w:eastAsia="zh-CN" w:bidi="ar-SA"/>
    </w:rPr>
  </w:style>
  <w:style w:type="paragraph" w:customStyle="1" w:styleId="177">
    <w:name w:val="Default Paragraph Font Para Char"/>
    <w:basedOn w:val="1"/>
    <w:qFormat/>
    <w:uiPriority w:val="0"/>
    <w:pPr>
      <w:widowControl/>
      <w:wordWrap/>
      <w:topLinePunct w:val="0"/>
      <w:spacing w:after="160" w:line="240" w:lineRule="exact"/>
      <w:jc w:val="left"/>
    </w:pPr>
    <w:rPr>
      <w:rFonts w:ascii="Verdana" w:hAnsi="Verdana" w:cs="Times New Roman"/>
      <w:kern w:val="0"/>
      <w:sz w:val="20"/>
      <w:szCs w:val="20"/>
      <w:lang w:eastAsia="en-US"/>
    </w:rPr>
  </w:style>
  <w:style w:type="paragraph" w:customStyle="1" w:styleId="178">
    <w:name w:val="Table Text"/>
    <w:basedOn w:val="1"/>
    <w:semiHidden/>
    <w:qFormat/>
    <w:uiPriority w:val="0"/>
    <w:rPr>
      <w:rFonts w:ascii="宋体" w:hAnsi="宋体" w:eastAsia="宋体" w:cs="宋体"/>
      <w:sz w:val="20"/>
      <w:szCs w:val="20"/>
      <w:lang w:val="en-US" w:eastAsia="en-US" w:bidi="ar-SA"/>
    </w:rPr>
  </w:style>
  <w:style w:type="table" w:customStyle="1" w:styleId="1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4FEF2-664F-45FF-BB2B-B437E4C970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157</Pages>
  <Words>23724</Words>
  <Characters>25901</Characters>
  <Lines>294</Lines>
  <Paragraphs>82</Paragraphs>
  <TotalTime>20</TotalTime>
  <ScaleCrop>false</ScaleCrop>
  <LinksUpToDate>false</LinksUpToDate>
  <CharactersWithSpaces>26149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2015-08-26T01:40:00Z</dcterms:created>
  <dc:creator>微软用户</dc:creator>
  <cp:lastModifiedBy>茹茹</cp:lastModifiedBy>
  <cp:lastPrinted>2021-07-27T06:52:00Z</cp:lastPrinted>
  <dcterms:modified xsi:type="dcterms:W3CDTF">2025-09-29T08:17:18Z</dcterms:modified>
  <dc:title>附件1：招标评分办法</dc:title>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FC36BF0EEEFB4B6E8A17039AFCB2B371_13</vt:lpwstr>
  </property>
  <property fmtid="{D5CDD505-2E9C-101B-9397-08002B2CF9AE}" pid="4" name="KSOTemplateDocerSaveRecord">
    <vt:lpwstr>eyJoZGlkIjoiZjVmYzE5MzgzODJhYzcxZmM3MTdmNjgxZTRjN2QyZmUiLCJ1c2VySWQiOiI5OTc0OTYzOTcifQ==</vt:lpwstr>
  </property>
</Properties>
</file>