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9.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91991F0">
      <w:pPr>
        <w:pStyle w:val="style66"/>
        <w:spacing w:before="10" w:lineRule="auto" w:line="360"/>
        <w:jc w:val="center"/>
        <w:rPr>
          <w:rFonts w:ascii="宋体" w:cs="宋体" w:eastAsia="宋体" w:hAnsi="宋体" w:hint="eastAsia"/>
          <w:b/>
          <w:bCs/>
          <w:sz w:val="52"/>
          <w:szCs w:val="52"/>
          <w:highlight w:val="none"/>
          <w:lang w:eastAsia="zh-CN"/>
        </w:rPr>
      </w:pPr>
      <w:r>
        <w:rPr>
          <w:rFonts w:ascii="宋体" w:cs="宋体" w:eastAsia="宋体" w:hAnsi="宋体" w:hint="eastAsia"/>
          <w:b/>
          <w:bCs/>
          <w:sz w:val="52"/>
          <w:szCs w:val="52"/>
          <w:highlight w:val="none"/>
          <w:lang w:val="en-US" w:eastAsia="zh-CN"/>
        </w:rPr>
        <w:t>河南城建学院智慧城市行业学院项目</w:t>
      </w:r>
    </w:p>
    <w:bookmarkStart w:id="0" w:name="_Toc2952"/>
    <w:bookmarkStart w:id="1" w:name="_Toc24506"/>
    <w:bookmarkStart w:id="2" w:name="_Toc27088"/>
    <w:p w14:paraId="3BD9BF62">
      <w:pPr>
        <w:pStyle w:val="style0"/>
        <w:spacing w:lineRule="auto" w:line="240"/>
        <w:jc w:val="center"/>
        <w:rPr>
          <w:rFonts w:ascii="宋体" w:cs="宋体" w:eastAsia="宋体" w:hAnsi="宋体" w:hint="default"/>
          <w:b/>
          <w:bCs/>
          <w:sz w:val="44"/>
          <w:szCs w:val="44"/>
          <w:highlight w:val="none"/>
          <w:lang w:val="en-US" w:bidi="ar-SA" w:eastAsia="zh-CN"/>
        </w:rPr>
      </w:pPr>
    </w:p>
    <w:p w14:paraId="15591663">
      <w:pPr>
        <w:pStyle w:val="style66"/>
        <w:rPr>
          <w:rFonts w:hint="default"/>
          <w:lang w:val="en-US" w:eastAsia="zh-CN"/>
        </w:rPr>
      </w:pPr>
    </w:p>
    <w:p w14:paraId="2A5694BE">
      <w:pPr>
        <w:pStyle w:val="style0"/>
        <w:spacing w:lineRule="auto" w:line="360"/>
        <w:jc w:val="center"/>
        <w:rPr>
          <w:rFonts w:ascii="宋体" w:cs="宋体" w:eastAsia="宋体" w:hAnsi="宋体" w:hint="eastAsia"/>
          <w:b/>
          <w:bCs/>
          <w:sz w:val="72"/>
          <w:szCs w:val="72"/>
          <w:highlight w:val="none"/>
          <w:lang w:val="en-US" w:eastAsia="zh-CN"/>
        </w:rPr>
      </w:pPr>
    </w:p>
    <w:p w14:paraId="04D7650C">
      <w:pPr>
        <w:pStyle w:val="style0"/>
        <w:spacing w:lineRule="auto" w:line="360"/>
        <w:jc w:val="center"/>
        <w:rPr>
          <w:rFonts w:ascii="宋体" w:cs="宋体" w:eastAsia="宋体" w:hAnsi="宋体" w:hint="eastAsia"/>
          <w:b/>
          <w:bCs/>
          <w:sz w:val="72"/>
          <w:szCs w:val="72"/>
          <w:highlight w:val="none"/>
          <w:lang w:val="en-US" w:eastAsia="zh-CN"/>
        </w:rPr>
      </w:pPr>
    </w:p>
    <w:p w14:paraId="4FD5E04C">
      <w:pPr>
        <w:pStyle w:val="style0"/>
        <w:spacing w:lineRule="auto" w:line="360"/>
        <w:jc w:val="center"/>
        <w:rPr>
          <w:rFonts w:ascii="宋体" w:cs="宋体" w:eastAsia="宋体" w:hAnsi="宋体" w:hint="eastAsia"/>
          <w:b/>
          <w:bCs/>
          <w:sz w:val="72"/>
          <w:szCs w:val="72"/>
          <w:highlight w:val="none"/>
          <w:lang w:val="en-US" w:eastAsia="zh-CN"/>
        </w:rPr>
      </w:pPr>
    </w:p>
    <w:p w14:paraId="56E0F8AB">
      <w:pPr>
        <w:pStyle w:val="style0"/>
        <w:spacing w:lineRule="auto" w:line="360"/>
        <w:jc w:val="center"/>
        <w:rPr>
          <w:rFonts w:ascii="宋体" w:cs="宋体" w:eastAsia="宋体" w:hAnsi="宋体" w:hint="eastAsia"/>
          <w:b/>
          <w:bCs/>
          <w:sz w:val="72"/>
          <w:szCs w:val="72"/>
          <w:highlight w:val="none"/>
        </w:rPr>
      </w:pPr>
      <w:r>
        <w:rPr>
          <w:rFonts w:ascii="宋体" w:cs="宋体" w:eastAsia="宋体" w:hAnsi="宋体" w:hint="eastAsia"/>
          <w:b/>
          <w:bCs/>
          <w:sz w:val="72"/>
          <w:szCs w:val="72"/>
          <w:highlight w:val="none"/>
          <w:lang w:val="en-US" w:eastAsia="zh-CN"/>
        </w:rPr>
        <w:t>竞争性磋商</w:t>
      </w:r>
      <w:r>
        <w:rPr>
          <w:rFonts w:ascii="宋体" w:cs="宋体" w:eastAsia="宋体" w:hAnsi="宋体" w:hint="eastAsia"/>
          <w:b/>
          <w:bCs/>
          <w:sz w:val="72"/>
          <w:szCs w:val="72"/>
          <w:highlight w:val="none"/>
        </w:rPr>
        <w:t>文件</w:t>
      </w:r>
      <w:bookmarkEnd w:id="0"/>
      <w:bookmarkEnd w:id="1"/>
      <w:bookmarkEnd w:id="2"/>
    </w:p>
    <w:p w14:paraId="1DA291BB">
      <w:pPr>
        <w:pStyle w:val="style66"/>
        <w:tabs>
          <w:tab w:val="left" w:leader="none" w:pos="7560"/>
        </w:tabs>
        <w:spacing w:before="167" w:lineRule="auto" w:line="360"/>
        <w:ind w:right="114" w:rightChars="52"/>
        <w:jc w:val="center"/>
        <w:rPr>
          <w:rFonts w:ascii="宋体" w:cs="宋体" w:eastAsia="宋体" w:hAnsi="宋体" w:hint="default"/>
          <w:b/>
          <w:bCs/>
          <w:sz w:val="32"/>
          <w:szCs w:val="28"/>
          <w:highlight w:val="none"/>
          <w:lang w:val="en-US"/>
        </w:rPr>
      </w:pPr>
      <w:r>
        <w:rPr>
          <w:rFonts w:ascii="宋体" w:cs="宋体" w:eastAsia="宋体" w:hAnsi="宋体" w:hint="eastAsia"/>
          <w:b/>
          <w:bCs/>
          <w:sz w:val="32"/>
          <w:szCs w:val="28"/>
          <w:highlight w:val="none"/>
          <w:lang w:eastAsia="zh-CN"/>
        </w:rPr>
        <w:t>项目编号</w:t>
      </w:r>
      <w:r>
        <w:rPr>
          <w:rFonts w:ascii="宋体" w:cs="宋体" w:eastAsia="宋体" w:hAnsi="宋体" w:hint="eastAsia"/>
          <w:b/>
          <w:bCs/>
          <w:sz w:val="32"/>
          <w:szCs w:val="28"/>
          <w:highlight w:val="none"/>
        </w:rPr>
        <w:t>：</w:t>
      </w:r>
      <w:r>
        <w:rPr>
          <w:rFonts w:cs="宋体" w:hint="eastAsia"/>
          <w:b/>
          <w:bCs/>
          <w:sz w:val="32"/>
          <w:szCs w:val="28"/>
          <w:highlight w:val="none"/>
          <w:lang w:val="en-US" w:eastAsia="zh-CN"/>
        </w:rPr>
        <w:t>豫财磋商采购-2025-992</w:t>
      </w:r>
    </w:p>
    <w:p w14:paraId="3FFEEC51">
      <w:pPr>
        <w:pStyle w:val="style66"/>
        <w:tabs>
          <w:tab w:val="left" w:leader="none" w:pos="7560"/>
        </w:tabs>
        <w:spacing w:before="167" w:lineRule="auto" w:line="360"/>
        <w:ind w:right="114" w:rightChars="52"/>
        <w:jc w:val="center"/>
        <w:rPr>
          <w:rFonts w:ascii="宋体" w:cs="宋体" w:eastAsia="宋体" w:hAnsi="宋体" w:hint="eastAsia"/>
          <w:b/>
          <w:bCs/>
          <w:sz w:val="32"/>
          <w:szCs w:val="28"/>
          <w:highlight w:val="none"/>
          <w:lang w:eastAsia="zh-CN"/>
        </w:rPr>
      </w:pPr>
    </w:p>
    <w:p w14:paraId="50BBDDDF">
      <w:pPr>
        <w:pStyle w:val="style66"/>
        <w:spacing w:lineRule="auto" w:line="360"/>
        <w:rPr>
          <w:rFonts w:ascii="宋体" w:cs="宋体" w:eastAsia="宋体" w:hAnsi="宋体" w:hint="eastAsia"/>
          <w:sz w:val="22"/>
          <w:szCs w:val="32"/>
          <w:highlight w:val="none"/>
        </w:rPr>
      </w:pPr>
    </w:p>
    <w:p w14:paraId="68F78355">
      <w:pPr>
        <w:pStyle w:val="style66"/>
        <w:spacing w:before="9" w:lineRule="auto" w:line="360"/>
        <w:jc w:val="center"/>
        <w:rPr>
          <w:rFonts w:ascii="宋体" w:cs="宋体" w:eastAsia="宋体" w:hAnsi="宋体" w:hint="eastAsia"/>
          <w:sz w:val="23"/>
          <w:highlight w:val="none"/>
        </w:rPr>
      </w:pPr>
    </w:p>
    <w:p w14:paraId="7A8FCE6F">
      <w:pPr>
        <w:pStyle w:val="style66"/>
        <w:spacing w:lineRule="auto" w:line="360"/>
        <w:rPr>
          <w:rFonts w:ascii="宋体" w:cs="宋体" w:eastAsia="宋体" w:hAnsi="宋体" w:hint="eastAsia"/>
          <w:sz w:val="20"/>
          <w:highlight w:val="none"/>
        </w:rPr>
      </w:pPr>
    </w:p>
    <w:p w14:paraId="6C714D19">
      <w:pPr>
        <w:pStyle w:val="style66"/>
        <w:spacing w:lineRule="auto" w:line="360"/>
        <w:rPr>
          <w:rFonts w:ascii="宋体" w:cs="宋体" w:eastAsia="宋体" w:hAnsi="宋体" w:hint="eastAsia"/>
          <w:sz w:val="20"/>
          <w:highlight w:val="none"/>
        </w:rPr>
      </w:pPr>
    </w:p>
    <w:p w14:paraId="311D389C">
      <w:pPr>
        <w:pStyle w:val="style0"/>
        <w:spacing w:lineRule="auto" w:line="360"/>
        <w:ind w:firstLine="1285" w:firstLineChars="400"/>
        <w:jc w:val="both"/>
        <w:rPr>
          <w:rFonts w:ascii="宋体" w:cs="宋体" w:eastAsia="宋体" w:hAnsi="宋体" w:hint="eastAsia"/>
          <w:b/>
          <w:bCs/>
          <w:sz w:val="32"/>
          <w:szCs w:val="32"/>
          <w:highlight w:val="none"/>
        </w:rPr>
      </w:pPr>
    </w:p>
    <w:p w14:paraId="42F99B1F">
      <w:pPr>
        <w:pStyle w:val="style0"/>
        <w:spacing w:lineRule="auto" w:line="360"/>
        <w:ind w:firstLine="1285" w:firstLineChars="400"/>
        <w:jc w:val="both"/>
        <w:rPr>
          <w:rFonts w:ascii="宋体" w:cs="宋体" w:eastAsia="宋体" w:hAnsi="宋体" w:hint="eastAsia"/>
          <w:b/>
          <w:bCs/>
          <w:sz w:val="32"/>
          <w:szCs w:val="32"/>
          <w:highlight w:val="none"/>
        </w:rPr>
      </w:pPr>
    </w:p>
    <w:p w14:paraId="0C1B521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1928" w:firstLineChars="600"/>
        <w:textAlignment w:val="auto"/>
        <w:rPr>
          <w:rFonts w:ascii="宋体" w:cs="宋体" w:eastAsia="宋体" w:hAnsi="宋体" w:hint="eastAsia"/>
          <w:b/>
          <w:bCs/>
          <w:sz w:val="32"/>
          <w:szCs w:val="32"/>
          <w:highlight w:val="none"/>
          <w:lang w:eastAsia="zh-CN"/>
        </w:rPr>
      </w:pPr>
      <w:r>
        <w:rPr>
          <w:rFonts w:ascii="宋体" w:cs="宋体" w:eastAsia="宋体" w:hAnsi="宋体" w:hint="eastAsia"/>
          <w:b/>
          <w:bCs/>
          <w:sz w:val="32"/>
          <w:szCs w:val="32"/>
          <w:highlight w:val="none"/>
        </w:rPr>
        <w:t>采 购 人：河南</w:t>
      </w:r>
      <w:r>
        <w:rPr>
          <w:rFonts w:ascii="宋体" w:cs="宋体" w:eastAsia="宋体" w:hAnsi="宋体" w:hint="eastAsia"/>
          <w:b/>
          <w:bCs/>
          <w:sz w:val="32"/>
          <w:szCs w:val="32"/>
          <w:highlight w:val="none"/>
          <w:lang w:eastAsia="zh-CN"/>
        </w:rPr>
        <w:t>城建学院</w:t>
      </w:r>
    </w:p>
    <w:p w14:paraId="490B649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1928" w:firstLineChars="600"/>
        <w:textAlignment w:val="auto"/>
        <w:rPr>
          <w:rFonts w:ascii="宋体" w:cs="宋体" w:eastAsia="宋体" w:hAnsi="宋体" w:hint="eastAsia"/>
          <w:b/>
          <w:bCs/>
          <w:sz w:val="32"/>
          <w:szCs w:val="32"/>
          <w:highlight w:val="none"/>
          <w:lang w:eastAsia="zh-CN"/>
        </w:rPr>
      </w:pPr>
      <w:r>
        <w:rPr>
          <w:rFonts w:ascii="宋体" w:cs="宋体" w:eastAsia="宋体" w:hAnsi="宋体" w:hint="eastAsia"/>
          <w:b/>
          <w:bCs/>
          <w:sz w:val="32"/>
          <w:szCs w:val="32"/>
          <w:highlight w:val="none"/>
        </w:rPr>
        <w:t>代理机构：</w:t>
      </w:r>
      <w:r>
        <w:rPr>
          <w:rFonts w:ascii="宋体" w:cs="宋体" w:eastAsia="宋体" w:hAnsi="宋体" w:hint="eastAsia"/>
          <w:b/>
          <w:bCs/>
          <w:sz w:val="32"/>
          <w:szCs w:val="32"/>
          <w:highlight w:val="none"/>
          <w:lang w:eastAsia="zh-CN"/>
        </w:rPr>
        <w:t>河南恒益建设工程咨询有限公司</w:t>
      </w:r>
    </w:p>
    <w:p w14:paraId="62BF46E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1928" w:firstLineChars="600"/>
        <w:textAlignment w:val="auto"/>
        <w:rPr>
          <w:rFonts w:ascii="宋体" w:cs="宋体" w:eastAsia="宋体" w:hAnsi="宋体" w:hint="eastAsia"/>
          <w:b/>
          <w:bCs/>
          <w:sz w:val="32"/>
          <w:szCs w:val="32"/>
          <w:highlight w:val="none"/>
        </w:rPr>
      </w:pPr>
      <w:r>
        <w:rPr>
          <w:rFonts w:ascii="宋体" w:cs="宋体" w:eastAsia="宋体" w:hAnsi="宋体" w:hint="eastAsia"/>
          <w:b/>
          <w:bCs/>
          <w:sz w:val="32"/>
          <w:szCs w:val="32"/>
          <w:highlight w:val="none"/>
        </w:rPr>
        <w:t>日    期：二〇二</w:t>
      </w:r>
      <w:r>
        <w:rPr>
          <w:rFonts w:cs="宋体" w:hint="eastAsia"/>
          <w:b/>
          <w:bCs/>
          <w:sz w:val="32"/>
          <w:szCs w:val="32"/>
          <w:highlight w:val="none"/>
          <w:lang w:val="en-US" w:eastAsia="zh-CN"/>
        </w:rPr>
        <w:t>五</w:t>
      </w:r>
      <w:r>
        <w:rPr>
          <w:rFonts w:ascii="宋体" w:cs="宋体" w:eastAsia="宋体" w:hAnsi="宋体" w:hint="eastAsia"/>
          <w:b/>
          <w:bCs/>
          <w:sz w:val="32"/>
          <w:szCs w:val="32"/>
          <w:highlight w:val="none"/>
        </w:rPr>
        <w:t>年</w:t>
      </w:r>
      <w:r>
        <w:rPr>
          <w:rFonts w:cs="宋体" w:hint="eastAsia"/>
          <w:b/>
          <w:bCs/>
          <w:sz w:val="32"/>
          <w:szCs w:val="32"/>
          <w:highlight w:val="none"/>
          <w:lang w:val="en-US" w:eastAsia="zh-CN"/>
        </w:rPr>
        <w:t>九</w:t>
      </w:r>
      <w:r>
        <w:rPr>
          <w:rFonts w:ascii="宋体" w:cs="宋体" w:eastAsia="宋体" w:hAnsi="宋体" w:hint="eastAsia"/>
          <w:b/>
          <w:bCs/>
          <w:sz w:val="32"/>
          <w:szCs w:val="32"/>
          <w:highlight w:val="none"/>
        </w:rPr>
        <w:t>月</w:t>
      </w:r>
    </w:p>
    <w:p w14:paraId="675B7476">
      <w:pPr>
        <w:pStyle w:val="style0"/>
        <w:spacing w:lineRule="auto" w:line="360"/>
        <w:jc w:val="center"/>
        <w:rPr>
          <w:rFonts w:ascii="宋体" w:cs="宋体" w:eastAsia="宋体" w:hAnsi="宋体" w:hint="eastAsia"/>
          <w:b/>
          <w:color w:val="auto"/>
          <w:sz w:val="28"/>
          <w:szCs w:val="28"/>
          <w:highlight w:val="none"/>
          <w:lang w:eastAsia="zh-CN"/>
        </w:rPr>
        <w:sectPr>
          <w:headerReference w:type="even" r:id="rId2"/>
          <w:headerReference w:type="default" r:id="rId3"/>
          <w:footerReference w:type="even" r:id="rId4"/>
          <w:footerReference w:type="default" r:id="rId5"/>
          <w:type w:val="continuous"/>
          <w:pgSz w:w="11906" w:h="16838" w:orient="portrait"/>
          <w:pgMar w:top="1440" w:right="1080" w:bottom="1440" w:left="1080" w:header="851" w:footer="992" w:gutter="0"/>
          <w:pgNumType w:fmt="numberInDash"/>
          <w:cols w:space="720" w:num="1"/>
          <w:titlePg/>
          <w:docGrid w:type="lines" w:linePitch="312" w:charSpace="0"/>
        </w:sectPr>
      </w:pPr>
    </w:p>
    <w:p w14:paraId="1B0ECE3D">
      <w:pPr>
        <w:pStyle w:val="style66"/>
        <w:spacing w:lineRule="auto" w:line="360"/>
        <w:rPr>
          <w:rFonts w:ascii="宋体" w:cs="宋体" w:eastAsia="宋体" w:hAnsi="宋体" w:hint="eastAsia"/>
          <w:b/>
          <w:color w:val="auto"/>
          <w:sz w:val="22"/>
          <w:highlight w:val="none"/>
          <w:lang w:eastAsia="zh-CN"/>
        </w:rPr>
      </w:pPr>
    </w:p>
    <w:bookmarkStart w:id="3" w:name="_bookmark0"/>
    <w:bookmarkStart w:id="4" w:name="第一章__竞争性磋商公告"/>
    <w:bookmarkEnd w:id="3"/>
    <w:bookmarkEnd w:id="4"/>
    <w:p w14:paraId="1E4DFC2A">
      <w:pPr>
        <w:pStyle w:val="style0"/>
        <w:spacing w:lineRule="auto" w:line="360"/>
        <w:jc w:val="center"/>
        <w:rPr>
          <w:rFonts w:ascii="宋体" w:cs="宋体" w:eastAsia="宋体" w:hAnsi="宋体" w:hint="eastAsia"/>
          <w:b/>
          <w:bCs/>
          <w:color w:val="auto"/>
          <w:sz w:val="28"/>
          <w:szCs w:val="28"/>
          <w:highlight w:val="none"/>
          <w:lang w:eastAsia="zh-CN"/>
        </w:rPr>
      </w:pPr>
      <w:r>
        <w:rPr>
          <w:rFonts w:ascii="宋体" w:cs="宋体" w:eastAsia="宋体" w:hAnsi="宋体" w:hint="eastAsia"/>
          <w:b/>
          <w:bCs/>
          <w:color w:val="auto"/>
          <w:sz w:val="28"/>
          <w:szCs w:val="28"/>
          <w:highlight w:val="none"/>
          <w:lang w:eastAsia="zh-CN"/>
        </w:rPr>
        <w:t>目</w:t>
      </w:r>
      <w:r>
        <w:rPr>
          <w:rFonts w:cs="宋体" w:hint="eastAsia"/>
          <w:b/>
          <w:bCs/>
          <w:color w:val="auto"/>
          <w:sz w:val="28"/>
          <w:szCs w:val="28"/>
          <w:highlight w:val="none"/>
          <w:lang w:val="en-US" w:eastAsia="zh-CN"/>
        </w:rPr>
        <w:t xml:space="preserve">  </w:t>
      </w:r>
      <w:r>
        <w:rPr>
          <w:rFonts w:ascii="宋体" w:cs="宋体" w:eastAsia="宋体" w:hAnsi="宋体" w:hint="eastAsia"/>
          <w:b/>
          <w:bCs/>
          <w:color w:val="auto"/>
          <w:sz w:val="28"/>
          <w:szCs w:val="28"/>
          <w:highlight w:val="none"/>
          <w:lang w:eastAsia="zh-CN"/>
        </w:rPr>
        <w:t>录</w:t>
      </w:r>
    </w:p>
    <w:p w14:paraId="3720C33F">
      <w:pPr>
        <w:pStyle w:val="style19"/>
        <w:tabs>
          <w:tab w:val="right" w:leader="dot" w:pos="9750"/>
        </w:tabs>
        <w:rPr/>
      </w:pPr>
      <w:r>
        <w:rPr>
          <w:rFonts w:ascii="宋体" w:cs="宋体" w:eastAsia="宋体" w:hAnsi="宋体" w:hint="eastAsia"/>
          <w:color w:val="auto"/>
          <w:sz w:val="28"/>
          <w:szCs w:val="28"/>
          <w:highlight w:val="none"/>
        </w:rPr>
        <w:fldChar w:fldCharType="begin"/>
      </w:r>
      <w:r>
        <w:rPr>
          <w:rFonts w:ascii="宋体" w:cs="宋体" w:eastAsia="宋体" w:hAnsi="宋体" w:hint="eastAsia"/>
          <w:color w:val="auto"/>
          <w:sz w:val="28"/>
          <w:szCs w:val="28"/>
          <w:highlight w:val="none"/>
        </w:rPr>
        <w:instrText xml:space="preserve">TOC \o "1-3" \h \u </w:instrText>
      </w:r>
      <w:r>
        <w:rPr>
          <w:rFonts w:ascii="宋体" w:cs="宋体" w:eastAsia="宋体" w:hAnsi="宋体" w:hint="eastAsia"/>
          <w:color w:val="auto"/>
          <w:sz w:val="28"/>
          <w:szCs w:val="28"/>
          <w:highlight w:val="none"/>
        </w:rPr>
        <w:fldChar w:fldCharType="separate"/>
      </w:r>
      <w:r>
        <w:rPr>
          <w:rFonts w:ascii="宋体" w:cs="宋体" w:eastAsia="宋体" w:hAnsi="宋体" w:hint="eastAsia"/>
          <w:color w:val="auto"/>
          <w:szCs w:val="28"/>
          <w:highlight w:val="none"/>
        </w:rPr>
        <w:fldChar w:fldCharType="begin"/>
      </w:r>
      <w:r>
        <w:rPr>
          <w:rFonts w:ascii="宋体" w:cs="宋体" w:eastAsia="宋体" w:hAnsi="宋体" w:hint="eastAsia"/>
          <w:szCs w:val="28"/>
          <w:highlight w:val="none"/>
        </w:rPr>
        <w:instrText xml:space="preserve"> HYPERLINK \l _Toc25922 </w:instrText>
      </w:r>
      <w:r>
        <w:rPr>
          <w:rFonts w:ascii="宋体" w:cs="宋体" w:eastAsia="宋体" w:hAnsi="宋体" w:hint="eastAsia"/>
          <w:szCs w:val="28"/>
          <w:highlight w:val="none"/>
        </w:rPr>
        <w:fldChar w:fldCharType="separate"/>
      </w:r>
      <w:r>
        <w:rPr>
          <w:rFonts w:ascii="宋体" w:cs="宋体" w:eastAsia="宋体" w:hAnsi="宋体" w:hint="eastAsia"/>
          <w:szCs w:val="32"/>
          <w:highlight w:val="none"/>
          <w:lang w:eastAsia="zh-CN"/>
        </w:rPr>
        <w:t>第一章</w:t>
      </w:r>
      <w:r>
        <w:rPr>
          <w:rFonts w:ascii="宋体" w:cs="宋体" w:eastAsia="宋体" w:hAnsi="宋体" w:hint="eastAsia"/>
          <w:szCs w:val="32"/>
          <w:highlight w:val="none"/>
          <w:lang w:val="en-US" w:eastAsia="zh-CN"/>
        </w:rPr>
        <w:t xml:space="preserve">  </w:t>
      </w:r>
      <w:r>
        <w:rPr>
          <w:rFonts w:ascii="宋体" w:cs="宋体" w:eastAsia="宋体" w:hAnsi="宋体" w:hint="eastAsia"/>
          <w:szCs w:val="32"/>
          <w:highlight w:val="none"/>
          <w:lang w:eastAsia="zh-CN"/>
        </w:rPr>
        <w:t>竞争性磋商公告</w:t>
      </w:r>
      <w:r>
        <w:tab/>
      </w:r>
      <w:r>
        <w:rPr/>
        <w:fldChar w:fldCharType="begin"/>
      </w:r>
      <w:r>
        <w:instrText xml:space="preserve"> PAGEREF _Toc25922 \h </w:instrText>
      </w:r>
      <w:r>
        <w:rPr/>
        <w:fldChar w:fldCharType="separate"/>
      </w:r>
      <w:r>
        <w:t>1</w:t>
      </w:r>
      <w:r>
        <w:rPr/>
        <w:fldChar w:fldCharType="end"/>
      </w:r>
      <w:r>
        <w:rPr>
          <w:rFonts w:ascii="宋体" w:cs="宋体" w:eastAsia="宋体" w:hAnsi="宋体" w:hint="eastAsia"/>
          <w:color w:val="auto"/>
          <w:szCs w:val="28"/>
          <w:highlight w:val="none"/>
        </w:rPr>
        <w:fldChar w:fldCharType="end"/>
      </w:r>
    </w:p>
    <w:p w14:paraId="1D2E68D1">
      <w:pPr>
        <w:pStyle w:val="style19"/>
        <w:tabs>
          <w:tab w:val="right" w:leader="dot" w:pos="9750"/>
        </w:tabs>
        <w:rPr/>
      </w:pPr>
      <w:r>
        <w:rPr>
          <w:rFonts w:ascii="宋体" w:cs="宋体" w:eastAsia="宋体" w:hAnsi="宋体" w:hint="eastAsia"/>
          <w:color w:val="auto"/>
          <w:szCs w:val="28"/>
          <w:highlight w:val="none"/>
        </w:rPr>
        <w:fldChar w:fldCharType="begin"/>
      </w:r>
      <w:r>
        <w:rPr>
          <w:rFonts w:ascii="宋体" w:cs="宋体" w:eastAsia="宋体" w:hAnsi="宋体" w:hint="eastAsia"/>
          <w:szCs w:val="28"/>
          <w:highlight w:val="none"/>
        </w:rPr>
        <w:instrText xml:space="preserve"> HYPERLINK \l _Toc9419 </w:instrText>
      </w:r>
      <w:r>
        <w:rPr>
          <w:rFonts w:ascii="宋体" w:cs="宋体" w:eastAsia="宋体" w:hAnsi="宋体" w:hint="eastAsia"/>
          <w:szCs w:val="28"/>
          <w:highlight w:val="none"/>
        </w:rPr>
        <w:fldChar w:fldCharType="separate"/>
      </w:r>
      <w:r>
        <w:rPr>
          <w:rFonts w:ascii="宋体" w:cs="宋体" w:eastAsia="宋体" w:hAnsi="宋体" w:hint="eastAsia"/>
          <w:szCs w:val="32"/>
          <w:highlight w:val="none"/>
          <w:lang w:eastAsia="zh-CN"/>
        </w:rPr>
        <w:t>第二章</w:t>
      </w:r>
      <w:r>
        <w:rPr>
          <w:rFonts w:ascii="宋体" w:cs="宋体" w:eastAsia="宋体" w:hAnsi="宋体" w:hint="eastAsia"/>
          <w:szCs w:val="32"/>
          <w:highlight w:val="none"/>
          <w:lang w:val="en-US" w:eastAsia="zh-CN"/>
        </w:rPr>
        <w:t xml:space="preserve">  </w:t>
      </w:r>
      <w:r>
        <w:rPr>
          <w:rFonts w:ascii="宋体" w:cs="宋体" w:eastAsia="宋体" w:hAnsi="宋体" w:hint="eastAsia"/>
          <w:szCs w:val="32"/>
          <w:highlight w:val="none"/>
          <w:lang w:eastAsia="zh-CN"/>
        </w:rPr>
        <w:t>供应商须知</w:t>
      </w:r>
      <w:r>
        <w:tab/>
      </w:r>
      <w:r>
        <w:rPr/>
        <w:fldChar w:fldCharType="begin"/>
      </w:r>
      <w:r>
        <w:instrText xml:space="preserve"> PAGEREF _Toc9419 \h </w:instrText>
      </w:r>
      <w:r>
        <w:rPr/>
        <w:fldChar w:fldCharType="separate"/>
      </w:r>
      <w:r>
        <w:t>5</w:t>
      </w:r>
      <w:r>
        <w:rPr/>
        <w:fldChar w:fldCharType="end"/>
      </w:r>
      <w:r>
        <w:rPr>
          <w:rFonts w:ascii="宋体" w:cs="宋体" w:eastAsia="宋体" w:hAnsi="宋体" w:hint="eastAsia"/>
          <w:color w:val="auto"/>
          <w:szCs w:val="28"/>
          <w:highlight w:val="none"/>
        </w:rPr>
        <w:fldChar w:fldCharType="end"/>
      </w:r>
    </w:p>
    <w:p w14:paraId="386F2B42">
      <w:pPr>
        <w:pStyle w:val="style19"/>
        <w:tabs>
          <w:tab w:val="right" w:leader="dot" w:pos="9750"/>
        </w:tabs>
        <w:rPr/>
      </w:pPr>
      <w:r>
        <w:rPr>
          <w:rFonts w:ascii="宋体" w:cs="宋体" w:eastAsia="宋体" w:hAnsi="宋体" w:hint="eastAsia"/>
          <w:color w:val="auto"/>
          <w:szCs w:val="28"/>
          <w:highlight w:val="none"/>
        </w:rPr>
        <w:fldChar w:fldCharType="begin"/>
      </w:r>
      <w:r>
        <w:rPr>
          <w:rFonts w:ascii="宋体" w:cs="宋体" w:eastAsia="宋体" w:hAnsi="宋体" w:hint="eastAsia"/>
          <w:szCs w:val="28"/>
          <w:highlight w:val="none"/>
        </w:rPr>
        <w:instrText xml:space="preserve"> HYPERLINK \l _Toc22318 </w:instrText>
      </w:r>
      <w:r>
        <w:rPr>
          <w:rFonts w:ascii="宋体" w:cs="宋体" w:eastAsia="宋体" w:hAnsi="宋体" w:hint="eastAsia"/>
          <w:szCs w:val="28"/>
          <w:highlight w:val="none"/>
        </w:rPr>
        <w:fldChar w:fldCharType="separate"/>
      </w:r>
      <w:r>
        <w:rPr>
          <w:rFonts w:ascii="宋体" w:cs="宋体" w:eastAsia="宋体" w:hAnsi="宋体" w:hint="eastAsia"/>
          <w:szCs w:val="32"/>
          <w:highlight w:val="none"/>
          <w:lang w:eastAsia="zh-CN"/>
        </w:rPr>
        <w:t>第三章</w:t>
      </w:r>
      <w:r>
        <w:rPr>
          <w:rFonts w:ascii="宋体" w:cs="宋体" w:eastAsia="宋体" w:hAnsi="宋体" w:hint="eastAsia"/>
          <w:szCs w:val="32"/>
          <w:highlight w:val="none"/>
          <w:lang w:val="en-US" w:eastAsia="zh-CN"/>
        </w:rPr>
        <w:t xml:space="preserve">  </w:t>
      </w:r>
      <w:r>
        <w:rPr>
          <w:rFonts w:ascii="宋体" w:cs="宋体" w:eastAsia="宋体" w:hAnsi="宋体" w:hint="eastAsia"/>
          <w:szCs w:val="32"/>
          <w:highlight w:val="none"/>
          <w:lang w:eastAsia="zh-CN"/>
        </w:rPr>
        <w:t>评审办法（综合评分法）</w:t>
      </w:r>
      <w:r>
        <w:tab/>
      </w:r>
      <w:r>
        <w:rPr/>
        <w:fldChar w:fldCharType="begin"/>
      </w:r>
      <w:r>
        <w:instrText xml:space="preserve"> PAGEREF _Toc22318 \h </w:instrText>
      </w:r>
      <w:r>
        <w:rPr/>
        <w:fldChar w:fldCharType="separate"/>
      </w:r>
      <w:r>
        <w:t>18</w:t>
      </w:r>
      <w:r>
        <w:rPr/>
        <w:fldChar w:fldCharType="end"/>
      </w:r>
      <w:r>
        <w:rPr>
          <w:rFonts w:ascii="宋体" w:cs="宋体" w:eastAsia="宋体" w:hAnsi="宋体" w:hint="eastAsia"/>
          <w:color w:val="auto"/>
          <w:szCs w:val="28"/>
          <w:highlight w:val="none"/>
        </w:rPr>
        <w:fldChar w:fldCharType="end"/>
      </w:r>
    </w:p>
    <w:p w14:paraId="09FE953A">
      <w:pPr>
        <w:pStyle w:val="style19"/>
        <w:tabs>
          <w:tab w:val="right" w:leader="dot" w:pos="9750"/>
        </w:tabs>
        <w:rPr/>
      </w:pPr>
      <w:r>
        <w:rPr>
          <w:rFonts w:ascii="宋体" w:cs="宋体" w:eastAsia="宋体" w:hAnsi="宋体" w:hint="eastAsia"/>
          <w:color w:val="auto"/>
          <w:szCs w:val="28"/>
          <w:highlight w:val="none"/>
        </w:rPr>
        <w:fldChar w:fldCharType="begin"/>
      </w:r>
      <w:r>
        <w:rPr>
          <w:rFonts w:ascii="宋体" w:cs="宋体" w:eastAsia="宋体" w:hAnsi="宋体" w:hint="eastAsia"/>
          <w:szCs w:val="28"/>
          <w:highlight w:val="none"/>
        </w:rPr>
        <w:instrText xml:space="preserve"> HYPERLINK \l _Toc22610 </w:instrText>
      </w:r>
      <w:r>
        <w:rPr>
          <w:rFonts w:ascii="宋体" w:cs="宋体" w:eastAsia="宋体" w:hAnsi="宋体" w:hint="eastAsia"/>
          <w:szCs w:val="28"/>
          <w:highlight w:val="none"/>
        </w:rPr>
        <w:fldChar w:fldCharType="separate"/>
      </w:r>
      <w:r>
        <w:rPr>
          <w:rFonts w:ascii="宋体" w:cs="宋体" w:eastAsia="宋体" w:hAnsi="宋体" w:hint="eastAsia"/>
          <w:szCs w:val="32"/>
          <w:highlight w:val="none"/>
          <w:lang w:val="en-US" w:eastAsia="zh-CN"/>
        </w:rPr>
        <w:t xml:space="preserve">第四章  </w:t>
      </w:r>
      <w:r>
        <w:rPr>
          <w:rFonts w:ascii="宋体" w:cs="宋体" w:eastAsia="宋体" w:hAnsi="宋体" w:hint="eastAsia"/>
          <w:szCs w:val="32"/>
          <w:highlight w:val="none"/>
        </w:rPr>
        <w:t>合同条款及格式</w:t>
      </w:r>
      <w:r>
        <w:tab/>
      </w:r>
      <w:r>
        <w:rPr/>
        <w:fldChar w:fldCharType="begin"/>
      </w:r>
      <w:r>
        <w:instrText xml:space="preserve"> PAGEREF _Toc22610 \h </w:instrText>
      </w:r>
      <w:r>
        <w:rPr/>
        <w:fldChar w:fldCharType="separate"/>
      </w:r>
      <w:r>
        <w:t>27</w:t>
      </w:r>
      <w:r>
        <w:rPr/>
        <w:fldChar w:fldCharType="end"/>
      </w:r>
      <w:r>
        <w:rPr>
          <w:rFonts w:ascii="宋体" w:cs="宋体" w:eastAsia="宋体" w:hAnsi="宋体" w:hint="eastAsia"/>
          <w:color w:val="auto"/>
          <w:szCs w:val="28"/>
          <w:highlight w:val="none"/>
        </w:rPr>
        <w:fldChar w:fldCharType="end"/>
      </w:r>
    </w:p>
    <w:p w14:paraId="3851F678">
      <w:pPr>
        <w:pStyle w:val="style19"/>
        <w:tabs>
          <w:tab w:val="right" w:leader="dot" w:pos="9750"/>
        </w:tabs>
        <w:rPr/>
      </w:pPr>
      <w:r>
        <w:rPr>
          <w:rFonts w:ascii="宋体" w:cs="宋体" w:eastAsia="宋体" w:hAnsi="宋体" w:hint="eastAsia"/>
          <w:color w:val="auto"/>
          <w:szCs w:val="28"/>
          <w:highlight w:val="none"/>
        </w:rPr>
        <w:fldChar w:fldCharType="begin"/>
      </w:r>
      <w:r>
        <w:rPr>
          <w:rFonts w:ascii="宋体" w:cs="宋体" w:eastAsia="宋体" w:hAnsi="宋体" w:hint="eastAsia"/>
          <w:szCs w:val="28"/>
          <w:highlight w:val="none"/>
        </w:rPr>
        <w:instrText xml:space="preserve"> HYPERLINK \l _Toc17660 </w:instrText>
      </w:r>
      <w:r>
        <w:rPr>
          <w:rFonts w:ascii="宋体" w:cs="宋体" w:eastAsia="宋体" w:hAnsi="宋体" w:hint="eastAsia"/>
          <w:szCs w:val="28"/>
          <w:highlight w:val="none"/>
        </w:rPr>
        <w:fldChar w:fldCharType="separate"/>
      </w:r>
      <w:r>
        <w:rPr>
          <w:rFonts w:ascii="宋体" w:cs="宋体" w:eastAsia="宋体" w:hAnsi="宋体" w:hint="eastAsia"/>
          <w:szCs w:val="32"/>
          <w:highlight w:val="none"/>
          <w:lang w:eastAsia="zh-CN"/>
        </w:rPr>
        <w:t>第五章</w:t>
      </w:r>
      <w:r>
        <w:rPr>
          <w:rFonts w:ascii="宋体" w:cs="宋体" w:eastAsia="宋体" w:hAnsi="宋体" w:hint="eastAsia"/>
          <w:szCs w:val="32"/>
          <w:highlight w:val="none"/>
          <w:lang w:val="en-US" w:eastAsia="zh-CN"/>
        </w:rPr>
        <w:t xml:space="preserve">  项目需求及技术要求</w:t>
      </w:r>
      <w:r>
        <w:tab/>
      </w:r>
      <w:r>
        <w:rPr/>
        <w:fldChar w:fldCharType="begin"/>
      </w:r>
      <w:r>
        <w:instrText xml:space="preserve"> PAGEREF _Toc17660 \h </w:instrText>
      </w:r>
      <w:r>
        <w:rPr/>
        <w:fldChar w:fldCharType="separate"/>
      </w:r>
      <w:r>
        <w:t>31</w:t>
      </w:r>
      <w:r>
        <w:rPr/>
        <w:fldChar w:fldCharType="end"/>
      </w:r>
      <w:r>
        <w:rPr>
          <w:rFonts w:ascii="宋体" w:cs="宋体" w:eastAsia="宋体" w:hAnsi="宋体" w:hint="eastAsia"/>
          <w:color w:val="auto"/>
          <w:szCs w:val="28"/>
          <w:highlight w:val="none"/>
        </w:rPr>
        <w:fldChar w:fldCharType="end"/>
      </w:r>
    </w:p>
    <w:p w14:paraId="466A0FA9">
      <w:pPr>
        <w:pStyle w:val="style19"/>
        <w:tabs>
          <w:tab w:val="right" w:leader="dot" w:pos="9750"/>
        </w:tabs>
        <w:rPr/>
      </w:pPr>
      <w:r>
        <w:rPr>
          <w:rFonts w:ascii="宋体" w:cs="宋体" w:eastAsia="宋体" w:hAnsi="宋体" w:hint="eastAsia"/>
          <w:color w:val="auto"/>
          <w:szCs w:val="28"/>
          <w:highlight w:val="none"/>
        </w:rPr>
        <w:fldChar w:fldCharType="begin"/>
      </w:r>
      <w:r>
        <w:rPr>
          <w:rFonts w:ascii="宋体" w:cs="宋体" w:eastAsia="宋体" w:hAnsi="宋体" w:hint="eastAsia"/>
          <w:szCs w:val="28"/>
          <w:highlight w:val="none"/>
        </w:rPr>
        <w:instrText xml:space="preserve"> HYPERLINK \l _Toc30449 </w:instrText>
      </w:r>
      <w:r>
        <w:rPr>
          <w:rFonts w:ascii="宋体" w:cs="宋体" w:eastAsia="宋体" w:hAnsi="宋体" w:hint="eastAsia"/>
          <w:szCs w:val="28"/>
          <w:highlight w:val="none"/>
        </w:rPr>
        <w:fldChar w:fldCharType="separate"/>
      </w:r>
      <w:r>
        <w:rPr>
          <w:rFonts w:ascii="宋体" w:cs="宋体" w:eastAsia="宋体" w:hAnsi="宋体" w:hint="eastAsia"/>
          <w:szCs w:val="32"/>
          <w:highlight w:val="none"/>
          <w:lang w:eastAsia="zh-CN"/>
        </w:rPr>
        <w:t>第六章</w:t>
      </w:r>
      <w:r>
        <w:rPr>
          <w:rFonts w:ascii="宋体" w:cs="宋体" w:eastAsia="宋体" w:hAnsi="宋体" w:hint="eastAsia"/>
          <w:szCs w:val="32"/>
          <w:highlight w:val="none"/>
          <w:lang w:val="en-US" w:eastAsia="zh-CN"/>
        </w:rPr>
        <w:t xml:space="preserve">  </w:t>
      </w:r>
      <w:r>
        <w:rPr>
          <w:rFonts w:ascii="宋体" w:cs="宋体" w:eastAsia="宋体" w:hAnsi="宋体" w:hint="eastAsia"/>
          <w:szCs w:val="32"/>
          <w:highlight w:val="none"/>
          <w:lang w:eastAsia="zh-CN"/>
        </w:rPr>
        <w:t>响应文件格式</w:t>
      </w:r>
      <w:r>
        <w:tab/>
      </w:r>
      <w:r>
        <w:rPr/>
        <w:fldChar w:fldCharType="begin"/>
      </w:r>
      <w:r>
        <w:instrText xml:space="preserve"> PAGEREF _Toc30449 \h </w:instrText>
      </w:r>
      <w:r>
        <w:rPr/>
        <w:fldChar w:fldCharType="separate"/>
      </w:r>
      <w:r>
        <w:t>80</w:t>
      </w:r>
      <w:r>
        <w:rPr/>
        <w:fldChar w:fldCharType="end"/>
      </w:r>
      <w:r>
        <w:rPr>
          <w:rFonts w:ascii="宋体" w:cs="宋体" w:eastAsia="宋体" w:hAnsi="宋体" w:hint="eastAsia"/>
          <w:color w:val="auto"/>
          <w:szCs w:val="28"/>
          <w:highlight w:val="none"/>
        </w:rPr>
        <w:fldChar w:fldCharType="end"/>
      </w:r>
    </w:p>
    <w:p w14:paraId="0765088E">
      <w:pPr>
        <w:pStyle w:val="style21"/>
        <w:tabs>
          <w:tab w:val="right" w:leader="dot" w:pos="9750"/>
        </w:tabs>
        <w:rPr/>
      </w:pPr>
    </w:p>
    <w:p w14:paraId="6176DFE1">
      <w:pPr>
        <w:pStyle w:val="style0"/>
        <w:spacing w:lineRule="auto" w:line="360"/>
        <w:rPr>
          <w:rFonts w:ascii="宋体" w:cs="宋体" w:eastAsia="宋体" w:hAnsi="宋体" w:hint="eastAsia"/>
          <w:color w:val="auto"/>
          <w:sz w:val="28"/>
          <w:szCs w:val="28"/>
          <w:highlight w:val="none"/>
        </w:rPr>
      </w:pPr>
      <w:r>
        <w:rPr>
          <w:rFonts w:ascii="宋体" w:cs="宋体" w:eastAsia="宋体" w:hAnsi="宋体" w:hint="eastAsia"/>
          <w:color w:val="auto"/>
          <w:szCs w:val="28"/>
          <w:highlight w:val="none"/>
        </w:rPr>
        <w:fldChar w:fldCharType="end"/>
      </w:r>
    </w:p>
    <w:p w14:paraId="0558CE8F">
      <w:pPr>
        <w:pStyle w:val="style78"/>
        <w:spacing w:lineRule="auto" w:line="360"/>
        <w:ind w:left="440" w:firstLine="560"/>
        <w:rPr>
          <w:rFonts w:ascii="宋体" w:cs="宋体" w:eastAsia="宋体" w:hAnsi="宋体" w:hint="eastAsia"/>
          <w:color w:val="auto"/>
          <w:sz w:val="28"/>
          <w:szCs w:val="28"/>
          <w:highlight w:val="none"/>
        </w:rPr>
      </w:pPr>
    </w:p>
    <w:p w14:paraId="10CCEE64">
      <w:pPr>
        <w:pStyle w:val="style78"/>
        <w:spacing w:lineRule="auto" w:line="360"/>
        <w:ind w:left="440" w:firstLine="440"/>
        <w:rPr>
          <w:rFonts w:ascii="宋体" w:cs="宋体" w:eastAsia="宋体" w:hAnsi="宋体" w:hint="eastAsia"/>
          <w:color w:val="auto"/>
          <w:sz w:val="22"/>
          <w:highlight w:val="none"/>
        </w:rPr>
      </w:pPr>
    </w:p>
    <w:p w14:paraId="0166F3F5">
      <w:pPr>
        <w:pStyle w:val="style78"/>
        <w:spacing w:lineRule="auto" w:line="360"/>
        <w:ind w:left="440" w:firstLine="440"/>
        <w:rPr>
          <w:rFonts w:ascii="宋体" w:cs="宋体" w:eastAsia="宋体" w:hAnsi="宋体" w:hint="eastAsia"/>
          <w:color w:val="auto"/>
          <w:sz w:val="22"/>
          <w:highlight w:val="none"/>
        </w:rPr>
      </w:pPr>
    </w:p>
    <w:p w14:paraId="30935257">
      <w:pPr>
        <w:pStyle w:val="style78"/>
        <w:tabs>
          <w:tab w:val="left" w:leader="none" w:pos="2366"/>
          <w:tab w:val="left" w:leader="none" w:pos="6280"/>
        </w:tabs>
        <w:spacing w:lineRule="auto" w:line="360"/>
        <w:ind w:left="440" w:firstLine="440"/>
        <w:rPr>
          <w:rFonts w:ascii="宋体" w:cs="宋体" w:eastAsia="宋体" w:hAnsi="宋体" w:hint="eastAsia"/>
          <w:color w:val="auto"/>
          <w:sz w:val="22"/>
          <w:highlight w:val="none"/>
          <w:lang w:eastAsia="zh-CN"/>
        </w:rPr>
      </w:pPr>
      <w:r>
        <w:rPr>
          <w:rFonts w:ascii="宋体" w:cs="宋体" w:eastAsia="宋体" w:hAnsi="宋体" w:hint="eastAsia"/>
          <w:color w:val="auto"/>
          <w:sz w:val="22"/>
          <w:highlight w:val="none"/>
          <w:lang w:eastAsia="zh-CN"/>
        </w:rPr>
        <w:tab/>
      </w:r>
      <w:r>
        <w:rPr>
          <w:rFonts w:ascii="宋体" w:cs="宋体" w:eastAsia="宋体" w:hAnsi="宋体" w:hint="eastAsia"/>
          <w:color w:val="auto"/>
          <w:sz w:val="22"/>
          <w:highlight w:val="none"/>
          <w:lang w:eastAsia="zh-CN"/>
        </w:rPr>
        <w:tab/>
      </w:r>
    </w:p>
    <w:p w14:paraId="2447F236">
      <w:pPr>
        <w:pStyle w:val="style78"/>
        <w:spacing w:lineRule="auto" w:line="360"/>
        <w:ind w:left="440" w:firstLine="440"/>
        <w:rPr>
          <w:rFonts w:ascii="宋体" w:cs="宋体" w:eastAsia="宋体" w:hAnsi="宋体" w:hint="eastAsia"/>
          <w:color w:val="auto"/>
          <w:sz w:val="22"/>
          <w:highlight w:val="none"/>
        </w:rPr>
      </w:pPr>
    </w:p>
    <w:p w14:paraId="2CDF361B">
      <w:pPr>
        <w:pStyle w:val="style78"/>
        <w:spacing w:lineRule="auto" w:line="360"/>
        <w:ind w:left="440" w:firstLine="440"/>
        <w:rPr>
          <w:rFonts w:ascii="宋体" w:cs="宋体" w:eastAsia="宋体" w:hAnsi="宋体" w:hint="eastAsia"/>
          <w:color w:val="auto"/>
          <w:sz w:val="22"/>
          <w:highlight w:val="none"/>
        </w:rPr>
      </w:pPr>
    </w:p>
    <w:p w14:paraId="04CEA514">
      <w:pPr>
        <w:pStyle w:val="style78"/>
        <w:spacing w:lineRule="auto" w:line="360"/>
        <w:ind w:left="440" w:firstLine="440"/>
        <w:rPr>
          <w:rFonts w:ascii="宋体" w:cs="宋体" w:eastAsia="宋体" w:hAnsi="宋体" w:hint="eastAsia"/>
          <w:color w:val="auto"/>
          <w:sz w:val="22"/>
          <w:highlight w:val="none"/>
        </w:rPr>
      </w:pPr>
    </w:p>
    <w:p w14:paraId="05660230">
      <w:pPr>
        <w:pStyle w:val="style78"/>
        <w:spacing w:lineRule="auto" w:line="360"/>
        <w:ind w:left="440" w:firstLine="440"/>
        <w:rPr>
          <w:rFonts w:ascii="宋体" w:cs="宋体" w:eastAsia="宋体" w:hAnsi="宋体" w:hint="eastAsia"/>
          <w:color w:val="auto"/>
          <w:sz w:val="22"/>
          <w:highlight w:val="none"/>
        </w:rPr>
      </w:pPr>
    </w:p>
    <w:p w14:paraId="058544A5">
      <w:pPr>
        <w:pStyle w:val="style78"/>
        <w:spacing w:lineRule="auto" w:line="360"/>
        <w:ind w:left="440" w:firstLine="440"/>
        <w:rPr>
          <w:rFonts w:ascii="宋体" w:cs="宋体" w:eastAsia="宋体" w:hAnsi="宋体" w:hint="eastAsia"/>
          <w:color w:val="auto"/>
          <w:sz w:val="22"/>
          <w:highlight w:val="none"/>
        </w:rPr>
      </w:pPr>
    </w:p>
    <w:p w14:paraId="24801B8C">
      <w:pPr>
        <w:pStyle w:val="style78"/>
        <w:spacing w:lineRule="auto" w:line="360"/>
        <w:ind w:left="440" w:firstLine="440"/>
        <w:rPr>
          <w:rFonts w:ascii="宋体" w:cs="宋体" w:eastAsia="宋体" w:hAnsi="宋体" w:hint="eastAsia"/>
          <w:color w:val="auto"/>
          <w:sz w:val="22"/>
          <w:highlight w:val="none"/>
        </w:rPr>
      </w:pPr>
    </w:p>
    <w:p w14:paraId="2B65B24B">
      <w:pPr>
        <w:pStyle w:val="style78"/>
        <w:spacing w:lineRule="auto" w:line="360"/>
        <w:ind w:left="440" w:firstLine="440"/>
        <w:rPr>
          <w:rFonts w:ascii="宋体" w:cs="宋体" w:eastAsia="宋体" w:hAnsi="宋体" w:hint="eastAsia"/>
          <w:color w:val="auto"/>
          <w:sz w:val="22"/>
          <w:highlight w:val="none"/>
        </w:rPr>
      </w:pPr>
    </w:p>
    <w:p w14:paraId="4225AB91">
      <w:pPr>
        <w:pStyle w:val="style78"/>
        <w:spacing w:lineRule="auto" w:line="360"/>
        <w:ind w:left="440" w:firstLine="440"/>
        <w:rPr>
          <w:rFonts w:ascii="宋体" w:cs="宋体" w:eastAsia="宋体" w:hAnsi="宋体" w:hint="eastAsia"/>
          <w:color w:val="auto"/>
          <w:sz w:val="22"/>
          <w:highlight w:val="none"/>
        </w:rPr>
        <w:sectPr>
          <w:headerReference w:type="default" r:id="rId6"/>
          <w:footerReference w:type="default" r:id="rId7"/>
          <w:pgSz w:w="11910" w:h="16840" w:orient="portrait"/>
          <w:pgMar w:top="1440" w:right="1080" w:bottom="1440" w:left="1080" w:header="878" w:footer="1130" w:gutter="0"/>
          <w:pgNumType w:fmt="decimal" w:start="1"/>
          <w:cols w:space="720" w:num="1"/>
        </w:sectPr>
      </w:pPr>
    </w:p>
    <w:p w14:paraId="58A8A362">
      <w:pPr>
        <w:pStyle w:val="style0"/>
        <w:rPr>
          <w:rFonts w:ascii="宋体" w:cs="宋体" w:eastAsia="宋体" w:hAnsi="宋体" w:hint="eastAsia"/>
        </w:rPr>
      </w:pPr>
    </w:p>
    <w:bookmarkStart w:id="5" w:name="_bookmark1"/>
    <w:bookmarkStart w:id="6" w:name="_Toc25922"/>
    <w:bookmarkEnd w:id="5"/>
    <w:p w14:paraId="4C463439">
      <w:pPr>
        <w:pStyle w:val="style0"/>
        <w:tabs>
          <w:tab w:val="left" w:leader="none" w:pos="4280"/>
        </w:tabs>
        <w:spacing w:before="201" w:lineRule="auto" w:line="360"/>
        <w:jc w:val="center"/>
        <w:outlineLvl w:val="0"/>
        <w:rPr>
          <w:rFonts w:ascii="宋体" w:cs="宋体" w:eastAsia="宋体" w:hAnsi="宋体" w:hint="eastAsia"/>
          <w:b/>
          <w:color w:val="auto"/>
          <w:sz w:val="32"/>
          <w:szCs w:val="32"/>
          <w:highlight w:val="none"/>
          <w:lang w:eastAsia="zh-CN"/>
        </w:rPr>
      </w:pPr>
      <w:r>
        <w:rPr>
          <w:rFonts w:ascii="宋体" w:cs="宋体" w:eastAsia="宋体" w:hAnsi="宋体" w:hint="eastAsia"/>
          <w:b/>
          <w:color w:val="auto"/>
          <w:sz w:val="32"/>
          <w:szCs w:val="32"/>
          <w:highlight w:val="none"/>
          <w:lang w:eastAsia="zh-CN"/>
        </w:rPr>
        <w:t>第一章</w:t>
      </w:r>
      <w:r>
        <w:rPr>
          <w:rFonts w:ascii="宋体" w:cs="宋体" w:eastAsia="宋体" w:hAnsi="宋体" w:hint="eastAsia"/>
          <w:b/>
          <w:color w:val="auto"/>
          <w:sz w:val="32"/>
          <w:szCs w:val="32"/>
          <w:highlight w:val="none"/>
          <w:lang w:val="en-US" w:eastAsia="zh-CN"/>
        </w:rPr>
        <w:t xml:space="preserve">  </w:t>
      </w:r>
      <w:r>
        <w:rPr>
          <w:rFonts w:ascii="宋体" w:cs="宋体" w:eastAsia="宋体" w:hAnsi="宋体" w:hint="eastAsia"/>
          <w:b/>
          <w:color w:val="auto"/>
          <w:sz w:val="32"/>
          <w:szCs w:val="32"/>
          <w:highlight w:val="none"/>
          <w:lang w:eastAsia="zh-CN"/>
        </w:rPr>
        <w:t>竞争性磋商公告</w:t>
      </w:r>
      <w:bookmarkEnd w:id="6"/>
    </w:p>
    <w:p w14:paraId="46C5CCA1">
      <w:pPr>
        <w:pStyle w:val="style414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bidi w:val="false"/>
        <w:adjustRightInd w:val="false"/>
        <w:snapToGrid w:val="false"/>
        <w:spacing w:beforeAutospacing="false" w:afterAutospacing="false" w:lineRule="auto" w:line="360"/>
        <w:ind w:left="0" w:right="0" w:firstLine="480" w:firstLineChars="200"/>
        <w:textAlignment w:val="auto"/>
        <w:rPr>
          <w:rFonts w:ascii="宋体" w:cs="宋体" w:eastAsia="宋体" w:hAnsi="宋体" w:hint="eastAsia"/>
          <w:b w:val="false"/>
          <w:bCs w:val="false"/>
          <w:i w:val="false"/>
          <w:iCs w:val="false"/>
          <w:color w:val="000000"/>
          <w:sz w:val="24"/>
          <w:szCs w:val="24"/>
        </w:rPr>
      </w:pPr>
      <w:r>
        <w:rPr>
          <w:rFonts w:ascii="宋体" w:cs="宋体" w:eastAsia="宋体" w:hAnsi="宋体" w:hint="eastAsia"/>
          <w:b w:val="false"/>
          <w:bCs w:val="false"/>
          <w:i w:val="false"/>
          <w:iCs w:val="false"/>
          <w:color w:val="000000"/>
          <w:sz w:val="24"/>
          <w:szCs w:val="24"/>
        </w:rPr>
        <w:t>项目概况</w:t>
      </w:r>
    </w:p>
    <w:p w14:paraId="08FEDBFF">
      <w:pPr>
        <w:pStyle w:val="style4140"/>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val="false"/>
        <w:overflowPunct/>
        <w:topLinePunct w:val="false"/>
        <w:bidi w:val="false"/>
        <w:adjustRightInd w:val="false"/>
        <w:snapToGrid w:val="false"/>
        <w:spacing w:beforeAutospacing="false" w:afterAutospacing="false" w:lineRule="auto" w:line="360"/>
        <w:ind w:left="0" w:right="0" w:firstLine="480" w:firstLineChars="200"/>
        <w:textAlignment w:val="auto"/>
        <w:rPr>
          <w:rFonts w:ascii="宋体" w:cs="宋体" w:eastAsia="宋体" w:hAnsi="宋体" w:hint="eastAsia"/>
          <w:b w:val="false"/>
          <w:bCs w:val="false"/>
          <w:i w:val="false"/>
          <w:iCs w:val="false"/>
          <w:color w:val="000000"/>
          <w:sz w:val="24"/>
          <w:szCs w:val="24"/>
          <w:u w:val="none"/>
        </w:rPr>
      </w:pPr>
      <w:r>
        <w:rPr>
          <w:rFonts w:ascii="宋体" w:cs="宋体" w:eastAsia="宋体" w:hAnsi="宋体" w:hint="eastAsia"/>
          <w:b w:val="false"/>
          <w:bCs w:val="false"/>
          <w:i w:val="false"/>
          <w:iCs w:val="false"/>
          <w:color w:val="000000"/>
          <w:sz w:val="24"/>
          <w:szCs w:val="24"/>
          <w:u w:val="none"/>
          <w:lang w:val="en-US" w:eastAsia="zh-CN"/>
        </w:rPr>
        <w:t>河南城建学院智慧城市行业学院项目</w:t>
      </w:r>
      <w:r>
        <w:rPr>
          <w:rFonts w:ascii="宋体" w:cs="宋体" w:eastAsia="宋体" w:hAnsi="宋体" w:hint="eastAsia"/>
          <w:b w:val="false"/>
          <w:bCs w:val="false"/>
          <w:i w:val="false"/>
          <w:iCs w:val="false"/>
          <w:color w:val="000000"/>
          <w:sz w:val="24"/>
          <w:szCs w:val="24"/>
          <w:u w:val="none"/>
        </w:rPr>
        <w:t>的潜在投标人应在</w:t>
      </w:r>
      <w:r>
        <w:rPr>
          <w:rFonts w:ascii="宋体" w:cs="宋体" w:eastAsia="宋体" w:hAnsi="宋体" w:hint="eastAsia"/>
          <w:b w:val="false"/>
          <w:bCs w:val="false"/>
          <w:i w:val="false"/>
          <w:iCs w:val="false"/>
          <w:color w:val="000000"/>
          <w:sz w:val="24"/>
          <w:szCs w:val="24"/>
          <w:u w:val="none"/>
          <w:lang w:eastAsia="zh-CN"/>
        </w:rPr>
        <w:t>河南省公共资源交易中心电子交易平台</w:t>
      </w:r>
      <w:r>
        <w:rPr>
          <w:rFonts w:ascii="宋体" w:cs="宋体" w:eastAsia="宋体" w:hAnsi="宋体" w:hint="eastAsia"/>
          <w:b w:val="false"/>
          <w:bCs w:val="false"/>
          <w:i w:val="false"/>
          <w:iCs w:val="false"/>
          <w:color w:val="000000"/>
          <w:sz w:val="24"/>
          <w:szCs w:val="24"/>
          <w:u w:val="none"/>
        </w:rPr>
        <w:t>获取招标文件，并于202</w:t>
      </w:r>
      <w:r>
        <w:rPr>
          <w:rFonts w:ascii="宋体" w:cs="宋体" w:eastAsia="宋体" w:hAnsi="宋体" w:hint="eastAsia"/>
          <w:b w:val="false"/>
          <w:bCs w:val="false"/>
          <w:i w:val="false"/>
          <w:iCs w:val="false"/>
          <w:color w:val="000000"/>
          <w:sz w:val="24"/>
          <w:szCs w:val="24"/>
          <w:u w:val="none"/>
          <w:lang w:val="en-US" w:eastAsia="zh-CN"/>
        </w:rPr>
        <w:t>5</w:t>
      </w:r>
      <w:r>
        <w:rPr>
          <w:rFonts w:ascii="宋体" w:cs="宋体" w:eastAsia="宋体" w:hAnsi="宋体" w:hint="eastAsia"/>
          <w:b w:val="false"/>
          <w:bCs w:val="false"/>
          <w:i w:val="false"/>
          <w:iCs w:val="false"/>
          <w:color w:val="000000"/>
          <w:sz w:val="24"/>
          <w:szCs w:val="24"/>
          <w:u w:val="none"/>
        </w:rPr>
        <w:t>年</w:t>
      </w:r>
      <w:r>
        <w:rPr>
          <w:rFonts w:ascii="宋体" w:cs="宋体" w:eastAsia="宋体" w:hAnsi="宋体" w:hint="eastAsia"/>
          <w:b w:val="false"/>
          <w:bCs w:val="false"/>
          <w:i w:val="false"/>
          <w:iCs w:val="false"/>
          <w:color w:val="000000"/>
          <w:sz w:val="24"/>
          <w:szCs w:val="24"/>
          <w:u w:val="none"/>
          <w:lang w:val="en-US" w:eastAsia="zh-CN"/>
        </w:rPr>
        <w:t>09月</w:t>
      </w:r>
      <w:r>
        <w:rPr>
          <w:rFonts w:cs="宋体" w:hint="eastAsia"/>
          <w:b w:val="false"/>
          <w:bCs w:val="false"/>
          <w:i w:val="false"/>
          <w:iCs w:val="false"/>
          <w:color w:val="000000"/>
          <w:sz w:val="24"/>
          <w:szCs w:val="24"/>
          <w:u w:val="none"/>
          <w:lang w:val="en-US" w:eastAsia="zh-CN"/>
        </w:rPr>
        <w:t>19</w:t>
      </w:r>
      <w:r>
        <w:rPr>
          <w:rFonts w:ascii="宋体" w:cs="宋体" w:eastAsia="宋体" w:hAnsi="宋体" w:hint="eastAsia"/>
          <w:b w:val="false"/>
          <w:bCs w:val="false"/>
          <w:i w:val="false"/>
          <w:iCs w:val="false"/>
          <w:color w:val="000000"/>
          <w:sz w:val="24"/>
          <w:szCs w:val="24"/>
          <w:u w:val="none"/>
        </w:rPr>
        <w:t>日09时0</w:t>
      </w:r>
      <w:r>
        <w:rPr>
          <w:rFonts w:ascii="宋体" w:cs="宋体" w:eastAsia="宋体" w:hAnsi="宋体" w:hint="eastAsia"/>
          <w:b w:val="false"/>
          <w:bCs w:val="false"/>
          <w:i w:val="false"/>
          <w:iCs w:val="false"/>
          <w:color w:val="000000"/>
          <w:sz w:val="24"/>
          <w:szCs w:val="24"/>
          <w:u w:val="none"/>
          <w:lang w:val="en-US" w:eastAsia="zh-CN"/>
        </w:rPr>
        <w:t>0分</w:t>
      </w:r>
      <w:r>
        <w:rPr>
          <w:rFonts w:ascii="宋体" w:cs="宋体" w:eastAsia="宋体" w:hAnsi="宋体" w:hint="eastAsia"/>
          <w:b w:val="false"/>
          <w:bCs w:val="false"/>
          <w:i w:val="false"/>
          <w:iCs w:val="false"/>
          <w:color w:val="000000"/>
          <w:sz w:val="24"/>
          <w:szCs w:val="24"/>
          <w:u w:val="none"/>
        </w:rPr>
        <w:t>（北京时间）前递交响应文件。</w:t>
      </w:r>
    </w:p>
    <w:p w14:paraId="5DF25BE4">
      <w:pPr>
        <w:pStyle w:val="style0"/>
        <w:keepNext w:val="false"/>
        <w:keepLines w:val="false"/>
        <w:pageBreakBefore w:val="false"/>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sz w:val="24"/>
          <w:szCs w:val="24"/>
        </w:rPr>
      </w:pPr>
      <w:r>
        <w:rPr>
          <w:rFonts w:ascii="宋体" w:cs="宋体" w:eastAsia="宋体" w:hAnsi="宋体" w:hint="eastAsia"/>
          <w:b/>
          <w:sz w:val="24"/>
          <w:szCs w:val="24"/>
        </w:rPr>
        <w:t>一、</w:t>
      </w:r>
      <w:r>
        <w:rPr>
          <w:rFonts w:ascii="宋体" w:cs="宋体" w:eastAsia="宋体" w:hAnsi="宋体" w:hint="eastAsia"/>
          <w:b/>
          <w:bCs/>
          <w:kern w:val="0"/>
          <w:sz w:val="24"/>
          <w:szCs w:val="24"/>
        </w:rPr>
        <w:t>项目基本情况</w:t>
      </w:r>
    </w:p>
    <w:p w14:paraId="5C165868">
      <w:pPr>
        <w:pStyle w:val="style77"/>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default"/>
          <w:color w:val="0070c0"/>
          <w:sz w:val="24"/>
          <w:szCs w:val="24"/>
          <w:highlight w:val="none"/>
          <w:lang w:val="en-US" w:eastAsia="zh-CN"/>
        </w:rPr>
      </w:pPr>
      <w:r>
        <w:rPr>
          <w:rFonts w:ascii="宋体" w:cs="宋体" w:eastAsia="宋体" w:hAnsi="宋体" w:hint="eastAsia"/>
          <w:color w:val="auto"/>
          <w:sz w:val="24"/>
          <w:szCs w:val="24"/>
        </w:rPr>
        <w:t>1、项目编</w:t>
      </w:r>
      <w:r>
        <w:rPr>
          <w:rFonts w:ascii="宋体" w:cs="宋体" w:eastAsia="宋体" w:hAnsi="宋体" w:hint="eastAsia"/>
          <w:color w:val="auto"/>
          <w:sz w:val="24"/>
          <w:szCs w:val="24"/>
          <w:highlight w:val="none"/>
        </w:rPr>
        <w:t>号：</w:t>
      </w:r>
      <w:r>
        <w:rPr>
          <w:rFonts w:ascii="宋体" w:cs="宋体" w:eastAsia="宋体" w:hAnsi="宋体" w:hint="eastAsia"/>
          <w:color w:val="auto"/>
          <w:sz w:val="24"/>
          <w:szCs w:val="24"/>
          <w:highlight w:val="none"/>
          <w:lang w:val="en-US" w:eastAsia="zh-CN"/>
        </w:rPr>
        <w:t>豫财磋商采购-2025-</w:t>
      </w:r>
      <w:r>
        <w:rPr>
          <w:rFonts w:cs="宋体" w:eastAsia="宋体" w:hint="eastAsia"/>
          <w:color w:val="auto"/>
          <w:sz w:val="24"/>
          <w:szCs w:val="24"/>
          <w:highlight w:val="none"/>
          <w:lang w:val="en-US" w:eastAsia="zh-CN"/>
        </w:rPr>
        <w:t>992</w:t>
      </w:r>
    </w:p>
    <w:p w14:paraId="18CA1D28">
      <w:pPr>
        <w:pStyle w:val="style77"/>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sz w:val="24"/>
          <w:szCs w:val="24"/>
        </w:rPr>
        <w:t>2、项目名</w:t>
      </w:r>
      <w:r>
        <w:rPr>
          <w:rFonts w:ascii="宋体" w:cs="宋体" w:eastAsia="宋体" w:hAnsi="宋体" w:hint="eastAsia"/>
          <w:color w:val="auto"/>
          <w:sz w:val="24"/>
          <w:szCs w:val="24"/>
          <w:highlight w:val="none"/>
          <w:lang w:val="en-US" w:eastAsia="zh-CN"/>
        </w:rPr>
        <w:t>称：河南城建学院智慧城市行业学院项目</w:t>
      </w:r>
    </w:p>
    <w:p w14:paraId="06212E50">
      <w:pPr>
        <w:pStyle w:val="style77"/>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3、采购方式：竞争性磋商</w:t>
      </w:r>
    </w:p>
    <w:p w14:paraId="746DDE69">
      <w:pPr>
        <w:pStyle w:val="style77"/>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4、预算金额：1000000元</w:t>
      </w:r>
    </w:p>
    <w:p w14:paraId="726BC6B2">
      <w:pPr>
        <w:pStyle w:val="style77"/>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最高限价：916779元</w:t>
      </w:r>
    </w:p>
    <w:tbl>
      <w:tblPr>
        <w:tblStyle w:val="style105"/>
        <w:tblW w:w="50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646"/>
        <w:gridCol w:w="1672"/>
        <w:gridCol w:w="3507"/>
        <w:gridCol w:w="1868"/>
        <w:gridCol w:w="2012"/>
      </w:tblGrid>
      <w:tr w14:paraId="34915E62">
        <w:trPr>
          <w:trHeight w:val="170" w:hRule="atLeast"/>
          <w:jc w:val="center"/>
        </w:trPr>
        <w:tc>
          <w:tcPr>
            <w:tcW w:w="333" w:type="pct"/>
            <w:tcBorders>
              <w:top w:val="single" w:sz="4" w:space="0" w:color="000000"/>
              <w:left w:val="single" w:sz="4" w:space="0" w:color="000000"/>
              <w:bottom w:val="single" w:sz="4" w:space="0" w:color="000000"/>
              <w:right w:val="single" w:sz="4" w:space="0" w:color="000000"/>
            </w:tcBorders>
            <w:vAlign w:val="center"/>
          </w:tcPr>
          <w:p w14:paraId="6BCD08C0">
            <w:pPr>
              <w:pStyle w:val="style4141"/>
              <w:keepNext w:val="false"/>
              <w:keepLines w:val="false"/>
              <w:pageBreakBefore w:val="false"/>
              <w:kinsoku/>
              <w:wordWrap w:val="false"/>
              <w:overflowPunct/>
              <w:topLinePunct w:val="false"/>
              <w:bidi w:val="false"/>
              <w:adjustRightInd w:val="false"/>
              <w:snapToGrid w:val="false"/>
              <w:spacing w:after="0" w:lineRule="auto" w:line="360"/>
              <w:jc w:val="both"/>
              <w:textAlignment w:val="auto"/>
              <w:rPr>
                <w:rStyle w:val="style4108"/>
                <w:rFonts w:ascii="宋体" w:cs="宋体" w:eastAsia="宋体" w:hAnsi="宋体" w:hint="eastAsia"/>
                <w:sz w:val="24"/>
                <w:szCs w:val="24"/>
              </w:rPr>
            </w:pPr>
            <w:r>
              <w:rPr>
                <w:rFonts w:ascii="宋体" w:cs="宋体" w:eastAsia="宋体" w:hAnsi="宋体" w:hint="eastAsia"/>
                <w:sz w:val="24"/>
                <w:szCs w:val="24"/>
              </w:rPr>
              <w:t>序号</w:t>
            </w:r>
          </w:p>
        </w:tc>
        <w:tc>
          <w:tcPr>
            <w:tcW w:w="861" w:type="pct"/>
            <w:tcBorders>
              <w:top w:val="single" w:sz="4" w:space="0" w:color="000000"/>
              <w:left w:val="single" w:sz="4" w:space="0" w:color="000000"/>
              <w:bottom w:val="single" w:sz="4" w:space="0" w:color="000000"/>
              <w:right w:val="single" w:sz="4" w:space="0" w:color="000000"/>
            </w:tcBorders>
            <w:vAlign w:val="center"/>
          </w:tcPr>
          <w:p w14:paraId="5AA4F52B">
            <w:pPr>
              <w:pStyle w:val="style4141"/>
              <w:keepNext w:val="false"/>
              <w:keepLines w:val="false"/>
              <w:pageBreakBefore w:val="false"/>
              <w:kinsoku/>
              <w:wordWrap w:val="false"/>
              <w:overflowPunct/>
              <w:topLinePunct w:val="false"/>
              <w:bidi w:val="false"/>
              <w:adjustRightInd w:val="false"/>
              <w:snapToGrid w:val="false"/>
              <w:spacing w:after="0" w:lineRule="auto" w:line="360"/>
              <w:ind w:firstLine="480" w:firstLineChars="200"/>
              <w:jc w:val="both"/>
              <w:textAlignment w:val="auto"/>
              <w:rPr>
                <w:rStyle w:val="style4108"/>
                <w:rFonts w:ascii="宋体" w:cs="宋体" w:eastAsia="宋体" w:hAnsi="宋体" w:hint="eastAsia"/>
                <w:sz w:val="24"/>
                <w:szCs w:val="24"/>
              </w:rPr>
            </w:pPr>
            <w:r>
              <w:rPr>
                <w:rFonts w:ascii="宋体" w:cs="宋体" w:eastAsia="宋体" w:hAnsi="宋体" w:hint="eastAsia"/>
                <w:color w:val="auto"/>
                <w:sz w:val="24"/>
                <w:szCs w:val="24"/>
              </w:rPr>
              <w:t>包号</w:t>
            </w:r>
          </w:p>
        </w:tc>
        <w:tc>
          <w:tcPr>
            <w:tcW w:w="1806" w:type="pct"/>
            <w:tcBorders>
              <w:top w:val="single" w:sz="4" w:space="0" w:color="000000"/>
              <w:left w:val="single" w:sz="4" w:space="0" w:color="000000"/>
              <w:bottom w:val="single" w:sz="4" w:space="0" w:color="000000"/>
              <w:right w:val="single" w:sz="4" w:space="0" w:color="000000"/>
            </w:tcBorders>
            <w:vAlign w:val="center"/>
          </w:tcPr>
          <w:p w14:paraId="186EB723">
            <w:pPr>
              <w:pStyle w:val="style4141"/>
              <w:keepNext w:val="false"/>
              <w:keepLines w:val="false"/>
              <w:pageBreakBefore w:val="false"/>
              <w:kinsoku/>
              <w:wordWrap w:val="false"/>
              <w:overflowPunct/>
              <w:topLinePunct w:val="false"/>
              <w:bidi w:val="false"/>
              <w:adjustRightInd w:val="false"/>
              <w:snapToGrid w:val="false"/>
              <w:spacing w:after="0" w:lineRule="auto" w:line="360"/>
              <w:ind w:firstLine="480" w:firstLineChars="200"/>
              <w:jc w:val="both"/>
              <w:textAlignment w:val="auto"/>
              <w:rPr>
                <w:rStyle w:val="style4108"/>
                <w:rFonts w:ascii="宋体" w:cs="宋体" w:eastAsia="宋体" w:hAnsi="宋体" w:hint="eastAsia"/>
                <w:sz w:val="24"/>
                <w:szCs w:val="24"/>
              </w:rPr>
            </w:pPr>
            <w:r>
              <w:rPr>
                <w:rFonts w:ascii="宋体" w:cs="宋体" w:eastAsia="宋体" w:hAnsi="宋体" w:hint="eastAsia"/>
                <w:sz w:val="24"/>
                <w:szCs w:val="24"/>
              </w:rPr>
              <w:t>包名称</w:t>
            </w:r>
          </w:p>
        </w:tc>
        <w:tc>
          <w:tcPr>
            <w:tcW w:w="962" w:type="pct"/>
            <w:tcBorders>
              <w:top w:val="single" w:sz="4" w:space="0" w:color="000000"/>
              <w:left w:val="single" w:sz="4" w:space="0" w:color="000000"/>
              <w:bottom w:val="single" w:sz="4" w:space="0" w:color="000000"/>
              <w:right w:val="single" w:sz="4" w:space="0" w:color="000000"/>
            </w:tcBorders>
            <w:vAlign w:val="center"/>
          </w:tcPr>
          <w:p w14:paraId="3FBFACB8">
            <w:pPr>
              <w:pStyle w:val="style4141"/>
              <w:keepNext w:val="false"/>
              <w:keepLines w:val="false"/>
              <w:pageBreakBefore w:val="false"/>
              <w:kinsoku/>
              <w:wordWrap w:val="false"/>
              <w:overflowPunct/>
              <w:topLinePunct w:val="false"/>
              <w:bidi w:val="false"/>
              <w:adjustRightInd w:val="false"/>
              <w:snapToGrid w:val="false"/>
              <w:spacing w:after="0" w:lineRule="auto" w:line="360"/>
              <w:jc w:val="both"/>
              <w:textAlignment w:val="auto"/>
              <w:rPr>
                <w:rStyle w:val="style4108"/>
                <w:rFonts w:ascii="宋体" w:cs="宋体" w:eastAsia="宋体" w:hAnsi="宋体" w:hint="eastAsia"/>
                <w:color w:val="auto"/>
                <w:sz w:val="24"/>
                <w:szCs w:val="24"/>
              </w:rPr>
            </w:pPr>
            <w:r>
              <w:rPr>
                <w:rFonts w:ascii="宋体" w:cs="宋体" w:eastAsia="宋体" w:hAnsi="宋体" w:hint="eastAsia"/>
                <w:color w:val="auto"/>
                <w:sz w:val="24"/>
                <w:szCs w:val="24"/>
              </w:rPr>
              <w:t>包预算（元）</w:t>
            </w:r>
          </w:p>
        </w:tc>
        <w:tc>
          <w:tcPr>
            <w:tcW w:w="1036" w:type="pct"/>
            <w:tcBorders>
              <w:top w:val="single" w:sz="4" w:space="0" w:color="000000"/>
              <w:left w:val="single" w:sz="4" w:space="0" w:color="000000"/>
              <w:bottom w:val="single" w:sz="4" w:space="0" w:color="000000"/>
              <w:right w:val="single" w:sz="4" w:space="0" w:color="000000"/>
            </w:tcBorders>
            <w:vAlign w:val="center"/>
          </w:tcPr>
          <w:p w14:paraId="4B99DB31">
            <w:pPr>
              <w:pStyle w:val="style4141"/>
              <w:keepNext w:val="false"/>
              <w:keepLines w:val="false"/>
              <w:pageBreakBefore w:val="false"/>
              <w:kinsoku/>
              <w:wordWrap w:val="false"/>
              <w:overflowPunct/>
              <w:topLinePunct w:val="false"/>
              <w:bidi w:val="false"/>
              <w:adjustRightInd w:val="false"/>
              <w:snapToGrid w:val="false"/>
              <w:spacing w:after="0" w:lineRule="auto" w:line="360"/>
              <w:jc w:val="both"/>
              <w:textAlignment w:val="auto"/>
              <w:rPr>
                <w:rStyle w:val="style4108"/>
                <w:rFonts w:ascii="宋体" w:cs="宋体" w:eastAsia="宋体" w:hAnsi="宋体" w:hint="eastAsia"/>
                <w:color w:val="auto"/>
                <w:sz w:val="24"/>
                <w:szCs w:val="24"/>
              </w:rPr>
            </w:pPr>
            <w:r>
              <w:rPr>
                <w:rFonts w:ascii="宋体" w:cs="宋体" w:eastAsia="宋体" w:hAnsi="宋体" w:hint="eastAsia"/>
                <w:color w:val="auto"/>
                <w:sz w:val="24"/>
                <w:szCs w:val="24"/>
              </w:rPr>
              <w:t>包最高限价（元）</w:t>
            </w:r>
          </w:p>
        </w:tc>
      </w:tr>
      <w:tr w14:paraId="4B6FA414">
        <w:tblPrEx/>
        <w:trPr>
          <w:jc w:val="center"/>
        </w:trPr>
        <w:tc>
          <w:tcPr>
            <w:tcW w:w="333" w:type="pct"/>
            <w:tcBorders>
              <w:top w:val="single" w:sz="4" w:space="0" w:color="000000"/>
              <w:left w:val="single" w:sz="4" w:space="0" w:color="000000"/>
              <w:bottom w:val="single" w:sz="4" w:space="0" w:color="000000"/>
              <w:right w:val="single" w:sz="4" w:space="0" w:color="000000"/>
            </w:tcBorders>
            <w:vAlign w:val="center"/>
          </w:tcPr>
          <w:p w14:paraId="43384936">
            <w:pPr>
              <w:pStyle w:val="style4141"/>
              <w:keepNext w:val="false"/>
              <w:keepLines w:val="false"/>
              <w:pageBreakBefore w:val="false"/>
              <w:kinsoku/>
              <w:wordWrap w:val="false"/>
              <w:overflowPunct/>
              <w:topLinePunct w:val="false"/>
              <w:bidi w:val="false"/>
              <w:adjustRightInd w:val="false"/>
              <w:snapToGrid w:val="false"/>
              <w:spacing w:after="0" w:lineRule="auto" w:line="360"/>
              <w:jc w:val="center"/>
              <w:textAlignment w:val="auto"/>
              <w:rPr>
                <w:rFonts w:ascii="宋体" w:cs="宋体" w:eastAsia="宋体" w:hAnsi="宋体" w:hint="eastAsia"/>
                <w:sz w:val="24"/>
                <w:szCs w:val="24"/>
              </w:rPr>
            </w:pPr>
            <w:r>
              <w:rPr>
                <w:rFonts w:ascii="宋体" w:cs="宋体" w:eastAsia="宋体" w:hAnsi="宋体" w:hint="eastAsia"/>
                <w:sz w:val="24"/>
                <w:szCs w:val="24"/>
              </w:rPr>
              <w:t>1</w:t>
            </w:r>
          </w:p>
        </w:tc>
        <w:tc>
          <w:tcPr>
            <w:tcW w:w="861" w:type="pct"/>
            <w:tcBorders>
              <w:top w:val="single" w:sz="4" w:space="0" w:color="000000"/>
              <w:left w:val="single" w:sz="4" w:space="0" w:color="000000"/>
              <w:bottom w:val="single" w:sz="4" w:space="0" w:color="000000"/>
              <w:right w:val="single" w:sz="4" w:space="0" w:color="000000"/>
            </w:tcBorders>
            <w:vAlign w:val="center"/>
          </w:tcPr>
          <w:p w14:paraId="25247533">
            <w:pPr>
              <w:pStyle w:val="style0"/>
              <w:keepNext w:val="false"/>
              <w:keepLines w:val="false"/>
              <w:pageBreakBefore w:val="false"/>
              <w:widowControl/>
              <w:kinsoku/>
              <w:wordWrap w:val="false"/>
              <w:overflowPunct/>
              <w:topLinePunct w:val="false"/>
              <w:bidi w:val="false"/>
              <w:adjustRightInd w:val="false"/>
              <w:snapToGrid w:val="false"/>
              <w:spacing w:lineRule="auto" w:line="360"/>
              <w:jc w:val="center"/>
              <w:textAlignment w:val="auto"/>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豫政采(2)20251601-</w:t>
            </w:r>
            <w:r>
              <w:rPr>
                <w:rFonts w:cs="宋体" w:hint="eastAsia"/>
                <w:color w:val="auto"/>
                <w:kern w:val="2"/>
                <w:sz w:val="24"/>
                <w:szCs w:val="24"/>
                <w:highlight w:val="none"/>
                <w:lang w:val="en-US" w:bidi="ar-SA" w:eastAsia="zh-CN"/>
              </w:rPr>
              <w:t>1</w:t>
            </w:r>
          </w:p>
        </w:tc>
        <w:tc>
          <w:tcPr>
            <w:tcW w:w="1806" w:type="pct"/>
            <w:tcBorders>
              <w:top w:val="single" w:sz="4" w:space="0" w:color="000000"/>
              <w:left w:val="single" w:sz="4" w:space="0" w:color="000000"/>
              <w:bottom w:val="single" w:sz="4" w:space="0" w:color="000000"/>
              <w:right w:val="single" w:sz="4" w:space="0" w:color="000000"/>
            </w:tcBorders>
            <w:vAlign w:val="center"/>
          </w:tcPr>
          <w:p w14:paraId="3DCBEA70">
            <w:pPr>
              <w:pStyle w:val="style0"/>
              <w:keepNext w:val="false"/>
              <w:keepLines w:val="false"/>
              <w:pageBreakBefore w:val="false"/>
              <w:widowControl/>
              <w:kinsoku/>
              <w:wordWrap w:val="false"/>
              <w:overflowPunct/>
              <w:topLinePunct w:val="false"/>
              <w:bidi w:val="false"/>
              <w:adjustRightInd w:val="false"/>
              <w:snapToGrid w:val="false"/>
              <w:spacing w:lineRule="auto" w:line="360"/>
              <w:jc w:val="both"/>
              <w:textAlignment w:val="auto"/>
              <w:rPr>
                <w:rFonts w:ascii="宋体" w:cs="宋体" w:eastAsia="宋体" w:hAnsi="宋体" w:hint="eastAsia"/>
                <w:color w:val="auto"/>
                <w:kern w:val="2"/>
                <w:sz w:val="24"/>
                <w:szCs w:val="24"/>
                <w:lang w:val="en-US" w:bidi="ar-SA" w:eastAsia="zh-CN"/>
              </w:rPr>
            </w:pPr>
            <w:r>
              <w:rPr>
                <w:rFonts w:ascii="宋体" w:cs="宋体" w:eastAsia="宋体" w:hAnsi="宋体" w:hint="eastAsia"/>
                <w:b w:val="false"/>
                <w:bCs w:val="false"/>
                <w:i w:val="false"/>
                <w:iCs w:val="false"/>
                <w:color w:val="000000"/>
                <w:sz w:val="24"/>
                <w:szCs w:val="24"/>
                <w:u w:val="none"/>
                <w:lang w:val="en-US" w:eastAsia="zh-CN"/>
              </w:rPr>
              <w:t>河南城建学院智慧城市行业学院项目（</w:t>
            </w:r>
            <w:r>
              <w:rPr>
                <w:rFonts w:ascii="宋体" w:cs="宋体" w:eastAsia="宋体" w:hAnsi="宋体" w:hint="eastAsia"/>
                <w:color w:val="auto"/>
                <w:kern w:val="2"/>
                <w:sz w:val="24"/>
                <w:szCs w:val="24"/>
                <w:lang w:val="en-US" w:bidi="ar-SA" w:eastAsia="zh-CN"/>
              </w:rPr>
              <w:t>包1</w:t>
            </w:r>
            <w:r>
              <w:rPr>
                <w:rFonts w:ascii="宋体" w:cs="宋体" w:eastAsia="宋体" w:hAnsi="宋体" w:hint="eastAsia"/>
                <w:b w:val="false"/>
                <w:bCs w:val="false"/>
                <w:i w:val="false"/>
                <w:iCs w:val="false"/>
                <w:color w:val="000000"/>
                <w:sz w:val="24"/>
                <w:szCs w:val="24"/>
                <w:u w:val="none"/>
                <w:lang w:val="en-US" w:eastAsia="zh-CN"/>
              </w:rPr>
              <w:t>）</w:t>
            </w:r>
          </w:p>
        </w:tc>
        <w:tc>
          <w:tcPr>
            <w:tcW w:w="962" w:type="pct"/>
            <w:tcBorders>
              <w:top w:val="single" w:sz="4" w:space="0" w:color="000000"/>
              <w:left w:val="single" w:sz="4" w:space="0" w:color="000000"/>
              <w:bottom w:val="single" w:sz="4" w:space="0" w:color="000000"/>
              <w:right w:val="single" w:sz="4" w:space="0" w:color="000000"/>
            </w:tcBorders>
            <w:vAlign w:val="center"/>
          </w:tcPr>
          <w:p w14:paraId="67209C7D">
            <w:pPr>
              <w:pStyle w:val="style0"/>
              <w:keepNext w:val="false"/>
              <w:keepLines w:val="false"/>
              <w:pageBreakBefore w:val="false"/>
              <w:kinsoku/>
              <w:wordWrap w:val="false"/>
              <w:overflowPunct/>
              <w:topLinePunct w:val="false"/>
              <w:bidi w:val="false"/>
              <w:adjustRightInd w:val="false"/>
              <w:snapToGrid w:val="false"/>
              <w:spacing w:lineRule="auto" w:line="360"/>
              <w:jc w:val="center"/>
              <w:textAlignment w:val="auto"/>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lang w:val="en-US" w:eastAsia="zh-CN"/>
              </w:rPr>
              <w:t>500000.00</w:t>
            </w:r>
          </w:p>
        </w:tc>
        <w:tc>
          <w:tcPr>
            <w:tcW w:w="1036" w:type="pct"/>
            <w:tcBorders>
              <w:top w:val="single" w:sz="4" w:space="0" w:color="000000"/>
              <w:left w:val="single" w:sz="4" w:space="0" w:color="000000"/>
              <w:bottom w:val="single" w:sz="4" w:space="0" w:color="000000"/>
              <w:right w:val="single" w:sz="4" w:space="0" w:color="000000"/>
            </w:tcBorders>
            <w:vAlign w:val="center"/>
          </w:tcPr>
          <w:p w14:paraId="212FA80B">
            <w:pPr>
              <w:pStyle w:val="style0"/>
              <w:keepNext w:val="false"/>
              <w:keepLines w:val="false"/>
              <w:pageBreakBefore w:val="false"/>
              <w:kinsoku/>
              <w:wordWrap w:val="false"/>
              <w:overflowPunct/>
              <w:topLinePunct w:val="false"/>
              <w:bidi w:val="false"/>
              <w:adjustRightInd w:val="false"/>
              <w:snapToGrid w:val="false"/>
              <w:spacing w:lineRule="auto" w:line="360"/>
              <w:jc w:val="center"/>
              <w:textAlignment w:val="auto"/>
              <w:rPr>
                <w:rStyle w:val="style4108"/>
                <w:rFonts w:ascii="宋体" w:cs="宋体" w:eastAsia="宋体" w:hAnsi="宋体" w:hint="default"/>
                <w:color w:val="auto"/>
                <w:sz w:val="24"/>
                <w:szCs w:val="24"/>
                <w:lang w:val="en-US"/>
              </w:rPr>
            </w:pPr>
            <w:r>
              <w:rPr>
                <w:rFonts w:ascii="宋体" w:cs="宋体" w:eastAsia="宋体" w:hAnsi="宋体" w:hint="eastAsia"/>
                <w:color w:val="auto"/>
                <w:sz w:val="24"/>
                <w:szCs w:val="24"/>
                <w:lang w:val="en-US" w:eastAsia="zh-CN"/>
              </w:rPr>
              <w:t>45</w:t>
            </w:r>
            <w:r>
              <w:rPr>
                <w:rFonts w:cs="宋体" w:hint="eastAsia"/>
                <w:color w:val="auto"/>
                <w:sz w:val="24"/>
                <w:szCs w:val="24"/>
                <w:lang w:val="en-US" w:eastAsia="zh-CN"/>
              </w:rPr>
              <w:t>9779.00</w:t>
            </w:r>
          </w:p>
        </w:tc>
      </w:tr>
      <w:tr w14:paraId="6FC43482">
        <w:tblPrEx/>
        <w:trPr>
          <w:jc w:val="center"/>
        </w:trPr>
        <w:tc>
          <w:tcPr>
            <w:tcW w:w="333" w:type="pct"/>
            <w:tcBorders>
              <w:top w:val="single" w:sz="4" w:space="0" w:color="000000"/>
              <w:left w:val="single" w:sz="4" w:space="0" w:color="000000"/>
              <w:bottom w:val="single" w:sz="4" w:space="0" w:color="000000"/>
              <w:right w:val="single" w:sz="4" w:space="0" w:color="000000"/>
            </w:tcBorders>
            <w:vAlign w:val="center"/>
          </w:tcPr>
          <w:p w14:paraId="2D094F73">
            <w:pPr>
              <w:pStyle w:val="style4141"/>
              <w:keepNext w:val="false"/>
              <w:keepLines w:val="false"/>
              <w:pageBreakBefore w:val="false"/>
              <w:kinsoku/>
              <w:wordWrap w:val="false"/>
              <w:overflowPunct/>
              <w:topLinePunct w:val="false"/>
              <w:bidi w:val="false"/>
              <w:adjustRightInd w:val="false"/>
              <w:snapToGrid w:val="false"/>
              <w:spacing w:after="0" w:lineRule="auto" w:line="360"/>
              <w:jc w:val="center"/>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w:t>
            </w:r>
          </w:p>
        </w:tc>
        <w:tc>
          <w:tcPr>
            <w:tcW w:w="861" w:type="pct"/>
            <w:tcBorders>
              <w:top w:val="single" w:sz="4" w:space="0" w:color="000000"/>
              <w:left w:val="single" w:sz="4" w:space="0" w:color="000000"/>
              <w:bottom w:val="single" w:sz="4" w:space="0" w:color="000000"/>
              <w:right w:val="single" w:sz="4" w:space="0" w:color="000000"/>
            </w:tcBorders>
            <w:vAlign w:val="center"/>
          </w:tcPr>
          <w:p w14:paraId="02F641C3">
            <w:pPr>
              <w:pStyle w:val="style0"/>
              <w:keepNext w:val="false"/>
              <w:keepLines w:val="false"/>
              <w:pageBreakBefore w:val="false"/>
              <w:widowControl/>
              <w:kinsoku/>
              <w:wordWrap w:val="false"/>
              <w:overflowPunct/>
              <w:topLinePunct w:val="false"/>
              <w:bidi w:val="false"/>
              <w:adjustRightInd w:val="false"/>
              <w:snapToGrid w:val="false"/>
              <w:spacing w:lineRule="auto" w:line="360"/>
              <w:jc w:val="center"/>
              <w:textAlignment w:val="auto"/>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豫政采(2)20251601-2</w:t>
            </w:r>
          </w:p>
        </w:tc>
        <w:tc>
          <w:tcPr>
            <w:tcW w:w="1806" w:type="pct"/>
            <w:tcBorders>
              <w:top w:val="single" w:sz="4" w:space="0" w:color="000000"/>
              <w:left w:val="single" w:sz="4" w:space="0" w:color="000000"/>
              <w:bottom w:val="single" w:sz="4" w:space="0" w:color="000000"/>
              <w:right w:val="single" w:sz="4" w:space="0" w:color="000000"/>
            </w:tcBorders>
            <w:vAlign w:val="center"/>
          </w:tcPr>
          <w:p w14:paraId="236106AE">
            <w:pPr>
              <w:pStyle w:val="style0"/>
              <w:keepNext w:val="false"/>
              <w:keepLines w:val="false"/>
              <w:pageBreakBefore w:val="false"/>
              <w:widowControl/>
              <w:kinsoku/>
              <w:wordWrap w:val="false"/>
              <w:overflowPunct/>
              <w:topLinePunct w:val="false"/>
              <w:bidi w:val="false"/>
              <w:adjustRightInd w:val="false"/>
              <w:snapToGrid w:val="false"/>
              <w:spacing w:lineRule="auto" w:line="360"/>
              <w:jc w:val="both"/>
              <w:textAlignment w:val="auto"/>
              <w:rPr>
                <w:rFonts w:ascii="宋体" w:cs="宋体" w:eastAsia="宋体" w:hAnsi="宋体" w:hint="eastAsia"/>
                <w:color w:val="auto"/>
                <w:kern w:val="2"/>
                <w:sz w:val="24"/>
                <w:szCs w:val="24"/>
                <w:lang w:val="en-US" w:bidi="ar-SA" w:eastAsia="zh-CN"/>
              </w:rPr>
            </w:pPr>
            <w:r>
              <w:rPr>
                <w:rFonts w:ascii="宋体" w:cs="宋体" w:eastAsia="宋体" w:hAnsi="宋体" w:hint="eastAsia"/>
                <w:b w:val="false"/>
                <w:bCs w:val="false"/>
                <w:i w:val="false"/>
                <w:iCs w:val="false"/>
                <w:color w:val="000000"/>
                <w:sz w:val="24"/>
                <w:szCs w:val="24"/>
                <w:u w:val="none"/>
                <w:lang w:val="en-US" w:eastAsia="zh-CN"/>
              </w:rPr>
              <w:t>河南城建学院智慧城市行业学院项目（</w:t>
            </w:r>
            <w:r>
              <w:rPr>
                <w:rFonts w:ascii="宋体" w:cs="宋体" w:eastAsia="宋体" w:hAnsi="宋体" w:hint="eastAsia"/>
                <w:color w:val="auto"/>
                <w:kern w:val="2"/>
                <w:sz w:val="24"/>
                <w:szCs w:val="24"/>
                <w:lang w:val="en-US" w:bidi="ar-SA" w:eastAsia="zh-CN"/>
              </w:rPr>
              <w:t>包2</w:t>
            </w:r>
            <w:r>
              <w:rPr>
                <w:rFonts w:ascii="宋体" w:cs="宋体" w:eastAsia="宋体" w:hAnsi="宋体" w:hint="eastAsia"/>
                <w:b w:val="false"/>
                <w:bCs w:val="false"/>
                <w:i w:val="false"/>
                <w:iCs w:val="false"/>
                <w:color w:val="000000"/>
                <w:sz w:val="24"/>
                <w:szCs w:val="24"/>
                <w:u w:val="none"/>
                <w:lang w:val="en-US" w:eastAsia="zh-CN"/>
              </w:rPr>
              <w:t>）</w:t>
            </w:r>
          </w:p>
        </w:tc>
        <w:tc>
          <w:tcPr>
            <w:tcW w:w="9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51E3E">
            <w:pPr>
              <w:pStyle w:val="style0"/>
              <w:keepNext w:val="false"/>
              <w:keepLines w:val="false"/>
              <w:pageBreakBefore w:val="false"/>
              <w:kinsoku/>
              <w:wordWrap w:val="false"/>
              <w:overflowPunct/>
              <w:topLinePunct w:val="false"/>
              <w:bidi w:val="false"/>
              <w:adjustRightInd w:val="false"/>
              <w:snapToGrid w:val="false"/>
              <w:spacing w:lineRule="auto" w:line="360"/>
              <w:jc w:val="center"/>
              <w:textAlignment w:val="auto"/>
              <w:rPr>
                <w:rFonts w:ascii="宋体" w:cs="宋体" w:eastAsia="宋体" w:hAnsi="宋体" w:hint="eastAsia"/>
                <w:color w:val="auto"/>
                <w:sz w:val="24"/>
                <w:szCs w:val="24"/>
                <w:lang w:val="en-US" w:bidi="ar-SA" w:eastAsia="zh-CN"/>
              </w:rPr>
            </w:pPr>
            <w:r>
              <w:rPr>
                <w:rFonts w:ascii="宋体" w:cs="宋体" w:eastAsia="宋体" w:hAnsi="宋体" w:hint="eastAsia"/>
                <w:color w:val="auto"/>
                <w:sz w:val="24"/>
                <w:szCs w:val="24"/>
                <w:lang w:val="en-US" w:eastAsia="zh-CN"/>
              </w:rPr>
              <w:t>500000.00</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6E5F4F">
            <w:pPr>
              <w:pStyle w:val="style0"/>
              <w:keepNext w:val="false"/>
              <w:keepLines w:val="false"/>
              <w:pageBreakBefore w:val="false"/>
              <w:kinsoku/>
              <w:wordWrap w:val="false"/>
              <w:overflowPunct/>
              <w:topLinePunct w:val="false"/>
              <w:bidi w:val="false"/>
              <w:adjustRightInd w:val="false"/>
              <w:snapToGrid w:val="false"/>
              <w:spacing w:lineRule="auto" w:line="360"/>
              <w:jc w:val="center"/>
              <w:textAlignment w:val="auto"/>
              <w:rPr>
                <w:rFonts w:ascii="宋体" w:cs="宋体" w:eastAsia="宋体" w:hAnsi="宋体" w:hint="default"/>
                <w:color w:val="auto"/>
                <w:sz w:val="24"/>
                <w:szCs w:val="24"/>
                <w:lang w:val="en-US" w:bidi="ar-SA" w:eastAsia="zh-CN"/>
              </w:rPr>
            </w:pPr>
            <w:r>
              <w:rPr>
                <w:rFonts w:cs="宋体" w:hint="eastAsia"/>
                <w:color w:val="auto"/>
                <w:sz w:val="24"/>
                <w:szCs w:val="24"/>
                <w:lang w:val="en-US" w:eastAsia="zh-CN"/>
              </w:rPr>
              <w:t>457000.00</w:t>
            </w:r>
          </w:p>
        </w:tc>
      </w:tr>
    </w:tbl>
    <w:p w14:paraId="3ABBA296">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sz w:val="24"/>
          <w:szCs w:val="24"/>
        </w:rPr>
        <w:t>5</w:t>
      </w:r>
      <w:r>
        <w:rPr>
          <w:rFonts w:ascii="宋体" w:cs="宋体" w:eastAsia="宋体" w:hAnsi="宋体" w:hint="eastAsia"/>
          <w:sz w:val="24"/>
          <w:szCs w:val="24"/>
          <w:lang w:eastAsia="zh-CN"/>
        </w:rPr>
        <w:t>、</w:t>
      </w:r>
      <w:r>
        <w:rPr>
          <w:rFonts w:ascii="宋体" w:cs="宋体" w:eastAsia="宋体" w:hAnsi="宋体" w:hint="eastAsia"/>
          <w:sz w:val="24"/>
          <w:szCs w:val="24"/>
          <w:lang w:val="zh-CN"/>
        </w:rPr>
        <w:t>采购</w:t>
      </w:r>
      <w:r>
        <w:rPr>
          <w:rFonts w:ascii="宋体" w:cs="宋体" w:eastAsia="宋体" w:hAnsi="宋体" w:hint="eastAsia"/>
          <w:color w:val="auto"/>
          <w:sz w:val="24"/>
          <w:szCs w:val="24"/>
          <w:lang w:val="zh-CN"/>
        </w:rPr>
        <w:t>需</w:t>
      </w:r>
      <w:r>
        <w:rPr>
          <w:rFonts w:ascii="宋体" w:cs="宋体" w:eastAsia="宋体" w:hAnsi="宋体" w:hint="eastAsia"/>
          <w:sz w:val="24"/>
          <w:szCs w:val="24"/>
          <w:lang w:val="zh-CN"/>
        </w:rPr>
        <w:t>求（包括但不限于标的的名称、数量、简要技术需求或服务要求等）</w:t>
      </w:r>
    </w:p>
    <w:p w14:paraId="23DAEEFD">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bCs/>
          <w:color w:val="auto"/>
          <w:kern w:val="2"/>
          <w:sz w:val="24"/>
          <w:szCs w:val="24"/>
          <w:highlight w:val="none"/>
          <w:lang w:val="en-US" w:bidi="ar-SA" w:eastAsia="zh-CN"/>
        </w:rPr>
      </w:pPr>
      <w:r>
        <w:rPr>
          <w:rFonts w:ascii="宋体" w:cs="宋体" w:eastAsia="宋体" w:hAnsi="宋体" w:hint="eastAsia"/>
          <w:bCs/>
          <w:color w:val="auto"/>
          <w:kern w:val="2"/>
          <w:sz w:val="24"/>
          <w:szCs w:val="24"/>
          <w:highlight w:val="none"/>
          <w:lang w:val="en-US" w:bidi="ar-SA" w:eastAsia="zh-CN"/>
        </w:rPr>
        <w:t>5.1.采购内容：云服务器、云终端及配套桌面云软件、网络设备、桌椅板凳、基础设施配套服务。高性能台式工作站25台以及配套管理系统，60节点网络线路。</w:t>
      </w:r>
    </w:p>
    <w:p w14:paraId="2DDD70F5">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i w:val="false"/>
          <w:iCs w:val="false"/>
          <w:sz w:val="24"/>
          <w:szCs w:val="24"/>
          <w:highlight w:val="none"/>
          <w:lang w:val="en-US" w:eastAsia="zh-CN"/>
        </w:rPr>
      </w:pPr>
      <w:r>
        <w:rPr>
          <w:rFonts w:ascii="宋体" w:cs="宋体" w:eastAsia="宋体" w:hAnsi="宋体" w:hint="eastAsia"/>
          <w:bCs/>
          <w:color w:val="auto"/>
          <w:kern w:val="2"/>
          <w:sz w:val="24"/>
          <w:szCs w:val="24"/>
          <w:highlight w:val="none"/>
          <w:lang w:val="en-US" w:bidi="ar-SA" w:eastAsia="zh-CN"/>
        </w:rPr>
        <w:t>5.2.交货期：包1：</w:t>
      </w:r>
      <w:r>
        <w:rPr>
          <w:rFonts w:ascii="宋体" w:cs="宋体" w:eastAsia="宋体" w:hAnsi="宋体" w:hint="eastAsia"/>
          <w:i w:val="false"/>
          <w:iCs w:val="false"/>
          <w:sz w:val="24"/>
          <w:szCs w:val="24"/>
          <w:highlight w:val="none"/>
          <w:lang w:val="en-US" w:eastAsia="zh-CN"/>
        </w:rPr>
        <w:t>合同签订后30个工作日内；</w:t>
      </w:r>
    </w:p>
    <w:p w14:paraId="0E977BBA">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1920" w:firstLineChars="800"/>
        <w:textAlignment w:val="auto"/>
        <w:rPr>
          <w:rFonts w:ascii="宋体" w:cs="宋体" w:eastAsia="宋体" w:hAnsi="宋体" w:hint="eastAsia"/>
          <w:i w:val="false"/>
          <w:iCs w:val="false"/>
          <w:sz w:val="24"/>
          <w:szCs w:val="24"/>
          <w:highlight w:val="none"/>
          <w:lang w:val="en-US" w:eastAsia="zh-CN"/>
        </w:rPr>
      </w:pPr>
      <w:r>
        <w:rPr>
          <w:rFonts w:ascii="宋体" w:cs="宋体" w:eastAsia="宋体" w:hAnsi="宋体" w:hint="eastAsia"/>
          <w:i w:val="false"/>
          <w:iCs w:val="false"/>
          <w:sz w:val="24"/>
          <w:szCs w:val="24"/>
          <w:highlight w:val="none"/>
          <w:lang w:val="en-US" w:eastAsia="zh-CN"/>
        </w:rPr>
        <w:t>包2：合同签订后15个工作日内</w:t>
      </w:r>
      <w:r>
        <w:rPr>
          <w:rFonts w:cs="宋体" w:hint="eastAsia"/>
          <w:i w:val="false"/>
          <w:iCs w:val="false"/>
          <w:sz w:val="24"/>
          <w:szCs w:val="24"/>
          <w:highlight w:val="none"/>
          <w:lang w:val="en-US" w:eastAsia="zh-CN"/>
        </w:rPr>
        <w:t>。</w:t>
      </w:r>
    </w:p>
    <w:p w14:paraId="6172E090">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bCs/>
          <w:color w:val="auto"/>
          <w:sz w:val="24"/>
          <w:szCs w:val="24"/>
          <w:highlight w:val="none"/>
        </w:rPr>
      </w:pPr>
      <w:r>
        <w:rPr>
          <w:rFonts w:ascii="宋体" w:cs="宋体" w:eastAsia="宋体" w:hAnsi="宋体" w:hint="eastAsia"/>
          <w:bCs/>
          <w:color w:val="auto"/>
          <w:kern w:val="2"/>
          <w:sz w:val="24"/>
          <w:szCs w:val="24"/>
          <w:highlight w:val="none"/>
          <w:lang w:val="en-US" w:bidi="ar-SA" w:eastAsia="zh-CN"/>
        </w:rPr>
        <w:t>5.3.交货地点：采购人指定地点</w:t>
      </w:r>
      <w:r>
        <w:rPr>
          <w:rFonts w:ascii="宋体" w:cs="宋体" w:eastAsia="宋体" w:hAnsi="宋体" w:hint="eastAsia"/>
          <w:bCs/>
          <w:color w:val="auto"/>
          <w:sz w:val="24"/>
          <w:szCs w:val="24"/>
          <w:highlight w:val="none"/>
          <w:lang w:eastAsia="zh-CN"/>
        </w:rPr>
        <w:t>。</w:t>
      </w:r>
    </w:p>
    <w:p w14:paraId="186CBDE3">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bCs/>
          <w:color w:val="auto"/>
          <w:sz w:val="24"/>
          <w:szCs w:val="24"/>
          <w:highlight w:val="none"/>
        </w:rPr>
      </w:pPr>
      <w:r>
        <w:rPr>
          <w:rFonts w:ascii="宋体" w:cs="宋体" w:eastAsia="宋体" w:hAnsi="宋体" w:hint="eastAsia"/>
          <w:bCs/>
          <w:color w:val="auto"/>
          <w:kern w:val="2"/>
          <w:sz w:val="24"/>
          <w:szCs w:val="24"/>
          <w:highlight w:val="none"/>
          <w:lang w:val="en-US" w:bidi="ar-SA" w:eastAsia="zh-CN"/>
        </w:rPr>
        <w:t>5.4.</w:t>
      </w:r>
      <w:r>
        <w:rPr>
          <w:rFonts w:ascii="宋体" w:cs="宋体" w:eastAsia="宋体" w:hAnsi="宋体" w:hint="eastAsia"/>
          <w:bCs/>
          <w:color w:val="auto"/>
          <w:sz w:val="24"/>
          <w:szCs w:val="24"/>
          <w:highlight w:val="none"/>
          <w:lang w:val="en-US" w:eastAsia="zh-CN"/>
        </w:rPr>
        <w:t>质量要求</w:t>
      </w:r>
      <w:r>
        <w:rPr>
          <w:rFonts w:ascii="宋体" w:cs="宋体" w:eastAsia="宋体" w:hAnsi="宋体" w:hint="eastAsia"/>
          <w:bCs/>
          <w:color w:val="auto"/>
          <w:sz w:val="24"/>
          <w:szCs w:val="24"/>
          <w:highlight w:val="none"/>
        </w:rPr>
        <w:t>：</w:t>
      </w:r>
      <w:r>
        <w:rPr>
          <w:rFonts w:ascii="宋体" w:cs="宋体" w:eastAsia="宋体" w:hAnsi="宋体" w:hint="eastAsia"/>
          <w:bCs/>
          <w:color w:val="auto"/>
          <w:sz w:val="24"/>
          <w:szCs w:val="24"/>
          <w:highlight w:val="none"/>
          <w:lang w:eastAsia="zh-CN"/>
        </w:rPr>
        <w:t>合格，</w:t>
      </w:r>
      <w:r>
        <w:rPr>
          <w:rFonts w:ascii="宋体" w:cs="宋体" w:eastAsia="宋体" w:hAnsi="宋体" w:hint="eastAsia"/>
          <w:color w:val="auto"/>
          <w:sz w:val="24"/>
          <w:szCs w:val="24"/>
          <w:highlight w:val="none"/>
          <w:lang w:eastAsia="zh-CN"/>
        </w:rPr>
        <w:t>符合国家相关验收规范标准</w:t>
      </w:r>
      <w:r>
        <w:rPr>
          <w:rFonts w:ascii="宋体" w:cs="宋体" w:eastAsia="宋体" w:hAnsi="宋体" w:hint="eastAsia"/>
          <w:color w:val="auto"/>
          <w:sz w:val="24"/>
          <w:szCs w:val="24"/>
          <w:highlight w:val="none"/>
          <w:lang w:val="en-US" w:eastAsia="zh-CN"/>
        </w:rPr>
        <w:t>及</w:t>
      </w:r>
      <w:r>
        <w:rPr>
          <w:rFonts w:ascii="宋体" w:cs="宋体" w:eastAsia="宋体" w:hAnsi="宋体" w:hint="eastAsia"/>
          <w:color w:val="auto"/>
          <w:sz w:val="24"/>
          <w:szCs w:val="24"/>
          <w:highlight w:val="none"/>
          <w:lang w:eastAsia="zh-CN"/>
        </w:rPr>
        <w:t>采购人要求</w:t>
      </w:r>
      <w:r>
        <w:rPr>
          <w:rFonts w:ascii="宋体" w:cs="宋体" w:eastAsia="宋体" w:hAnsi="宋体" w:hint="eastAsia"/>
          <w:bCs/>
          <w:color w:val="auto"/>
          <w:sz w:val="24"/>
          <w:szCs w:val="24"/>
          <w:highlight w:val="none"/>
          <w:lang w:eastAsia="zh-CN"/>
        </w:rPr>
        <w:t>。</w:t>
      </w:r>
    </w:p>
    <w:p w14:paraId="7B864B48">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bCs/>
          <w:color w:val="auto"/>
          <w:sz w:val="24"/>
          <w:szCs w:val="24"/>
          <w:highlight w:val="none"/>
          <w:lang w:val="en-US" w:eastAsia="zh-CN"/>
        </w:rPr>
      </w:pPr>
      <w:r>
        <w:rPr>
          <w:rFonts w:ascii="宋体" w:cs="宋体" w:eastAsia="宋体" w:hAnsi="宋体" w:hint="eastAsia"/>
          <w:bCs/>
          <w:color w:val="auto"/>
          <w:kern w:val="2"/>
          <w:sz w:val="24"/>
          <w:szCs w:val="24"/>
          <w:highlight w:val="none"/>
          <w:lang w:val="en-US" w:bidi="ar-SA" w:eastAsia="zh-CN"/>
        </w:rPr>
        <w:t>5.5.</w:t>
      </w:r>
      <w:r>
        <w:rPr>
          <w:rFonts w:ascii="宋体" w:cs="宋体" w:eastAsia="宋体" w:hAnsi="宋体" w:hint="eastAsia"/>
          <w:bCs/>
          <w:color w:val="auto"/>
          <w:sz w:val="24"/>
          <w:szCs w:val="24"/>
          <w:highlight w:val="none"/>
          <w:lang w:eastAsia="zh-CN"/>
        </w:rPr>
        <w:t>质量保证期：</w:t>
      </w:r>
      <w:r>
        <w:rPr>
          <w:rFonts w:ascii="宋体" w:cs="宋体" w:eastAsia="宋体" w:hAnsi="宋体" w:hint="eastAsia"/>
          <w:i w:val="false"/>
          <w:iCs w:val="false"/>
          <w:sz w:val="24"/>
          <w:szCs w:val="24"/>
          <w:highlight w:val="none"/>
          <w:lang w:val="en-US" w:eastAsia="zh-CN"/>
        </w:rPr>
        <w:t>叁年</w:t>
      </w:r>
      <w:r>
        <w:rPr>
          <w:rFonts w:ascii="宋体" w:cs="宋体" w:eastAsia="宋体" w:hAnsi="宋体" w:hint="eastAsia"/>
          <w:bCs/>
          <w:color w:val="auto"/>
          <w:sz w:val="24"/>
          <w:szCs w:val="24"/>
          <w:highlight w:val="none"/>
          <w:lang w:val="en-US" w:eastAsia="zh-CN"/>
        </w:rPr>
        <w:t>。</w:t>
      </w:r>
    </w:p>
    <w:p w14:paraId="2527C598">
      <w:pPr>
        <w:pStyle w:val="style0"/>
        <w:keepNext w:val="false"/>
        <w:keepLines w:val="false"/>
        <w:pageBreakBefore w:val="false"/>
        <w:widowControl w:val="false"/>
        <w:numPr>
          <w:ilvl w:val="1"/>
          <w:numId w:val="0"/>
        </w:numPr>
        <w:kinsoku/>
        <w:wordWrap w:val="false"/>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bCs/>
          <w:color w:val="auto"/>
          <w:sz w:val="24"/>
          <w:szCs w:val="24"/>
          <w:highlight w:val="none"/>
          <w:lang w:val="en-US" w:eastAsia="zh-CN"/>
        </w:rPr>
      </w:pPr>
      <w:r>
        <w:rPr>
          <w:rFonts w:ascii="宋体" w:cs="宋体" w:eastAsia="宋体" w:hAnsi="宋体" w:hint="eastAsia"/>
          <w:bCs/>
          <w:color w:val="auto"/>
          <w:sz w:val="24"/>
          <w:szCs w:val="24"/>
          <w:highlight w:val="none"/>
          <w:lang w:val="en-US" w:eastAsia="zh-CN"/>
        </w:rPr>
        <w:t>5.6供应商可同时参与两个标包磋商响应，但只能成交一个标包。当同一供应商同时被推荐为辆三个标包的成交候选人时，采购人将按照标包顺序优先确定成交人，其他标包不再推荐其为成交候选人，供应商不得通过放弃中标、不履行合同等方式选择性的成交某个标包，一旦出现上述行为，则视为同时放弃两个标包的成交权利。</w:t>
      </w:r>
    </w:p>
    <w:p w14:paraId="128419F3">
      <w:pPr>
        <w:pStyle w:val="style0"/>
        <w:keepNext w:val="false"/>
        <w:keepLines w:val="false"/>
        <w:pageBreakBefore w:val="false"/>
        <w:numPr>
          <w:ilvl w:val="0"/>
          <w:numId w:val="0"/>
        </w:numPr>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kern w:val="0"/>
          <w:sz w:val="24"/>
          <w:szCs w:val="24"/>
        </w:rPr>
      </w:pPr>
      <w:r>
        <w:rPr>
          <w:rFonts w:ascii="宋体" w:cs="宋体" w:eastAsia="宋体" w:hAnsi="宋体" w:hint="eastAsia"/>
          <w:kern w:val="0"/>
          <w:sz w:val="24"/>
          <w:szCs w:val="24"/>
          <w:lang w:val="en-US" w:bidi="ar-SA" w:eastAsia="zh-CN"/>
        </w:rPr>
        <w:t>6、</w:t>
      </w:r>
      <w:r>
        <w:rPr>
          <w:rFonts w:ascii="宋体" w:cs="宋体" w:eastAsia="宋体" w:hAnsi="宋体" w:hint="eastAsia"/>
          <w:kern w:val="0"/>
          <w:sz w:val="24"/>
          <w:szCs w:val="24"/>
          <w:lang w:val="zh-CN"/>
        </w:rPr>
        <w:t>合同履行期限：</w:t>
      </w:r>
      <w:r>
        <w:rPr>
          <w:rFonts w:ascii="宋体" w:cs="宋体" w:eastAsia="宋体" w:hAnsi="宋体" w:hint="eastAsia"/>
          <w:kern w:val="0"/>
          <w:sz w:val="24"/>
          <w:szCs w:val="24"/>
          <w:highlight w:val="none"/>
          <w:lang w:val="zh-CN" w:eastAsia="zh-CN"/>
        </w:rPr>
        <w:t>合同签订至</w:t>
      </w:r>
      <w:r>
        <w:rPr>
          <w:rFonts w:ascii="宋体" w:cs="宋体" w:eastAsia="宋体" w:hAnsi="宋体" w:hint="eastAsia"/>
          <w:kern w:val="0"/>
          <w:sz w:val="24"/>
          <w:szCs w:val="24"/>
          <w:highlight w:val="none"/>
          <w:lang w:val="en-US" w:eastAsia="zh-CN"/>
        </w:rPr>
        <w:t>约定内容完成</w:t>
      </w:r>
    </w:p>
    <w:p w14:paraId="2C881A65">
      <w:pPr>
        <w:pStyle w:val="style0"/>
        <w:keepNext w:val="false"/>
        <w:keepLines w:val="false"/>
        <w:pageBreakBefore w:val="false"/>
        <w:numPr>
          <w:ilvl w:val="0"/>
          <w:numId w:val="0"/>
        </w:numPr>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sz w:val="24"/>
          <w:szCs w:val="24"/>
          <w:lang w:val="zh-CN"/>
        </w:rPr>
      </w:pPr>
      <w:r>
        <w:rPr>
          <w:rFonts w:ascii="宋体" w:cs="宋体" w:eastAsia="宋体" w:hAnsi="宋体" w:hint="eastAsia"/>
          <w:sz w:val="24"/>
          <w:szCs w:val="24"/>
          <w:lang w:val="zh-CN"/>
        </w:rPr>
        <w:t>7、本项目是否接受联合体投标：否</w:t>
      </w:r>
    </w:p>
    <w:p w14:paraId="05EC42F3">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zh-CN"/>
        </w:rPr>
      </w:pPr>
      <w:r>
        <w:rPr>
          <w:rFonts w:ascii="宋体" w:cs="宋体" w:eastAsia="宋体" w:hAnsi="宋体" w:hint="eastAsia"/>
          <w:sz w:val="24"/>
          <w:szCs w:val="24"/>
          <w:lang w:val="zh-CN"/>
        </w:rPr>
        <w:t>8、是否接受进</w:t>
      </w:r>
      <w:r>
        <w:rPr>
          <w:rFonts w:ascii="宋体" w:cs="宋体" w:eastAsia="宋体" w:hAnsi="宋体" w:hint="eastAsia"/>
          <w:color w:val="auto"/>
          <w:sz w:val="24"/>
          <w:szCs w:val="24"/>
          <w:highlight w:val="none"/>
          <w:lang w:val="zh-CN"/>
        </w:rPr>
        <w:t>口产品：否</w:t>
      </w:r>
      <w:r>
        <w:rPr>
          <w:rFonts w:ascii="宋体" w:cs="宋体" w:eastAsia="宋体" w:hAnsi="宋体" w:hint="eastAsia"/>
          <w:color w:val="auto"/>
          <w:sz w:val="24"/>
          <w:szCs w:val="24"/>
          <w:highlight w:val="none"/>
          <w:lang w:val="zh-CN"/>
        </w:rPr>
        <w:tab/>
      </w:r>
    </w:p>
    <w:p w14:paraId="1E611B4D">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zh-CN"/>
        </w:rPr>
        <w:t>9、是否专门面向中小企业：</w:t>
      </w:r>
      <w:r>
        <w:rPr>
          <w:rFonts w:ascii="宋体" w:cs="宋体" w:eastAsia="宋体" w:hAnsi="宋体" w:hint="eastAsia"/>
          <w:color w:val="auto"/>
          <w:sz w:val="24"/>
          <w:szCs w:val="24"/>
          <w:highlight w:val="none"/>
          <w:lang w:val="en-US" w:eastAsia="zh-CN"/>
        </w:rPr>
        <w:t>否</w:t>
      </w:r>
    </w:p>
    <w:p w14:paraId="3B969AF8">
      <w:pPr>
        <w:pStyle w:val="style0"/>
        <w:keepNext w:val="false"/>
        <w:keepLines w:val="false"/>
        <w:pageBreakBefore w:val="false"/>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sz w:val="24"/>
          <w:szCs w:val="24"/>
        </w:rPr>
      </w:pPr>
      <w:r>
        <w:rPr>
          <w:rFonts w:ascii="宋体" w:cs="宋体" w:eastAsia="宋体" w:hAnsi="宋体" w:hint="eastAsia"/>
          <w:b/>
          <w:sz w:val="24"/>
          <w:szCs w:val="24"/>
        </w:rPr>
        <w:t>二、申请人资格要求：</w:t>
      </w:r>
    </w:p>
    <w:bookmarkStart w:id="7" w:name="_Hlk72224440"/>
    <w:p w14:paraId="67D78E38">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bCs/>
          <w:sz w:val="24"/>
          <w:szCs w:val="24"/>
          <w:lang w:val="zh-CN"/>
        </w:rPr>
      </w:pPr>
      <w:r>
        <w:rPr>
          <w:rFonts w:ascii="宋体" w:cs="宋体" w:eastAsia="宋体" w:hAnsi="宋体" w:hint="eastAsia"/>
          <w:bCs/>
          <w:sz w:val="24"/>
          <w:szCs w:val="24"/>
          <w:lang w:val="zh-CN"/>
        </w:rPr>
        <w:t>1、满足《中华人民共和国政府采购法》第二十二条规定；</w:t>
      </w:r>
    </w:p>
    <w:p w14:paraId="42C63344">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bCs/>
          <w:sz w:val="24"/>
          <w:szCs w:val="24"/>
        </w:rPr>
      </w:pPr>
      <w:r>
        <w:rPr>
          <w:rFonts w:ascii="宋体" w:cs="宋体" w:eastAsia="宋体" w:hAnsi="宋体" w:hint="eastAsia"/>
          <w:bCs/>
          <w:sz w:val="24"/>
          <w:szCs w:val="24"/>
          <w:lang w:val="zh-CN"/>
        </w:rPr>
        <w:t>2、落实政府采购政策满足的资格要求：</w:t>
      </w:r>
      <w:r>
        <w:rPr>
          <w:rFonts w:ascii="宋体" w:cs="宋体" w:eastAsia="宋体" w:hAnsi="宋体" w:hint="eastAsia"/>
          <w:sz w:val="24"/>
          <w:szCs w:val="24"/>
        </w:rPr>
        <w:t>本项目非专门面向中小企业采购。供应商为中小微企业、监狱企业、残疾人福利性单位，落实中小企业价格评审优惠政策，中小企业划型标准请依据工信部联企业〔2011〕300号文件之规定。</w:t>
      </w:r>
    </w:p>
    <w:p w14:paraId="2CDD9B53">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bCs/>
          <w:sz w:val="24"/>
          <w:szCs w:val="24"/>
          <w:lang w:val="zh-CN"/>
        </w:rPr>
      </w:pPr>
      <w:r>
        <w:rPr>
          <w:rFonts w:ascii="宋体" w:cs="宋体" w:eastAsia="宋体" w:hAnsi="宋体" w:hint="eastAsia"/>
          <w:bCs/>
          <w:sz w:val="24"/>
          <w:szCs w:val="24"/>
          <w:lang w:val="zh-CN"/>
        </w:rPr>
        <w:t>3、本项目的特定资格要求</w:t>
      </w:r>
    </w:p>
    <w:bookmarkEnd w:id="7"/>
    <w:p w14:paraId="1D178441">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 xml:space="preserve">3.1 须具有独立承担民事责任的能力，持有有效的统一社会信用代码营业执照（提供 </w:t>
      </w:r>
    </w:p>
    <w:p w14:paraId="79646EED">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 xml:space="preserve">有效的营业执照扫描件或复印件，也可提供电子营业执照）； </w:t>
      </w:r>
    </w:p>
    <w:p w14:paraId="7DED5D11">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 xml:space="preserve">3.2 具有良好的商业信誉和健全的财务会计制度（供应商自行承诺，格式自拟）； </w:t>
      </w:r>
    </w:p>
    <w:p w14:paraId="56F9D882">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 xml:space="preserve">3.3 具有履行合同所必需的设备和专业技术能力（供应商自行承诺，格式自拟）； </w:t>
      </w:r>
    </w:p>
    <w:p w14:paraId="4683763C">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 xml:space="preserve">3.4 具有依法缴纳税收和社会保障资金的良好记录（供应商自行承诺，格式自拟）； </w:t>
      </w:r>
    </w:p>
    <w:p w14:paraId="1BE036E8">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 xml:space="preserve">3.5 参加政府采购活动近三年内，在经营活动中没有重大的违法记录（供应商自行承 </w:t>
      </w:r>
    </w:p>
    <w:p w14:paraId="5E607D05">
      <w:pPr>
        <w:pStyle w:val="style0"/>
        <w:keepNext w:val="false"/>
        <w:keepLines w:val="false"/>
        <w:pageBreakBefore w:val="false"/>
        <w:widowControl/>
        <w:suppressLineNumbers w:val="false"/>
        <w:kinsoku/>
        <w:overflowPunct/>
        <w:topLinePunct w:val="false"/>
        <w:bidi w:val="false"/>
        <w:adjustRightInd w:val="false"/>
        <w:snapToGrid w:val="false"/>
        <w:spacing w:lineRule="auto" w:line="360"/>
        <w:ind w:firstLine="480" w:firstLineChars="200"/>
        <w:jc w:val="left"/>
        <w:textAlignment w:val="auto"/>
        <w:rPr>
          <w:rFonts w:ascii="宋体" w:cs="宋体" w:eastAsia="宋体" w:hAnsi="宋体" w:hint="eastAsia"/>
          <w:sz w:val="24"/>
          <w:szCs w:val="24"/>
        </w:rPr>
      </w:pPr>
      <w:r>
        <w:rPr>
          <w:rFonts w:ascii="宋体" w:cs="宋体" w:eastAsia="宋体" w:hAnsi="宋体" w:hint="eastAsia"/>
          <w:color w:val="000000"/>
          <w:kern w:val="0"/>
          <w:sz w:val="24"/>
          <w:szCs w:val="24"/>
          <w:lang w:val="en-US" w:eastAsia="zh-CN"/>
        </w:rPr>
        <w:t>诺，格式自拟）；</w:t>
      </w:r>
    </w:p>
    <w:p w14:paraId="15017E38">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bCs/>
          <w:sz w:val="24"/>
          <w:szCs w:val="24"/>
          <w:highlight w:val="none"/>
          <w:lang w:val="en-US" w:eastAsia="zh-CN"/>
        </w:rPr>
      </w:pPr>
      <w:r>
        <w:rPr>
          <w:rFonts w:ascii="宋体" w:cs="宋体" w:eastAsia="宋体" w:hAnsi="宋体" w:hint="eastAsia"/>
          <w:bCs/>
          <w:sz w:val="24"/>
          <w:szCs w:val="24"/>
          <w:highlight w:val="none"/>
          <w:lang w:val="en-US" w:eastAsia="zh-CN"/>
        </w:rPr>
        <w:t>3.6 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磋商的供应商信用情况进行查询、打印留存。若在开标当天查询到供应商有相关负面信息的，则该供应商为无效响应。</w:t>
      </w:r>
    </w:p>
    <w:p w14:paraId="55070971">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bCs/>
          <w:color w:val="auto"/>
          <w:sz w:val="24"/>
          <w:szCs w:val="24"/>
        </w:rPr>
      </w:pPr>
      <w:r>
        <w:rPr>
          <w:rFonts w:ascii="宋体" w:cs="宋体" w:eastAsia="宋体" w:hAnsi="宋体" w:hint="eastAsia"/>
          <w:bCs/>
          <w:sz w:val="24"/>
          <w:szCs w:val="24"/>
          <w:highlight w:val="none"/>
        </w:rPr>
        <w:t>3.</w:t>
      </w:r>
      <w:r>
        <w:rPr>
          <w:rFonts w:ascii="宋体" w:cs="宋体" w:eastAsia="宋体" w:hAnsi="宋体" w:hint="eastAsia"/>
          <w:bCs/>
          <w:sz w:val="24"/>
          <w:szCs w:val="24"/>
          <w:highlight w:val="none"/>
          <w:lang w:val="en-US" w:eastAsia="zh-CN"/>
        </w:rPr>
        <w:t>7 单位负责人为同一人或者存在直接控股、管理关系的不同供应商，不得参加同一合同项下的政府采购活动，供应商提供书面承诺和“国家企业信用信息公示系统”网站查询结果网页截图，查询截图需显示公司基本信息、出资人或股东信息、主</w:t>
      </w:r>
      <w:r>
        <w:rPr>
          <w:rFonts w:ascii="宋体" w:cs="宋体" w:eastAsia="宋体" w:hAnsi="宋体" w:hint="eastAsia"/>
          <w:bCs/>
          <w:color w:val="auto"/>
          <w:sz w:val="24"/>
          <w:szCs w:val="24"/>
          <w:highlight w:val="none"/>
          <w:lang w:val="en-US" w:eastAsia="zh-CN"/>
        </w:rPr>
        <w:t>要人员信息</w:t>
      </w:r>
      <w:r>
        <w:rPr>
          <w:rFonts w:ascii="宋体" w:cs="宋体" w:eastAsia="宋体" w:hAnsi="宋体" w:hint="eastAsia"/>
          <w:bCs/>
          <w:color w:val="auto"/>
          <w:sz w:val="24"/>
          <w:szCs w:val="24"/>
        </w:rPr>
        <w:t>。</w:t>
      </w:r>
    </w:p>
    <w:p w14:paraId="43ECED9A">
      <w:pPr>
        <w:pStyle w:val="style0"/>
        <w:keepNext w:val="false"/>
        <w:keepLines w:val="false"/>
        <w:pageBreakBefore w:val="false"/>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color w:val="auto"/>
          <w:sz w:val="24"/>
          <w:szCs w:val="24"/>
        </w:rPr>
      </w:pPr>
      <w:r>
        <w:rPr>
          <w:rFonts w:ascii="宋体" w:cs="宋体" w:eastAsia="宋体" w:hAnsi="宋体" w:hint="eastAsia"/>
          <w:b/>
          <w:color w:val="auto"/>
          <w:sz w:val="24"/>
          <w:szCs w:val="24"/>
        </w:rPr>
        <w:t>三、获取</w:t>
      </w:r>
      <w:r>
        <w:rPr>
          <w:rFonts w:ascii="宋体" w:cs="宋体" w:eastAsia="宋体" w:hAnsi="宋体" w:hint="eastAsia"/>
          <w:b/>
          <w:color w:val="auto"/>
          <w:sz w:val="24"/>
          <w:szCs w:val="24"/>
          <w:lang w:val="en-US" w:eastAsia="zh-CN"/>
        </w:rPr>
        <w:t>采购</w:t>
      </w:r>
      <w:r>
        <w:rPr>
          <w:rFonts w:ascii="宋体" w:cs="宋体" w:eastAsia="宋体" w:hAnsi="宋体" w:hint="eastAsia"/>
          <w:b/>
          <w:color w:val="auto"/>
          <w:sz w:val="24"/>
          <w:szCs w:val="24"/>
        </w:rPr>
        <w:t>文件</w:t>
      </w:r>
    </w:p>
    <w:p w14:paraId="6D62953B">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rPr>
        <w:t>1</w:t>
      </w:r>
      <w:r>
        <w:rPr>
          <w:rFonts w:ascii="宋体" w:cs="宋体" w:eastAsia="宋体" w:hAnsi="宋体" w:hint="eastAsia"/>
          <w:color w:val="auto"/>
          <w:sz w:val="24"/>
          <w:szCs w:val="24"/>
          <w:lang w:val="en-US" w:eastAsia="zh-CN"/>
        </w:rPr>
        <w:t>.</w:t>
      </w:r>
      <w:r>
        <w:rPr>
          <w:rFonts w:ascii="宋体" w:cs="宋体" w:eastAsia="宋体" w:hAnsi="宋体" w:hint="eastAsia"/>
          <w:color w:val="auto"/>
          <w:sz w:val="24"/>
          <w:szCs w:val="24"/>
        </w:rPr>
        <w:t>时间</w:t>
      </w:r>
      <w:r>
        <w:rPr>
          <w:rFonts w:ascii="宋体" w:cs="宋体" w:eastAsia="宋体" w:hAnsi="宋体" w:hint="eastAsia"/>
          <w:color w:val="auto"/>
          <w:sz w:val="24"/>
          <w:szCs w:val="24"/>
          <w:highlight w:val="none"/>
        </w:rPr>
        <w:t>：202</w:t>
      </w:r>
      <w:r>
        <w:rPr>
          <w:rFonts w:ascii="宋体" w:cs="宋体" w:eastAsia="宋体" w:hAnsi="宋体" w:hint="eastAsia"/>
          <w:color w:val="auto"/>
          <w:sz w:val="24"/>
          <w:szCs w:val="24"/>
          <w:highlight w:val="none"/>
          <w:lang w:val="en-US" w:eastAsia="zh-CN"/>
        </w:rPr>
        <w:t>5</w:t>
      </w:r>
      <w:r>
        <w:rPr>
          <w:rFonts w:ascii="宋体" w:cs="宋体" w:eastAsia="宋体" w:hAnsi="宋体" w:hint="eastAsia"/>
          <w:color w:val="auto"/>
          <w:sz w:val="24"/>
          <w:szCs w:val="24"/>
          <w:highlight w:val="none"/>
        </w:rPr>
        <w:t>年</w:t>
      </w:r>
      <w:r>
        <w:rPr>
          <w:rFonts w:ascii="宋体" w:cs="宋体" w:eastAsia="宋体" w:hAnsi="宋体" w:hint="eastAsia"/>
          <w:color w:val="auto"/>
          <w:sz w:val="24"/>
          <w:szCs w:val="24"/>
          <w:highlight w:val="none"/>
          <w:lang w:val="en-US" w:eastAsia="zh-CN"/>
        </w:rPr>
        <w:t>09</w:t>
      </w:r>
      <w:r>
        <w:rPr>
          <w:rFonts w:ascii="宋体" w:cs="宋体" w:eastAsia="宋体" w:hAnsi="宋体" w:hint="eastAsia"/>
          <w:color w:val="auto"/>
          <w:sz w:val="24"/>
          <w:szCs w:val="24"/>
          <w:highlight w:val="none"/>
        </w:rPr>
        <w:t>月</w:t>
      </w:r>
      <w:r>
        <w:rPr>
          <w:rFonts w:cs="宋体" w:hint="eastAsia"/>
          <w:color w:val="auto"/>
          <w:sz w:val="24"/>
          <w:szCs w:val="24"/>
          <w:highlight w:val="none"/>
          <w:lang w:val="en-US" w:eastAsia="zh-CN"/>
        </w:rPr>
        <w:t>09</w:t>
      </w:r>
      <w:r>
        <w:rPr>
          <w:rFonts w:ascii="宋体" w:cs="宋体" w:eastAsia="宋体" w:hAnsi="宋体" w:hint="eastAsia"/>
          <w:color w:val="auto"/>
          <w:sz w:val="24"/>
          <w:szCs w:val="24"/>
          <w:highlight w:val="none"/>
        </w:rPr>
        <w:t>日至202</w:t>
      </w:r>
      <w:r>
        <w:rPr>
          <w:rFonts w:ascii="宋体" w:cs="宋体" w:eastAsia="宋体" w:hAnsi="宋体" w:hint="eastAsia"/>
          <w:color w:val="auto"/>
          <w:sz w:val="24"/>
          <w:szCs w:val="24"/>
          <w:highlight w:val="none"/>
          <w:lang w:val="en-US" w:eastAsia="zh-CN"/>
        </w:rPr>
        <w:t>5</w:t>
      </w:r>
      <w:r>
        <w:rPr>
          <w:rFonts w:ascii="宋体" w:cs="宋体" w:eastAsia="宋体" w:hAnsi="宋体" w:hint="eastAsia"/>
          <w:color w:val="auto"/>
          <w:sz w:val="24"/>
          <w:szCs w:val="24"/>
          <w:highlight w:val="none"/>
        </w:rPr>
        <w:t>年</w:t>
      </w:r>
      <w:r>
        <w:rPr>
          <w:rFonts w:ascii="宋体" w:cs="宋体" w:eastAsia="宋体" w:hAnsi="宋体" w:hint="eastAsia"/>
          <w:color w:val="auto"/>
          <w:sz w:val="24"/>
          <w:szCs w:val="24"/>
          <w:highlight w:val="none"/>
          <w:lang w:val="en-US" w:eastAsia="zh-CN"/>
        </w:rPr>
        <w:t>09</w:t>
      </w:r>
      <w:r>
        <w:rPr>
          <w:rFonts w:ascii="宋体" w:cs="宋体" w:eastAsia="宋体" w:hAnsi="宋体" w:hint="eastAsia"/>
          <w:color w:val="auto"/>
          <w:sz w:val="24"/>
          <w:szCs w:val="24"/>
          <w:highlight w:val="none"/>
        </w:rPr>
        <w:t>月</w:t>
      </w:r>
      <w:r>
        <w:rPr>
          <w:rFonts w:cs="宋体" w:hint="eastAsia"/>
          <w:color w:val="auto"/>
          <w:sz w:val="24"/>
          <w:szCs w:val="24"/>
          <w:highlight w:val="none"/>
          <w:lang w:val="en-US" w:eastAsia="zh-CN"/>
        </w:rPr>
        <w:t>18</w:t>
      </w:r>
      <w:r>
        <w:rPr>
          <w:rFonts w:ascii="宋体" w:cs="宋体" w:eastAsia="宋体" w:hAnsi="宋体" w:hint="eastAsia"/>
          <w:color w:val="auto"/>
          <w:sz w:val="24"/>
          <w:szCs w:val="24"/>
          <w:highlight w:val="none"/>
        </w:rPr>
        <w:t>日，每天上午00:00至12:00，下午12:00至23:59（北京时间，法定节假日除外。）</w:t>
      </w:r>
    </w:p>
    <w:p w14:paraId="7D14EA95">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2</w:t>
      </w:r>
      <w:r>
        <w:rPr>
          <w:rFonts w:ascii="宋体" w:cs="宋体" w:eastAsia="宋体" w:hAnsi="宋体" w:hint="eastAsia"/>
          <w:color w:val="auto"/>
          <w:sz w:val="24"/>
          <w:szCs w:val="24"/>
          <w:highlight w:val="none"/>
          <w:lang w:val="en-US" w:eastAsia="zh-CN"/>
        </w:rPr>
        <w:t>.</w:t>
      </w:r>
      <w:r>
        <w:rPr>
          <w:rFonts w:ascii="宋体" w:cs="宋体" w:eastAsia="宋体" w:hAnsi="宋体" w:hint="eastAsia"/>
          <w:color w:val="auto"/>
          <w:sz w:val="24"/>
          <w:szCs w:val="24"/>
          <w:highlight w:val="none"/>
        </w:rPr>
        <w:t>地点：河南省公共资源交易中心电子交易平台</w:t>
      </w:r>
    </w:p>
    <w:p w14:paraId="4E357B35">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3</w:t>
      </w:r>
      <w:r>
        <w:rPr>
          <w:rFonts w:ascii="宋体" w:cs="宋体" w:eastAsia="宋体" w:hAnsi="宋体" w:hint="eastAsia"/>
          <w:color w:val="auto"/>
          <w:sz w:val="24"/>
          <w:szCs w:val="24"/>
          <w:highlight w:val="none"/>
          <w:lang w:val="en-US" w:eastAsia="zh-CN"/>
        </w:rPr>
        <w:t>.</w:t>
      </w:r>
      <w:r>
        <w:rPr>
          <w:rFonts w:ascii="宋体" w:cs="宋体" w:eastAsia="宋体" w:hAnsi="宋体" w:hint="eastAsia"/>
          <w:color w:val="auto"/>
          <w:sz w:val="24"/>
          <w:szCs w:val="24"/>
          <w:highlight w:val="none"/>
        </w:rPr>
        <w:t>方式：</w:t>
      </w:r>
      <w:r>
        <w:rPr>
          <w:rFonts w:ascii="宋体" w:cs="宋体" w:eastAsia="宋体" w:hAnsi="宋体" w:hint="eastAsia"/>
          <w:color w:val="auto"/>
          <w:sz w:val="24"/>
          <w:szCs w:val="24"/>
          <w:highlight w:val="none"/>
          <w:lang w:val="en-US" w:eastAsia="zh-CN"/>
        </w:rPr>
        <w:t>凭CA密钥市场主体登录并在规定时间内按网上提示下载采购文件及资料；供应商需要完成信息登记及CA数字证书办理，才能通过省公共资源交易平台交易系统参与交易活动，具体办理事宜请查阅河南省公共资源交易中心网站“办事指南”专区的“新交易平台使用手册（培训资料）”</w:t>
      </w:r>
      <w:r>
        <w:rPr>
          <w:rFonts w:ascii="宋体" w:cs="宋体" w:eastAsia="宋体" w:hAnsi="宋体" w:hint="eastAsia"/>
          <w:color w:val="auto"/>
          <w:sz w:val="24"/>
          <w:szCs w:val="24"/>
          <w:highlight w:val="none"/>
        </w:rPr>
        <w:t>。</w:t>
      </w:r>
    </w:p>
    <w:p w14:paraId="3348FA78">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4</w:t>
      </w:r>
      <w:r>
        <w:rPr>
          <w:rFonts w:ascii="宋体" w:cs="宋体" w:eastAsia="宋体" w:hAnsi="宋体" w:hint="eastAsia"/>
          <w:color w:val="auto"/>
          <w:sz w:val="24"/>
          <w:szCs w:val="24"/>
          <w:highlight w:val="none"/>
          <w:lang w:val="en-US" w:eastAsia="zh-CN"/>
        </w:rPr>
        <w:t>.</w:t>
      </w:r>
      <w:r>
        <w:rPr>
          <w:rFonts w:ascii="宋体" w:cs="宋体" w:eastAsia="宋体" w:hAnsi="宋体" w:hint="eastAsia"/>
          <w:color w:val="auto"/>
          <w:sz w:val="24"/>
          <w:szCs w:val="24"/>
          <w:highlight w:val="none"/>
        </w:rPr>
        <w:t>售价：0元</w:t>
      </w:r>
    </w:p>
    <w:p w14:paraId="4E910544">
      <w:pPr>
        <w:pStyle w:val="style0"/>
        <w:keepNext w:val="false"/>
        <w:keepLines w:val="false"/>
        <w:pageBreakBefore w:val="false"/>
        <w:tabs>
          <w:tab w:val="left" w:leader="none" w:pos="453"/>
        </w:tabs>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color w:val="auto"/>
          <w:kern w:val="0"/>
          <w:sz w:val="24"/>
          <w:szCs w:val="24"/>
          <w:highlight w:val="none"/>
        </w:rPr>
      </w:pPr>
      <w:r>
        <w:rPr>
          <w:rFonts w:ascii="宋体" w:cs="宋体" w:eastAsia="宋体" w:hAnsi="宋体" w:hint="eastAsia"/>
          <w:b/>
          <w:color w:val="auto"/>
          <w:kern w:val="0"/>
          <w:sz w:val="24"/>
          <w:szCs w:val="24"/>
          <w:highlight w:val="none"/>
        </w:rPr>
        <w:t>四、响应文件提交</w:t>
      </w:r>
    </w:p>
    <w:p w14:paraId="67A762E9">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w:t>
      </w:r>
      <w:r>
        <w:rPr>
          <w:rFonts w:ascii="宋体" w:cs="宋体" w:eastAsia="宋体" w:hAnsi="宋体" w:hint="eastAsia"/>
          <w:color w:val="auto"/>
          <w:sz w:val="24"/>
          <w:szCs w:val="24"/>
          <w:highlight w:val="none"/>
          <w:lang w:val="en-US" w:eastAsia="zh-CN"/>
        </w:rPr>
        <w:t>.截止</w:t>
      </w:r>
      <w:r>
        <w:rPr>
          <w:rFonts w:ascii="宋体" w:cs="宋体" w:eastAsia="宋体" w:hAnsi="宋体" w:hint="eastAsia"/>
          <w:color w:val="auto"/>
          <w:sz w:val="24"/>
          <w:szCs w:val="24"/>
          <w:highlight w:val="none"/>
        </w:rPr>
        <w:t>时间：202</w:t>
      </w:r>
      <w:r>
        <w:rPr>
          <w:rFonts w:ascii="宋体" w:cs="宋体" w:eastAsia="宋体" w:hAnsi="宋体" w:hint="eastAsia"/>
          <w:color w:val="auto"/>
          <w:sz w:val="24"/>
          <w:szCs w:val="24"/>
          <w:highlight w:val="none"/>
          <w:lang w:val="en-US" w:eastAsia="zh-CN"/>
        </w:rPr>
        <w:t>5</w:t>
      </w:r>
      <w:r>
        <w:rPr>
          <w:rFonts w:ascii="宋体" w:cs="宋体" w:eastAsia="宋体" w:hAnsi="宋体" w:hint="eastAsia"/>
          <w:color w:val="auto"/>
          <w:sz w:val="24"/>
          <w:szCs w:val="24"/>
          <w:highlight w:val="none"/>
        </w:rPr>
        <w:t>年</w:t>
      </w:r>
      <w:r>
        <w:rPr>
          <w:rFonts w:ascii="宋体" w:cs="宋体" w:eastAsia="宋体" w:hAnsi="宋体" w:hint="eastAsia"/>
          <w:color w:val="auto"/>
          <w:sz w:val="24"/>
          <w:szCs w:val="24"/>
          <w:highlight w:val="none"/>
          <w:lang w:val="en-US" w:eastAsia="zh-CN"/>
        </w:rPr>
        <w:t>09</w:t>
      </w:r>
      <w:r>
        <w:rPr>
          <w:rFonts w:ascii="宋体" w:cs="宋体" w:eastAsia="宋体" w:hAnsi="宋体" w:hint="eastAsia"/>
          <w:color w:val="auto"/>
          <w:sz w:val="24"/>
          <w:szCs w:val="24"/>
          <w:highlight w:val="none"/>
        </w:rPr>
        <w:t>月</w:t>
      </w:r>
      <w:r>
        <w:rPr>
          <w:rFonts w:cs="宋体" w:hint="eastAsia"/>
          <w:color w:val="auto"/>
          <w:sz w:val="24"/>
          <w:szCs w:val="24"/>
          <w:highlight w:val="none"/>
          <w:lang w:val="en-US" w:eastAsia="zh-CN"/>
        </w:rPr>
        <w:t>19</w:t>
      </w:r>
      <w:r>
        <w:rPr>
          <w:rFonts w:ascii="宋体" w:cs="宋体" w:eastAsia="宋体" w:hAnsi="宋体" w:hint="eastAsia"/>
          <w:color w:val="auto"/>
          <w:sz w:val="24"/>
          <w:szCs w:val="24"/>
          <w:highlight w:val="none"/>
        </w:rPr>
        <w:t>日09时00分（北京时间）</w:t>
      </w:r>
    </w:p>
    <w:p w14:paraId="5034ECFC">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rPr>
        <w:t>2</w:t>
      </w:r>
      <w:r>
        <w:rPr>
          <w:rFonts w:ascii="宋体" w:cs="宋体" w:eastAsia="宋体" w:hAnsi="宋体" w:hint="eastAsia"/>
          <w:color w:val="auto"/>
          <w:sz w:val="24"/>
          <w:szCs w:val="24"/>
          <w:lang w:val="en-US" w:eastAsia="zh-CN"/>
        </w:rPr>
        <w:t>.</w:t>
      </w:r>
      <w:r>
        <w:rPr>
          <w:rFonts w:ascii="宋体" w:cs="宋体" w:eastAsia="宋体" w:hAnsi="宋体" w:hint="eastAsia"/>
          <w:color w:val="auto"/>
          <w:sz w:val="24"/>
          <w:szCs w:val="24"/>
        </w:rPr>
        <w:t>地点：河南省公共资源交易中心电子交易平台</w:t>
      </w:r>
      <w:r>
        <w:rPr>
          <w:rFonts w:ascii="宋体" w:cs="宋体" w:eastAsia="宋体" w:hAnsi="宋体" w:hint="eastAsia"/>
          <w:color w:val="auto"/>
          <w:sz w:val="24"/>
          <w:szCs w:val="24"/>
          <w:lang w:val="en-US" w:eastAsia="zh-CN"/>
        </w:rPr>
        <w:t>。各供应商应在响应文件提交截止时间前，通过河南省公共资源交易中心交易系统上传加密的电子投标（响应）文件，加密电子投标（响应）文件逾期上传，采购人不予受理。</w:t>
      </w:r>
    </w:p>
    <w:p w14:paraId="22207DF9">
      <w:pPr>
        <w:pStyle w:val="style0"/>
        <w:keepNext w:val="false"/>
        <w:keepLines w:val="false"/>
        <w:pageBreakBefore w:val="false"/>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color w:val="auto"/>
          <w:kern w:val="0"/>
          <w:sz w:val="24"/>
          <w:szCs w:val="24"/>
        </w:rPr>
      </w:pPr>
      <w:r>
        <w:rPr>
          <w:rFonts w:ascii="宋体" w:cs="宋体" w:eastAsia="宋体" w:hAnsi="宋体" w:hint="eastAsia"/>
          <w:b/>
          <w:color w:val="auto"/>
          <w:kern w:val="0"/>
          <w:sz w:val="24"/>
          <w:szCs w:val="24"/>
        </w:rPr>
        <w:t>五、响应文件开启</w:t>
      </w:r>
    </w:p>
    <w:p w14:paraId="1A636E09">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1</w:t>
      </w:r>
      <w:r>
        <w:rPr>
          <w:rFonts w:ascii="宋体" w:cs="宋体" w:eastAsia="宋体" w:hAnsi="宋体" w:hint="eastAsia"/>
          <w:color w:val="auto"/>
          <w:sz w:val="24"/>
          <w:szCs w:val="24"/>
          <w:lang w:val="en-US" w:eastAsia="zh-CN"/>
        </w:rPr>
        <w:t>.</w:t>
      </w:r>
      <w:r>
        <w:rPr>
          <w:rFonts w:ascii="宋体" w:cs="宋体" w:eastAsia="宋体" w:hAnsi="宋体" w:hint="eastAsia"/>
          <w:color w:val="auto"/>
          <w:sz w:val="24"/>
          <w:szCs w:val="24"/>
        </w:rPr>
        <w:t>时</w:t>
      </w:r>
      <w:r>
        <w:rPr>
          <w:rFonts w:ascii="宋体" w:cs="宋体" w:eastAsia="宋体" w:hAnsi="宋体" w:hint="eastAsia"/>
          <w:color w:val="auto"/>
          <w:sz w:val="24"/>
          <w:szCs w:val="24"/>
          <w:highlight w:val="none"/>
        </w:rPr>
        <w:t>间：202</w:t>
      </w:r>
      <w:r>
        <w:rPr>
          <w:rFonts w:ascii="宋体" w:cs="宋体" w:eastAsia="宋体" w:hAnsi="宋体" w:hint="eastAsia"/>
          <w:color w:val="auto"/>
          <w:sz w:val="24"/>
          <w:szCs w:val="24"/>
          <w:highlight w:val="none"/>
          <w:lang w:val="en-US" w:eastAsia="zh-CN"/>
        </w:rPr>
        <w:t>5</w:t>
      </w:r>
      <w:r>
        <w:rPr>
          <w:rFonts w:ascii="宋体" w:cs="宋体" w:eastAsia="宋体" w:hAnsi="宋体" w:hint="eastAsia"/>
          <w:color w:val="auto"/>
          <w:sz w:val="24"/>
          <w:szCs w:val="24"/>
          <w:highlight w:val="none"/>
        </w:rPr>
        <w:t>年</w:t>
      </w:r>
      <w:r>
        <w:rPr>
          <w:rFonts w:ascii="宋体" w:cs="宋体" w:eastAsia="宋体" w:hAnsi="宋体" w:hint="eastAsia"/>
          <w:color w:val="auto"/>
          <w:sz w:val="24"/>
          <w:szCs w:val="24"/>
          <w:highlight w:val="none"/>
          <w:lang w:val="en-US" w:eastAsia="zh-CN"/>
        </w:rPr>
        <w:t>09</w:t>
      </w:r>
      <w:r>
        <w:rPr>
          <w:rFonts w:ascii="宋体" w:cs="宋体" w:eastAsia="宋体" w:hAnsi="宋体" w:hint="eastAsia"/>
          <w:color w:val="auto"/>
          <w:sz w:val="24"/>
          <w:szCs w:val="24"/>
          <w:highlight w:val="none"/>
        </w:rPr>
        <w:t>月</w:t>
      </w:r>
      <w:r>
        <w:rPr>
          <w:rFonts w:cs="宋体" w:hint="eastAsia"/>
          <w:color w:val="auto"/>
          <w:sz w:val="24"/>
          <w:szCs w:val="24"/>
          <w:highlight w:val="none"/>
          <w:lang w:val="en-US" w:eastAsia="zh-CN"/>
        </w:rPr>
        <w:t>19</w:t>
      </w:r>
      <w:r>
        <w:rPr>
          <w:rFonts w:ascii="宋体" w:cs="宋体" w:eastAsia="宋体" w:hAnsi="宋体" w:hint="eastAsia"/>
          <w:color w:val="auto"/>
          <w:sz w:val="24"/>
          <w:szCs w:val="24"/>
          <w:highlight w:val="none"/>
        </w:rPr>
        <w:t>日09时00分（北京时间）</w:t>
      </w:r>
    </w:p>
    <w:p w14:paraId="13C17885">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rPr>
        <w:t>2</w:t>
      </w:r>
      <w:r>
        <w:rPr>
          <w:rFonts w:ascii="宋体" w:cs="宋体" w:eastAsia="宋体" w:hAnsi="宋体" w:hint="eastAsia"/>
          <w:color w:val="auto"/>
          <w:sz w:val="24"/>
          <w:szCs w:val="24"/>
          <w:lang w:val="en-US" w:eastAsia="zh-CN"/>
        </w:rPr>
        <w:t>.</w:t>
      </w:r>
      <w:r>
        <w:rPr>
          <w:rFonts w:ascii="宋体" w:cs="宋体" w:eastAsia="宋体" w:hAnsi="宋体" w:hint="eastAsia"/>
          <w:color w:val="auto"/>
          <w:sz w:val="24"/>
          <w:szCs w:val="24"/>
        </w:rPr>
        <w:t>地点</w:t>
      </w:r>
      <w:r>
        <w:rPr>
          <w:rFonts w:ascii="宋体" w:cs="宋体" w:eastAsia="宋体" w:hAnsi="宋体" w:hint="eastAsia"/>
          <w:color w:val="auto"/>
          <w:sz w:val="24"/>
          <w:szCs w:val="24"/>
          <w:highlight w:val="none"/>
        </w:rPr>
        <w:t>：</w:t>
      </w:r>
      <w:r>
        <w:rPr>
          <w:rFonts w:ascii="宋体" w:cs="宋体" w:eastAsia="宋体" w:hAnsi="宋体" w:hint="eastAsia"/>
          <w:snapToGrid w:val="false"/>
          <w:color w:val="auto"/>
          <w:spacing w:val="0"/>
          <w:kern w:val="0"/>
          <w:sz w:val="24"/>
          <w:szCs w:val="24"/>
          <w:highlight w:val="none"/>
          <w:lang w:val="en-US" w:eastAsia="zh-CN"/>
        </w:rPr>
        <w:t>河南省公共资源交易中心远程开标室</w:t>
      </w:r>
      <w:r>
        <w:rPr>
          <w:rFonts w:cs="宋体" w:hint="eastAsia"/>
          <w:snapToGrid w:val="false"/>
          <w:color w:val="auto"/>
          <w:spacing w:val="0"/>
          <w:kern w:val="0"/>
          <w:sz w:val="24"/>
          <w:szCs w:val="24"/>
          <w:highlight w:val="none"/>
          <w:lang w:val="en-US" w:eastAsia="zh-CN"/>
        </w:rPr>
        <w:t>（四）-2</w:t>
      </w:r>
      <w:r>
        <w:rPr>
          <w:rFonts w:ascii="宋体" w:cs="宋体" w:eastAsia="宋体" w:hAnsi="宋体" w:hint="eastAsia"/>
          <w:snapToGrid w:val="false"/>
          <w:color w:val="auto"/>
          <w:spacing w:val="0"/>
          <w:kern w:val="0"/>
          <w:sz w:val="24"/>
          <w:szCs w:val="24"/>
          <w:highlight w:val="none"/>
          <w:lang w:val="en-US" w:eastAsia="zh-CN"/>
        </w:rPr>
        <w:t>。本项目</w:t>
      </w:r>
      <w:r>
        <w:rPr>
          <w:rFonts w:ascii="宋体" w:cs="宋体" w:eastAsia="宋体" w:hAnsi="宋体" w:hint="eastAsia"/>
          <w:snapToGrid w:val="false"/>
          <w:color w:val="auto"/>
          <w:spacing w:val="0"/>
          <w:kern w:val="0"/>
          <w:sz w:val="24"/>
          <w:szCs w:val="24"/>
          <w:lang w:val="en-US" w:eastAsia="zh-CN"/>
        </w:rPr>
        <w:t>采用“远程不见面”开标方式，投标人无需到河南省公共资源交易中心现场参加开标会议。投标人应当在招标文件确定的投标截止时间前，登录河南省公共资源交易中心网站（http://hnsggzyjy.henan.gov.cn/），点击不见面开标大厅入口，在线准时参加开标活动并进行投标文件解密、答疑澄清等</w:t>
      </w:r>
    </w:p>
    <w:p w14:paraId="365180AE">
      <w:pPr>
        <w:pStyle w:val="style0"/>
        <w:keepNext w:val="false"/>
        <w:keepLines w:val="false"/>
        <w:pageBreakBefore w:val="false"/>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kern w:val="0"/>
          <w:sz w:val="24"/>
          <w:szCs w:val="24"/>
        </w:rPr>
      </w:pPr>
      <w:r>
        <w:rPr>
          <w:rFonts w:ascii="宋体" w:cs="宋体" w:eastAsia="宋体" w:hAnsi="宋体" w:hint="eastAsia"/>
          <w:b/>
          <w:kern w:val="0"/>
          <w:sz w:val="24"/>
          <w:szCs w:val="24"/>
        </w:rPr>
        <w:t>六、发布公告的媒介及招标公告期限</w:t>
      </w:r>
    </w:p>
    <w:p w14:paraId="11B13086">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color w:val="ff0000"/>
          <w:sz w:val="24"/>
          <w:szCs w:val="24"/>
        </w:rPr>
      </w:pPr>
      <w:r>
        <w:rPr>
          <w:rFonts w:ascii="宋体" w:cs="宋体" w:eastAsia="宋体" w:hAnsi="宋体" w:hint="eastAsia"/>
          <w:sz w:val="24"/>
          <w:szCs w:val="24"/>
        </w:rPr>
        <w:t>本次</w:t>
      </w:r>
      <w:r>
        <w:rPr>
          <w:rFonts w:ascii="宋体" w:cs="宋体" w:eastAsia="宋体" w:hAnsi="宋体" w:hint="eastAsia"/>
          <w:sz w:val="24"/>
          <w:szCs w:val="24"/>
          <w:lang w:val="en-US" w:eastAsia="zh-CN"/>
        </w:rPr>
        <w:t>招标</w:t>
      </w:r>
      <w:r>
        <w:rPr>
          <w:rFonts w:ascii="宋体" w:cs="宋体" w:eastAsia="宋体" w:hAnsi="宋体" w:hint="eastAsia"/>
          <w:sz w:val="24"/>
          <w:szCs w:val="24"/>
        </w:rPr>
        <w:t>公告在</w:t>
      </w:r>
      <w:r>
        <w:rPr>
          <w:rFonts w:ascii="宋体" w:cs="宋体" w:eastAsia="宋体" w:hAnsi="宋体" w:hint="eastAsia"/>
          <w:sz w:val="24"/>
          <w:szCs w:val="24"/>
          <w:lang w:eastAsia="zh-CN"/>
        </w:rPr>
        <w:t>《河南省政府采购网》《</w:t>
      </w:r>
      <w:r>
        <w:rPr>
          <w:rFonts w:ascii="宋体" w:cs="宋体" w:eastAsia="宋体" w:hAnsi="宋体" w:hint="eastAsia"/>
          <w:sz w:val="24"/>
          <w:szCs w:val="24"/>
          <w:lang w:val="en-US" w:eastAsia="zh-CN"/>
        </w:rPr>
        <w:t>中国</w:t>
      </w:r>
      <w:r>
        <w:rPr>
          <w:rFonts w:ascii="宋体" w:cs="宋体" w:eastAsia="宋体" w:hAnsi="宋体" w:hint="eastAsia"/>
          <w:sz w:val="24"/>
          <w:szCs w:val="24"/>
          <w:lang w:eastAsia="zh-CN"/>
        </w:rPr>
        <w:t>招标投标公共服务平台》《河南省公共资源交易中心》</w:t>
      </w:r>
      <w:r>
        <w:rPr>
          <w:rFonts w:ascii="宋体" w:cs="宋体" w:eastAsia="宋体" w:hAnsi="宋体" w:hint="eastAsia"/>
          <w:sz w:val="24"/>
          <w:szCs w:val="24"/>
        </w:rPr>
        <w:t>上发布，</w:t>
      </w:r>
      <w:r>
        <w:rPr>
          <w:rFonts w:ascii="宋体" w:cs="宋体" w:eastAsia="宋体" w:hAnsi="宋体" w:hint="eastAsia"/>
          <w:sz w:val="24"/>
          <w:szCs w:val="24"/>
          <w:lang w:val="en-US" w:eastAsia="zh-CN"/>
        </w:rPr>
        <w:t>招标</w:t>
      </w:r>
      <w:r>
        <w:rPr>
          <w:rFonts w:ascii="宋体" w:cs="宋体" w:eastAsia="宋体" w:hAnsi="宋体" w:hint="eastAsia"/>
          <w:sz w:val="24"/>
          <w:szCs w:val="24"/>
        </w:rPr>
        <w:t>公告期限为三个工作日。</w:t>
      </w:r>
    </w:p>
    <w:bookmarkStart w:id="8" w:name="_Toc35393804"/>
    <w:bookmarkStart w:id="9" w:name="_Toc35393635"/>
    <w:p w14:paraId="4953CC67">
      <w:pPr>
        <w:pStyle w:val="style0"/>
        <w:keepNext w:val="false"/>
        <w:keepLines w:val="false"/>
        <w:pageBreakBefore w:val="false"/>
        <w:numPr>
          <w:ilvl w:val="0"/>
          <w:numId w:val="0"/>
        </w:numPr>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kern w:val="0"/>
          <w:sz w:val="24"/>
          <w:szCs w:val="24"/>
        </w:rPr>
      </w:pPr>
      <w:r>
        <w:rPr>
          <w:rFonts w:ascii="宋体" w:cs="宋体" w:eastAsia="宋体" w:hAnsi="宋体" w:hint="eastAsia"/>
          <w:b/>
          <w:kern w:val="0"/>
          <w:sz w:val="24"/>
          <w:szCs w:val="24"/>
          <w:lang w:val="en-US" w:eastAsia="zh-CN"/>
        </w:rPr>
        <w:t>七、</w:t>
      </w:r>
      <w:r>
        <w:rPr>
          <w:rFonts w:ascii="宋体" w:cs="宋体" w:eastAsia="宋体" w:hAnsi="宋体" w:hint="eastAsia"/>
          <w:b/>
          <w:kern w:val="0"/>
          <w:sz w:val="24"/>
          <w:szCs w:val="24"/>
        </w:rPr>
        <w:t>其他补充事宜</w:t>
      </w:r>
      <w:bookmarkEnd w:id="8"/>
      <w:bookmarkEnd w:id="9"/>
    </w:p>
    <w:p w14:paraId="759CC8D4">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本项目采用“远程不见面”开标方式，供应商无需到河南省公共资源交易中心现场参加开标会议及递交纸质投标（响应）文件，无需到达现场提交原件资料。供应商应当在采购文件确定的截止时间前，登录河南省不见面开标大厅系统（http://hnsggzyjy.henan.gov.cn/BidOpening/bidopeninghallaction/hall/login），在线准时参加开标活动并进行投标（响应）文件解密、答疑澄清等。</w:t>
      </w:r>
    </w:p>
    <w:p w14:paraId="0945FE38">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2.不见面开标大厅操作具体事宜请查阅河南省公共资源交易中心网站“办事指南”专区的“新交易平台使用手册（培训资料）”。</w:t>
      </w:r>
    </w:p>
    <w:p w14:paraId="343C8B01">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lang w:val="en-US" w:eastAsia="zh-CN"/>
        </w:rPr>
        <w:t>3.本项目落实节约能源、保护环境，优先采购节能环保、环境标志性产品、优先采购自主创新产品，支持脱贫攻坚，扶持不发达地区和少数民族地区，促进中小微企业、监狱企业及残疾人福利性单位发展等政府采购政策</w:t>
      </w:r>
      <w:r>
        <w:rPr>
          <w:rFonts w:ascii="宋体" w:cs="宋体" w:eastAsia="宋体" w:hAnsi="宋体" w:hint="eastAsia"/>
          <w:sz w:val="24"/>
          <w:szCs w:val="24"/>
        </w:rPr>
        <w:t>。</w:t>
      </w:r>
    </w:p>
    <w:p w14:paraId="1068130B">
      <w:pPr>
        <w:pStyle w:val="style0"/>
        <w:keepNext w:val="false"/>
        <w:keepLines w:val="false"/>
        <w:pageBreakBefore w:val="false"/>
        <w:kinsoku/>
        <w:wordWrap w:val="false"/>
        <w:overflowPunct/>
        <w:topLinePunct w:val="false"/>
        <w:bidi w:val="false"/>
        <w:adjustRightInd w:val="false"/>
        <w:snapToGrid w:val="false"/>
        <w:spacing w:lineRule="auto" w:line="360"/>
        <w:ind w:firstLine="480" w:firstLineChars="20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4.本项目代理服务费参照《河南省招标代理服务收费指导意见》（豫招协〔2023〕002号）规定的收费标准，由成交人在领取成交通知书时向代理机构一次性支付。</w:t>
      </w:r>
    </w:p>
    <w:bookmarkStart w:id="10" w:name="_Toc35393636"/>
    <w:bookmarkStart w:id="11" w:name="_Toc35393805"/>
    <w:bookmarkStart w:id="12" w:name="_Toc28359018"/>
    <w:bookmarkStart w:id="13" w:name="_Toc28359095"/>
    <w:p w14:paraId="0C6F1BA1">
      <w:pPr>
        <w:pStyle w:val="style0"/>
        <w:keepNext w:val="false"/>
        <w:keepLines w:val="false"/>
        <w:pageBreakBefore w:val="false"/>
        <w:kinsoku/>
        <w:wordWrap w:val="false"/>
        <w:overflowPunct/>
        <w:topLinePunct w:val="false"/>
        <w:bidi w:val="false"/>
        <w:adjustRightInd w:val="false"/>
        <w:snapToGrid w:val="false"/>
        <w:spacing w:lineRule="auto" w:line="360"/>
        <w:ind w:firstLine="482" w:firstLineChars="200"/>
        <w:textAlignment w:val="auto"/>
        <w:rPr>
          <w:rFonts w:ascii="宋体" w:cs="宋体" w:eastAsia="宋体" w:hAnsi="宋体" w:hint="eastAsia"/>
          <w:b/>
          <w:kern w:val="0"/>
          <w:sz w:val="24"/>
          <w:szCs w:val="24"/>
        </w:rPr>
      </w:pPr>
      <w:r>
        <w:rPr>
          <w:rFonts w:ascii="宋体" w:cs="宋体" w:eastAsia="宋体" w:hAnsi="宋体" w:hint="eastAsia"/>
          <w:b/>
          <w:kern w:val="0"/>
          <w:sz w:val="24"/>
          <w:szCs w:val="24"/>
        </w:rPr>
        <w:t>八、凡对本次采购提出询问，请按以下方式联系</w:t>
      </w:r>
      <w:bookmarkEnd w:id="10"/>
      <w:bookmarkEnd w:id="11"/>
      <w:bookmarkEnd w:id="12"/>
      <w:bookmarkEnd w:id="13"/>
    </w:p>
    <w:p w14:paraId="54389448">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rPr>
        <w:t>1.采购人信息</w:t>
      </w:r>
    </w:p>
    <w:p w14:paraId="1BF250A2">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rPr>
        <w:t>名称：河南城建学院</w:t>
      </w:r>
    </w:p>
    <w:p w14:paraId="48CEC98C">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rPr>
        <w:t>地址：河南省平顶山市新城区龙翔大道</w:t>
      </w:r>
    </w:p>
    <w:p w14:paraId="4524BE49">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rPr>
        <w:t>联系人：郭先生</w:t>
      </w:r>
    </w:p>
    <w:p w14:paraId="3B5DBFBD">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rPr>
        <w:t>联系电话：0375-2089067</w:t>
      </w:r>
    </w:p>
    <w:bookmarkStart w:id="14" w:name="第二章__供应商须知"/>
    <w:bookmarkEnd w:id="14"/>
    <w:p w14:paraId="23C4CE3C">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rPr>
        <w:t>2.采购代理机构信息</w:t>
      </w:r>
    </w:p>
    <w:p w14:paraId="7155E9C7">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名称：河南恒益建设工程咨询有限公司</w:t>
      </w:r>
    </w:p>
    <w:p w14:paraId="566CED3C">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地址：平顶山市火车站西侧良基地产五楼</w:t>
      </w:r>
    </w:p>
    <w:p w14:paraId="00AFA9BA">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联系人：孙女士   </w:t>
      </w:r>
    </w:p>
    <w:p w14:paraId="48904BFF">
      <w:pPr>
        <w:pStyle w:val="style0"/>
        <w:keepNext w:val="false"/>
        <w:keepLines w:val="false"/>
        <w:pageBreakBefore w:val="false"/>
        <w:kinsoku/>
        <w:overflowPunct/>
        <w:topLinePunct w:val="false"/>
        <w:autoSpaceDE/>
        <w:autoSpaceDN/>
        <w:bidi w:val="false"/>
        <w:adjustRightInd w:val="false"/>
        <w:snapToGrid w:val="false"/>
        <w:spacing w:lineRule="auto" w:line="360"/>
        <w:ind w:firstLine="480" w:firstLineChars="200"/>
        <w:textAlignment w:val="auto"/>
        <w:rPr>
          <w:rFonts w:ascii="宋体" w:cs="宋体" w:eastAsia="宋体" w:hAnsi="宋体" w:hint="eastAsia"/>
          <w:sz w:val="24"/>
          <w:szCs w:val="24"/>
        </w:rPr>
      </w:pPr>
      <w:r>
        <w:rPr>
          <w:rFonts w:ascii="宋体" w:cs="宋体" w:eastAsia="宋体" w:hAnsi="宋体" w:hint="eastAsia"/>
          <w:color w:val="auto"/>
          <w:sz w:val="24"/>
          <w:szCs w:val="24"/>
          <w:highlight w:val="none"/>
        </w:rPr>
        <w:t>联系方式：1769826631</w:t>
      </w:r>
      <w:r>
        <w:rPr>
          <w:rFonts w:ascii="宋体" w:cs="宋体" w:eastAsia="宋体" w:hAnsi="宋体" w:hint="eastAsia"/>
          <w:color w:val="auto"/>
          <w:sz w:val="24"/>
          <w:szCs w:val="24"/>
          <w:highlight w:val="none"/>
          <w:lang w:val="en-US" w:eastAsia="zh-CN"/>
        </w:rPr>
        <w:t>6</w:t>
      </w:r>
    </w:p>
    <w:p w14:paraId="357A062C">
      <w:pPr>
        <w:pStyle w:val="style0"/>
        <w:keepNext w:val="false"/>
        <w:keepLines w:val="false"/>
        <w:pageBreakBefore w:val="false"/>
        <w:kinsoku/>
        <w:wordWrap w:val="false"/>
        <w:overflowPunct/>
        <w:topLinePunct w:val="false"/>
        <w:autoSpaceDE w:val="false"/>
        <w:bidi w:val="false"/>
        <w:adjustRightInd w:val="false"/>
        <w:snapToGrid w:val="false"/>
        <w:spacing w:lineRule="auto" w:line="360"/>
        <w:ind w:firstLine="480" w:firstLineChars="200"/>
        <w:jc w:val="left"/>
        <w:textAlignment w:val="auto"/>
        <w:rPr>
          <w:rFonts w:ascii="宋体" w:cs="宋体" w:eastAsia="宋体" w:hAnsi="宋体" w:hint="eastAsia"/>
          <w:bCs/>
          <w:kern w:val="0"/>
          <w:sz w:val="24"/>
          <w:szCs w:val="24"/>
        </w:rPr>
      </w:pPr>
      <w:r>
        <w:rPr>
          <w:rFonts w:ascii="宋体" w:cs="宋体" w:eastAsia="宋体" w:hAnsi="宋体" w:hint="eastAsia"/>
          <w:bCs/>
          <w:kern w:val="0"/>
          <w:sz w:val="24"/>
          <w:szCs w:val="24"/>
        </w:rPr>
        <w:t>3.项目联系方式</w:t>
      </w:r>
    </w:p>
    <w:p w14:paraId="3925B020">
      <w:pPr>
        <w:pStyle w:val="style0"/>
        <w:keepNext w:val="false"/>
        <w:keepLines w:val="false"/>
        <w:pageBreakBefore w:val="false"/>
        <w:kinsoku/>
        <w:wordWrap w:val="false"/>
        <w:overflowPunct/>
        <w:topLinePunct w:val="false"/>
        <w:autoSpaceDE w:val="false"/>
        <w:bidi w:val="false"/>
        <w:adjustRightInd w:val="false"/>
        <w:snapToGrid w:val="false"/>
        <w:spacing w:lineRule="auto" w:line="360"/>
        <w:ind w:firstLine="480" w:firstLineChars="200"/>
        <w:jc w:val="left"/>
        <w:textAlignment w:val="auto"/>
        <w:rPr>
          <w:rFonts w:ascii="宋体" w:cs="宋体" w:eastAsia="宋体" w:hAnsi="宋体" w:hint="eastAsia"/>
          <w:bCs/>
          <w:kern w:val="0"/>
          <w:sz w:val="24"/>
          <w:szCs w:val="24"/>
          <w:lang w:val="en-US" w:eastAsia="zh-CN"/>
        </w:rPr>
      </w:pPr>
      <w:r>
        <w:rPr>
          <w:rFonts w:ascii="宋体" w:cs="宋体" w:eastAsia="宋体" w:hAnsi="宋体" w:hint="eastAsia"/>
          <w:bCs/>
          <w:kern w:val="0"/>
          <w:sz w:val="24"/>
          <w:szCs w:val="24"/>
          <w:lang w:val="en-US" w:eastAsia="zh-CN"/>
        </w:rPr>
        <w:t>项目</w:t>
      </w:r>
      <w:r>
        <w:rPr>
          <w:rFonts w:ascii="宋体" w:cs="宋体" w:eastAsia="宋体" w:hAnsi="宋体" w:hint="eastAsia"/>
          <w:bCs/>
          <w:kern w:val="0"/>
          <w:sz w:val="24"/>
          <w:szCs w:val="24"/>
        </w:rPr>
        <w:t>联系人：</w:t>
      </w:r>
      <w:r>
        <w:rPr>
          <w:rFonts w:ascii="宋体" w:cs="宋体" w:eastAsia="宋体" w:hAnsi="宋体" w:hint="eastAsia"/>
          <w:bCs/>
          <w:kern w:val="0"/>
          <w:sz w:val="24"/>
          <w:szCs w:val="24"/>
          <w:lang w:val="en-US" w:eastAsia="zh-CN"/>
        </w:rPr>
        <w:t>孙女士</w:t>
      </w:r>
    </w:p>
    <w:p w14:paraId="5DA64E88">
      <w:pPr>
        <w:pStyle w:val="style0"/>
        <w:keepNext w:val="false"/>
        <w:keepLines w:val="false"/>
        <w:pageBreakBefore w:val="false"/>
        <w:kinsoku/>
        <w:wordWrap w:val="false"/>
        <w:overflowPunct/>
        <w:topLinePunct w:val="false"/>
        <w:autoSpaceDE w:val="false"/>
        <w:bidi w:val="false"/>
        <w:adjustRightInd w:val="false"/>
        <w:snapToGrid w:val="false"/>
        <w:spacing w:lineRule="auto" w:line="360"/>
        <w:ind w:firstLine="480" w:firstLineChars="200"/>
        <w:jc w:val="left"/>
        <w:textAlignment w:val="auto"/>
        <w:rPr>
          <w:rFonts w:ascii="宋体" w:cs="宋体" w:eastAsia="宋体" w:hAnsi="宋体" w:hint="eastAsia"/>
          <w:color w:val="auto"/>
          <w:kern w:val="0"/>
          <w:sz w:val="24"/>
          <w:szCs w:val="24"/>
          <w:highlight w:val="none"/>
          <w:lang w:val="en-US" w:eastAsia="zh-CN"/>
        </w:rPr>
      </w:pPr>
      <w:r>
        <w:rPr>
          <w:rFonts w:ascii="宋体" w:cs="宋体" w:eastAsia="宋体" w:hAnsi="宋体" w:hint="eastAsia"/>
          <w:bCs/>
          <w:kern w:val="0"/>
          <w:sz w:val="24"/>
          <w:szCs w:val="24"/>
        </w:rPr>
        <w:t>联系方式：</w:t>
      </w:r>
      <w:r>
        <w:rPr>
          <w:rFonts w:ascii="宋体" w:cs="宋体" w:eastAsia="宋体" w:hAnsi="宋体" w:hint="eastAsia"/>
          <w:color w:val="auto"/>
          <w:sz w:val="24"/>
          <w:szCs w:val="24"/>
          <w:highlight w:val="none"/>
        </w:rPr>
        <w:t>1769826631</w:t>
      </w:r>
      <w:r>
        <w:rPr>
          <w:rFonts w:ascii="宋体" w:cs="宋体" w:eastAsia="宋体" w:hAnsi="宋体" w:hint="eastAsia"/>
          <w:color w:val="auto"/>
          <w:sz w:val="24"/>
          <w:szCs w:val="24"/>
          <w:highlight w:val="none"/>
          <w:lang w:val="en-US" w:eastAsia="zh-CN"/>
        </w:rPr>
        <w:t>6</w:t>
      </w:r>
    </w:p>
    <w:p w14:paraId="39FEC2B1">
      <w:pPr>
        <w:pStyle w:val="style0"/>
        <w:rPr>
          <w:rFonts w:ascii="宋体" w:cs="宋体" w:eastAsia="宋体" w:hAnsi="宋体" w:hint="eastAsia"/>
          <w:b/>
          <w:color w:val="auto"/>
          <w:sz w:val="32"/>
          <w:szCs w:val="32"/>
          <w:highlight w:val="none"/>
          <w:lang w:eastAsia="zh-CN"/>
        </w:rPr>
      </w:pPr>
      <w:r>
        <w:rPr>
          <w:rFonts w:ascii="宋体" w:cs="宋体" w:eastAsia="宋体" w:hAnsi="宋体" w:hint="eastAsia"/>
          <w:b/>
          <w:color w:val="auto"/>
          <w:sz w:val="32"/>
          <w:szCs w:val="32"/>
          <w:highlight w:val="none"/>
          <w:lang w:eastAsia="zh-CN"/>
        </w:rPr>
        <w:br w:type="page"/>
      </w:r>
    </w:p>
    <w:bookmarkStart w:id="15" w:name="_Toc9419"/>
    <w:p w14:paraId="2CA09173">
      <w:pPr>
        <w:pStyle w:val="style0"/>
        <w:jc w:val="center"/>
        <w:outlineLvl w:val="0"/>
        <w:rPr>
          <w:rFonts w:ascii="宋体" w:cs="宋体" w:eastAsia="宋体" w:hAnsi="宋体" w:hint="eastAsia"/>
          <w:b/>
          <w:color w:val="auto"/>
          <w:sz w:val="32"/>
          <w:szCs w:val="32"/>
          <w:highlight w:val="none"/>
          <w:lang w:eastAsia="zh-CN"/>
        </w:rPr>
      </w:pPr>
      <w:r>
        <w:rPr>
          <w:rFonts w:ascii="宋体" w:cs="宋体" w:eastAsia="宋体" w:hAnsi="宋体" w:hint="eastAsia"/>
          <w:b/>
          <w:color w:val="auto"/>
          <w:sz w:val="32"/>
          <w:szCs w:val="32"/>
          <w:highlight w:val="none"/>
          <w:lang w:eastAsia="zh-CN"/>
        </w:rPr>
        <w:t>第二章</w:t>
      </w:r>
      <w:r>
        <w:rPr>
          <w:rFonts w:ascii="宋体" w:cs="宋体" w:eastAsia="宋体" w:hAnsi="宋体" w:hint="eastAsia"/>
          <w:b/>
          <w:color w:val="auto"/>
          <w:sz w:val="32"/>
          <w:szCs w:val="32"/>
          <w:highlight w:val="none"/>
          <w:lang w:val="en-US" w:eastAsia="zh-CN"/>
        </w:rPr>
        <w:t xml:space="preserve">  </w:t>
      </w:r>
      <w:r>
        <w:rPr>
          <w:rFonts w:ascii="宋体" w:cs="宋体" w:eastAsia="宋体" w:hAnsi="宋体" w:hint="eastAsia"/>
          <w:b/>
          <w:color w:val="auto"/>
          <w:sz w:val="32"/>
          <w:szCs w:val="32"/>
          <w:highlight w:val="none"/>
          <w:lang w:eastAsia="zh-CN"/>
        </w:rPr>
        <w:t>供应商须知</w:t>
      </w:r>
      <w:bookmarkEnd w:id="15"/>
    </w:p>
    <w:bookmarkStart w:id="16" w:name="供应商须知前附表"/>
    <w:bookmarkStart w:id="17" w:name="_Toc30401"/>
    <w:bookmarkStart w:id="18" w:name="_Toc13957"/>
    <w:bookmarkEnd w:id="16"/>
    <w:p w14:paraId="36AFF442">
      <w:pPr>
        <w:pStyle w:val="style2"/>
        <w:spacing w:before="186" w:lineRule="auto" w:line="360"/>
        <w:ind w:left="510" w:right="425"/>
        <w:outlineLvl w:val="1"/>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供应商须知前附表</w:t>
      </w:r>
      <w:bookmarkEnd w:id="17"/>
      <w:bookmarkEnd w:id="18"/>
    </w:p>
    <w:p w14:paraId="6A2CA4A3">
      <w:pPr>
        <w:pStyle w:val="style66"/>
        <w:spacing w:before="4" w:after="1" w:lineRule="auto" w:line="360"/>
        <w:rPr>
          <w:rFonts w:ascii="宋体" w:cs="宋体" w:eastAsia="宋体" w:hAnsi="宋体" w:hint="eastAsia"/>
          <w:b/>
          <w:color w:val="auto"/>
          <w:sz w:val="12"/>
          <w:highlight w:val="none"/>
          <w:lang w:eastAsia="zh-CN"/>
        </w:rPr>
      </w:pPr>
    </w:p>
    <w:tbl>
      <w:tblPr>
        <w:tblStyle w:val="style105"/>
        <w:tblW w:w="975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59"/>
        <w:gridCol w:w="1945"/>
        <w:gridCol w:w="6948"/>
      </w:tblGrid>
      <w:tr w14:paraId="3FF1F0EF">
        <w:trPr>
          <w:trHeight w:val="492" w:hRule="atLeast"/>
        </w:trPr>
        <w:tc>
          <w:tcPr>
            <w:tcW w:w="859" w:type="dxa"/>
            <w:tcBorders/>
            <w:vAlign w:val="center"/>
          </w:tcPr>
          <w:p w14:paraId="3326918D">
            <w:pPr>
              <w:pStyle w:val="style4105"/>
              <w:spacing w:lineRule="auto" w:line="360"/>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条款号</w:t>
            </w:r>
          </w:p>
        </w:tc>
        <w:tc>
          <w:tcPr>
            <w:tcW w:w="1945" w:type="dxa"/>
            <w:tcBorders/>
            <w:vAlign w:val="center"/>
          </w:tcPr>
          <w:p w14:paraId="37299907">
            <w:pPr>
              <w:pStyle w:val="style4105"/>
              <w:tabs>
                <w:tab w:val="left" w:leader="none" w:pos="744"/>
              </w:tabs>
              <w:spacing w:lineRule="auto" w:line="360"/>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条款名称</w:t>
            </w:r>
          </w:p>
        </w:tc>
        <w:tc>
          <w:tcPr>
            <w:tcW w:w="6948" w:type="dxa"/>
            <w:tcBorders/>
            <w:vAlign w:val="center"/>
          </w:tcPr>
          <w:p w14:paraId="700FEC58">
            <w:pPr>
              <w:pStyle w:val="style4105"/>
              <w:tabs>
                <w:tab w:val="left" w:leader="none" w:pos="1489"/>
              </w:tabs>
              <w:spacing w:lineRule="auto" w:line="360"/>
              <w:ind w:left="110" w:leftChars="50"/>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内</w:t>
            </w:r>
            <w:r>
              <w:rPr>
                <w:rFonts w:ascii="宋体" w:cs="宋体" w:eastAsia="宋体" w:hAnsi="宋体" w:hint="eastAsia"/>
                <w:b/>
                <w:color w:val="auto"/>
                <w:sz w:val="24"/>
                <w:szCs w:val="24"/>
                <w:highlight w:val="none"/>
                <w:lang w:val="en-US" w:eastAsia="zh-CN"/>
              </w:rPr>
              <w:t xml:space="preserve"> </w:t>
            </w:r>
            <w:r>
              <w:rPr>
                <w:rFonts w:ascii="宋体" w:cs="宋体" w:eastAsia="宋体" w:hAnsi="宋体" w:hint="eastAsia"/>
                <w:b/>
                <w:color w:val="auto"/>
                <w:sz w:val="24"/>
                <w:szCs w:val="24"/>
                <w:highlight w:val="none"/>
              </w:rPr>
              <w:t>容</w:t>
            </w:r>
          </w:p>
        </w:tc>
      </w:tr>
      <w:tr w14:paraId="100D9C38">
        <w:tblPrEx/>
        <w:trPr>
          <w:trHeight w:val="1213" w:hRule="atLeast"/>
        </w:trPr>
        <w:tc>
          <w:tcPr>
            <w:tcW w:w="859" w:type="dxa"/>
            <w:tcBorders/>
            <w:vAlign w:val="center"/>
          </w:tcPr>
          <w:p w14:paraId="3CE1FFD3">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1.1.2</w:t>
            </w:r>
          </w:p>
        </w:tc>
        <w:tc>
          <w:tcPr>
            <w:tcW w:w="1945" w:type="dxa"/>
            <w:tcBorders/>
            <w:vAlign w:val="center"/>
          </w:tcPr>
          <w:p w14:paraId="4099A974">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采购人</w:t>
            </w:r>
          </w:p>
        </w:tc>
        <w:tc>
          <w:tcPr>
            <w:tcW w:w="6948" w:type="dxa"/>
            <w:tcBorders/>
            <w:vAlign w:val="center"/>
          </w:tcPr>
          <w:p w14:paraId="3F939507">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名称：河南城建学院</w:t>
            </w:r>
          </w:p>
          <w:p w14:paraId="78EA30E5">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地址：河南省平顶山市新城区龙翔大道</w:t>
            </w:r>
          </w:p>
          <w:p w14:paraId="2F7DBE86">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联系人：郭先生</w:t>
            </w:r>
          </w:p>
          <w:p w14:paraId="5E604AB5">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联系电话：0375-2089067</w:t>
            </w:r>
          </w:p>
        </w:tc>
      </w:tr>
      <w:tr w14:paraId="2A6D06DD">
        <w:tblPrEx/>
        <w:trPr>
          <w:trHeight w:val="1203" w:hRule="atLeast"/>
        </w:trPr>
        <w:tc>
          <w:tcPr>
            <w:tcW w:w="859" w:type="dxa"/>
            <w:tcBorders/>
            <w:vAlign w:val="center"/>
          </w:tcPr>
          <w:p w14:paraId="4B3620B9">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1.1.3</w:t>
            </w:r>
          </w:p>
        </w:tc>
        <w:tc>
          <w:tcPr>
            <w:tcW w:w="1945" w:type="dxa"/>
            <w:tcBorders/>
            <w:vAlign w:val="center"/>
          </w:tcPr>
          <w:p w14:paraId="3519354E">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采购代理机构</w:t>
            </w:r>
          </w:p>
        </w:tc>
        <w:tc>
          <w:tcPr>
            <w:tcW w:w="6948" w:type="dxa"/>
            <w:tcBorders/>
            <w:vAlign w:val="center"/>
          </w:tcPr>
          <w:p w14:paraId="63937CC4">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名称：河南恒益建设工程咨询有限公司</w:t>
            </w:r>
          </w:p>
          <w:p w14:paraId="3AF90B06">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地址：平顶山市火车站西侧良基地产五楼</w:t>
            </w:r>
          </w:p>
          <w:p w14:paraId="24174945">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联系人：孙女士</w:t>
            </w:r>
          </w:p>
          <w:p w14:paraId="460E757E">
            <w:pPr>
              <w:pStyle w:val="style0"/>
              <w:autoSpaceDE/>
              <w:autoSpaceDN/>
              <w:adjustRightInd w:val="false"/>
              <w:snapToGrid w:val="false"/>
              <w:spacing w:lineRule="auto" w:line="360"/>
              <w:jc w:val="left"/>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联系方式：17698266316</w:t>
            </w:r>
          </w:p>
        </w:tc>
      </w:tr>
      <w:tr w14:paraId="2F61017A">
        <w:tblPrEx/>
        <w:trPr>
          <w:trHeight w:val="477" w:hRule="atLeast"/>
        </w:trPr>
        <w:tc>
          <w:tcPr>
            <w:tcW w:w="859" w:type="dxa"/>
            <w:tcBorders/>
            <w:vAlign w:val="center"/>
          </w:tcPr>
          <w:p w14:paraId="4B0B8C37">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1.1.4</w:t>
            </w:r>
          </w:p>
        </w:tc>
        <w:tc>
          <w:tcPr>
            <w:tcW w:w="1945" w:type="dxa"/>
            <w:tcBorders/>
            <w:vAlign w:val="center"/>
          </w:tcPr>
          <w:p w14:paraId="008E53EA">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项目名称及项目</w:t>
            </w:r>
          </w:p>
          <w:p w14:paraId="5AB9F0A8">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所属行业</w:t>
            </w:r>
          </w:p>
        </w:tc>
        <w:tc>
          <w:tcPr>
            <w:tcW w:w="6948" w:type="dxa"/>
            <w:tcBorders/>
            <w:vAlign w:val="center"/>
          </w:tcPr>
          <w:p w14:paraId="5F80D434">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项目名称：</w:t>
            </w:r>
            <w:r>
              <w:rPr>
                <w:rFonts w:ascii="宋体" w:cs="宋体" w:eastAsia="宋体" w:hAnsi="宋体" w:hint="eastAsia"/>
                <w:color w:val="auto"/>
                <w:sz w:val="24"/>
                <w:szCs w:val="24"/>
                <w:highlight w:val="none"/>
                <w:lang w:val="en-US" w:eastAsia="zh-CN"/>
              </w:rPr>
              <w:t>河南城建学院智慧城市行业学院项目</w:t>
            </w:r>
          </w:p>
          <w:p w14:paraId="41467457">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项目所属行业：</w:t>
            </w:r>
            <w:r>
              <w:rPr>
                <w:rFonts w:ascii="宋体" w:cs="宋体" w:eastAsia="宋体" w:hAnsi="宋体" w:hint="eastAsia"/>
                <w:b/>
                <w:bCs/>
                <w:sz w:val="24"/>
                <w:szCs w:val="24"/>
                <w:highlight w:val="none"/>
                <w:lang w:val="en-US" w:eastAsia="zh-CN"/>
              </w:rPr>
              <w:t>工业</w:t>
            </w:r>
          </w:p>
        </w:tc>
      </w:tr>
      <w:tr w14:paraId="202AF344">
        <w:tblPrEx/>
        <w:trPr>
          <w:trHeight w:val="478" w:hRule="atLeast"/>
        </w:trPr>
        <w:tc>
          <w:tcPr>
            <w:tcW w:w="859" w:type="dxa"/>
            <w:tcBorders/>
            <w:vAlign w:val="center"/>
          </w:tcPr>
          <w:p w14:paraId="35D8F206">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1.2.1</w:t>
            </w:r>
          </w:p>
        </w:tc>
        <w:tc>
          <w:tcPr>
            <w:tcW w:w="1945" w:type="dxa"/>
            <w:tcBorders/>
            <w:vAlign w:val="center"/>
          </w:tcPr>
          <w:p w14:paraId="4CB8B8A6">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资金来源</w:t>
            </w:r>
          </w:p>
        </w:tc>
        <w:tc>
          <w:tcPr>
            <w:tcW w:w="6948" w:type="dxa"/>
            <w:tcBorders/>
            <w:vAlign w:val="center"/>
          </w:tcPr>
          <w:p w14:paraId="7D074CBF">
            <w:pPr>
              <w:pStyle w:val="style4105"/>
              <w:spacing w:lineRule="auto" w:line="360"/>
              <w:ind w:left="110" w:leftChars="5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财政资金</w:t>
            </w:r>
          </w:p>
        </w:tc>
      </w:tr>
      <w:tr w14:paraId="4E923EAC">
        <w:tblPrEx/>
        <w:trPr>
          <w:trHeight w:val="90" w:hRule="atLeast"/>
        </w:trPr>
        <w:tc>
          <w:tcPr>
            <w:tcW w:w="859" w:type="dxa"/>
            <w:tcBorders/>
            <w:vAlign w:val="center"/>
          </w:tcPr>
          <w:p w14:paraId="130F2D64">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1.2.2</w:t>
            </w:r>
          </w:p>
        </w:tc>
        <w:tc>
          <w:tcPr>
            <w:tcW w:w="1945" w:type="dxa"/>
            <w:tcBorders/>
            <w:vAlign w:val="center"/>
          </w:tcPr>
          <w:p w14:paraId="074AA742">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预算金额</w:t>
            </w:r>
          </w:p>
          <w:p w14:paraId="0E8242A7">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（最高限价）</w:t>
            </w:r>
          </w:p>
        </w:tc>
        <w:tc>
          <w:tcPr>
            <w:tcW w:w="6948" w:type="dxa"/>
            <w:tcBorders/>
            <w:vAlign w:val="center"/>
          </w:tcPr>
          <w:p w14:paraId="4CC30A99">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详见第一章“竞争性磋商公告”</w:t>
            </w:r>
          </w:p>
        </w:tc>
      </w:tr>
      <w:tr w14:paraId="0E007D1A">
        <w:tblPrEx/>
        <w:trPr>
          <w:trHeight w:val="997" w:hRule="atLeast"/>
        </w:trPr>
        <w:tc>
          <w:tcPr>
            <w:tcW w:w="859" w:type="dxa"/>
            <w:tcBorders/>
            <w:vAlign w:val="center"/>
          </w:tcPr>
          <w:p w14:paraId="6B6E133C">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1.3.1</w:t>
            </w:r>
          </w:p>
        </w:tc>
        <w:tc>
          <w:tcPr>
            <w:tcW w:w="1945" w:type="dxa"/>
            <w:tcBorders/>
            <w:vAlign w:val="center"/>
          </w:tcPr>
          <w:p w14:paraId="3ADD263E">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采购</w:t>
            </w:r>
            <w:r>
              <w:rPr>
                <w:rFonts w:ascii="宋体" w:cs="宋体" w:eastAsia="宋体" w:hAnsi="宋体" w:hint="eastAsia"/>
                <w:color w:val="auto"/>
                <w:sz w:val="24"/>
                <w:szCs w:val="24"/>
                <w:highlight w:val="none"/>
                <w:lang w:val="en-US" w:eastAsia="zh-CN"/>
              </w:rPr>
              <w:t>内容</w:t>
            </w:r>
            <w:r>
              <w:rPr>
                <w:rFonts w:ascii="宋体" w:cs="宋体" w:eastAsia="宋体" w:hAnsi="宋体" w:hint="eastAsia"/>
                <w:color w:val="auto"/>
                <w:sz w:val="24"/>
                <w:szCs w:val="24"/>
                <w:highlight w:val="none"/>
                <w:lang w:eastAsia="zh-CN"/>
              </w:rPr>
              <w:t>及</w:t>
            </w:r>
          </w:p>
          <w:p w14:paraId="1F033833">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分包情况</w:t>
            </w:r>
          </w:p>
        </w:tc>
        <w:tc>
          <w:tcPr>
            <w:tcW w:w="6948" w:type="dxa"/>
            <w:tcBorders/>
            <w:vAlign w:val="center"/>
          </w:tcPr>
          <w:p w14:paraId="7A796C91">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采购内容：</w:t>
            </w:r>
            <w:r>
              <w:rPr>
                <w:rFonts w:ascii="宋体" w:cs="宋体" w:eastAsia="宋体" w:hAnsi="宋体" w:hint="eastAsia"/>
                <w:color w:val="auto"/>
                <w:sz w:val="24"/>
                <w:szCs w:val="24"/>
                <w:highlight w:val="none"/>
                <w:lang w:val="en-US" w:eastAsia="zh-CN"/>
              </w:rPr>
              <w:t>云服务器、云终端及配套桌面云软件、网络设备、桌椅板凳、基础设施配套服务。</w:t>
            </w:r>
            <w:r>
              <w:rPr>
                <w:rFonts w:ascii="宋体" w:cs="宋体" w:eastAsia="宋体" w:hAnsi="宋体" w:hint="eastAsia"/>
                <w:color w:val="auto"/>
                <w:sz w:val="24"/>
                <w:szCs w:val="24"/>
                <w:highlight w:val="none"/>
                <w:lang w:eastAsia="zh-CN"/>
              </w:rPr>
              <w:t>高性能台式</w:t>
            </w:r>
            <w:r>
              <w:rPr>
                <w:rFonts w:ascii="宋体" w:cs="宋体" w:eastAsia="宋体" w:hAnsi="宋体" w:hint="eastAsia"/>
                <w:color w:val="auto"/>
                <w:sz w:val="24"/>
                <w:szCs w:val="24"/>
                <w:highlight w:val="none"/>
                <w:lang w:val="en-US" w:eastAsia="zh-CN"/>
              </w:rPr>
              <w:t>工作站</w:t>
            </w:r>
            <w:r>
              <w:rPr>
                <w:rFonts w:ascii="宋体" w:cs="宋体" w:eastAsia="宋体" w:hAnsi="宋体" w:hint="eastAsia"/>
                <w:color w:val="auto"/>
                <w:sz w:val="24"/>
                <w:szCs w:val="24"/>
                <w:highlight w:val="none"/>
                <w:lang w:eastAsia="zh-CN"/>
              </w:rPr>
              <w:t>25台以及配套管理系统，</w:t>
            </w:r>
            <w:r>
              <w:rPr>
                <w:rFonts w:ascii="宋体" w:cs="宋体" w:eastAsia="宋体" w:hAnsi="宋体" w:hint="eastAsia"/>
                <w:color w:val="auto"/>
                <w:sz w:val="24"/>
                <w:szCs w:val="24"/>
                <w:highlight w:val="none"/>
                <w:lang w:val="en-US" w:eastAsia="zh-CN"/>
              </w:rPr>
              <w:t>60节点网络线路</w:t>
            </w:r>
            <w:r>
              <w:rPr>
                <w:rFonts w:ascii="宋体" w:cs="宋体" w:eastAsia="宋体" w:hAnsi="宋体" w:hint="eastAsia"/>
                <w:color w:val="auto"/>
                <w:sz w:val="24"/>
                <w:szCs w:val="24"/>
                <w:highlight w:val="none"/>
                <w:lang w:eastAsia="zh-CN"/>
              </w:rPr>
              <w:t>。</w:t>
            </w:r>
          </w:p>
          <w:p w14:paraId="6F13F954">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eastAsia="zh-CN"/>
              </w:rPr>
              <w:t>分包情况：本项目共</w:t>
            </w:r>
            <w:r>
              <w:rPr>
                <w:rFonts w:ascii="宋体" w:cs="宋体" w:eastAsia="宋体" w:hAnsi="宋体" w:hint="eastAsia"/>
                <w:color w:val="auto"/>
                <w:sz w:val="24"/>
                <w:szCs w:val="24"/>
                <w:highlight w:val="none"/>
                <w:lang w:val="en-US" w:eastAsia="zh-CN"/>
              </w:rPr>
              <w:t>划分2</w:t>
            </w:r>
            <w:r>
              <w:rPr>
                <w:rFonts w:ascii="宋体" w:cs="宋体" w:eastAsia="宋体" w:hAnsi="宋体" w:hint="eastAsia"/>
                <w:color w:val="auto"/>
                <w:sz w:val="24"/>
                <w:szCs w:val="24"/>
                <w:highlight w:val="none"/>
                <w:lang w:eastAsia="zh-CN"/>
              </w:rPr>
              <w:t>个包</w:t>
            </w:r>
          </w:p>
          <w:p w14:paraId="77F81EC2">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包1：计算机学院标段；</w:t>
            </w:r>
          </w:p>
          <w:p w14:paraId="772939FB">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包2：艺术学院标段。</w:t>
            </w:r>
          </w:p>
        </w:tc>
      </w:tr>
      <w:tr w14:paraId="19CF418A">
        <w:tblPrEx/>
        <w:trPr>
          <w:trHeight w:val="540" w:hRule="atLeast"/>
        </w:trPr>
        <w:tc>
          <w:tcPr>
            <w:tcW w:w="859" w:type="dxa"/>
            <w:tcBorders/>
            <w:vAlign w:val="center"/>
          </w:tcPr>
          <w:p w14:paraId="58493D27">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1.3.2</w:t>
            </w:r>
          </w:p>
        </w:tc>
        <w:tc>
          <w:tcPr>
            <w:tcW w:w="1945" w:type="dxa"/>
            <w:tcBorders/>
            <w:vAlign w:val="center"/>
          </w:tcPr>
          <w:p w14:paraId="3EC269A2">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交货期</w:t>
            </w:r>
          </w:p>
        </w:tc>
        <w:tc>
          <w:tcPr>
            <w:tcW w:w="6948" w:type="dxa"/>
            <w:tcBorders/>
            <w:vAlign w:val="center"/>
          </w:tcPr>
          <w:p w14:paraId="133E7FD2">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包1：合同签订后30个工作日内；</w:t>
            </w:r>
          </w:p>
          <w:p w14:paraId="7CC1C70F">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包2：合同签订后15个工作日内</w:t>
            </w:r>
            <w:r>
              <w:rPr>
                <w:rFonts w:cs="宋体" w:hint="eastAsia"/>
                <w:color w:val="auto"/>
                <w:sz w:val="24"/>
                <w:szCs w:val="24"/>
                <w:highlight w:val="none"/>
                <w:lang w:val="en-US" w:eastAsia="zh-CN"/>
              </w:rPr>
              <w:t>。</w:t>
            </w:r>
          </w:p>
        </w:tc>
      </w:tr>
      <w:tr w14:paraId="127954FC">
        <w:tblPrEx/>
        <w:trPr>
          <w:trHeight w:val="477" w:hRule="atLeast"/>
        </w:trPr>
        <w:tc>
          <w:tcPr>
            <w:tcW w:w="859" w:type="dxa"/>
            <w:tcBorders/>
            <w:vAlign w:val="center"/>
          </w:tcPr>
          <w:p w14:paraId="03F8221F">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1.3.3</w:t>
            </w:r>
          </w:p>
        </w:tc>
        <w:tc>
          <w:tcPr>
            <w:tcW w:w="1945" w:type="dxa"/>
            <w:tcBorders/>
            <w:vAlign w:val="center"/>
          </w:tcPr>
          <w:p w14:paraId="5052C0AD">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质量要求</w:t>
            </w:r>
          </w:p>
        </w:tc>
        <w:tc>
          <w:tcPr>
            <w:tcW w:w="6948" w:type="dxa"/>
            <w:tcBorders/>
            <w:vAlign w:val="center"/>
          </w:tcPr>
          <w:p w14:paraId="4D7741B1">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合格，符合国家相关验收规范标准</w:t>
            </w:r>
            <w:r>
              <w:rPr>
                <w:rFonts w:ascii="宋体" w:cs="宋体" w:eastAsia="宋体" w:hAnsi="宋体" w:hint="eastAsia"/>
                <w:color w:val="auto"/>
                <w:sz w:val="24"/>
                <w:szCs w:val="24"/>
                <w:highlight w:val="none"/>
                <w:lang w:val="en-US" w:eastAsia="zh-CN"/>
              </w:rPr>
              <w:t>及</w:t>
            </w:r>
            <w:r>
              <w:rPr>
                <w:rFonts w:ascii="宋体" w:cs="宋体" w:eastAsia="宋体" w:hAnsi="宋体" w:hint="eastAsia"/>
                <w:color w:val="auto"/>
                <w:sz w:val="24"/>
                <w:szCs w:val="24"/>
                <w:highlight w:val="none"/>
                <w:lang w:eastAsia="zh-CN"/>
              </w:rPr>
              <w:t>采购人要求</w:t>
            </w:r>
          </w:p>
        </w:tc>
      </w:tr>
      <w:tr w14:paraId="31690110">
        <w:tblPrEx/>
        <w:trPr>
          <w:trHeight w:val="479" w:hRule="atLeast"/>
        </w:trPr>
        <w:tc>
          <w:tcPr>
            <w:tcW w:w="859" w:type="dxa"/>
            <w:tcBorders/>
            <w:vAlign w:val="center"/>
          </w:tcPr>
          <w:p w14:paraId="23B37AD0">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1.3.4</w:t>
            </w:r>
          </w:p>
        </w:tc>
        <w:tc>
          <w:tcPr>
            <w:tcW w:w="1945" w:type="dxa"/>
            <w:tcBorders/>
            <w:vAlign w:val="center"/>
          </w:tcPr>
          <w:p w14:paraId="559CDDF1">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质量保证期</w:t>
            </w:r>
          </w:p>
        </w:tc>
        <w:tc>
          <w:tcPr>
            <w:tcW w:w="6948" w:type="dxa"/>
            <w:tcBorders/>
            <w:vAlign w:val="center"/>
          </w:tcPr>
          <w:p w14:paraId="6863E3DF">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叁年</w:t>
            </w:r>
          </w:p>
        </w:tc>
      </w:tr>
      <w:tr w14:paraId="50A1C5B7">
        <w:tblPrEx/>
        <w:trPr>
          <w:trHeight w:val="479" w:hRule="atLeast"/>
        </w:trPr>
        <w:tc>
          <w:tcPr>
            <w:tcW w:w="859" w:type="dxa"/>
            <w:tcBorders/>
            <w:shd w:val="clear" w:color="auto" w:fill="auto"/>
            <w:vAlign w:val="center"/>
          </w:tcPr>
          <w:p w14:paraId="5F48D71D">
            <w:pPr>
              <w:pStyle w:val="style4105"/>
              <w:spacing w:lineRule="auto" w:line="360"/>
              <w:jc w:val="center"/>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eastAsia="zh-CN"/>
              </w:rPr>
              <w:t>1.3.5</w:t>
            </w:r>
          </w:p>
        </w:tc>
        <w:tc>
          <w:tcPr>
            <w:tcW w:w="1945" w:type="dxa"/>
            <w:tcBorders/>
            <w:shd w:val="clear" w:color="auto" w:fill="auto"/>
            <w:vAlign w:val="center"/>
          </w:tcPr>
          <w:p w14:paraId="4D5E0151">
            <w:pPr>
              <w:pStyle w:val="style4105"/>
              <w:spacing w:lineRule="auto" w:line="360"/>
              <w:jc w:val="center"/>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eastAsia="zh-CN"/>
              </w:rPr>
              <w:t>交货地点</w:t>
            </w:r>
          </w:p>
        </w:tc>
        <w:tc>
          <w:tcPr>
            <w:tcW w:w="6948" w:type="dxa"/>
            <w:tcBorders/>
            <w:shd w:val="clear" w:color="auto" w:fill="auto"/>
            <w:vAlign w:val="center"/>
          </w:tcPr>
          <w:p w14:paraId="6AD85DA3">
            <w:pPr>
              <w:pStyle w:val="style4105"/>
              <w:keepNext w:val="false"/>
              <w:keepLines w:val="false"/>
              <w:pageBreakBefore w:val="false"/>
              <w:widowControl w:val="false"/>
              <w:kinsoku/>
              <w:overflowPunct/>
              <w:topLinePunct w:val="false"/>
              <w:autoSpaceDE w:val="false"/>
              <w:autoSpaceDN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采购人指定地点</w:t>
            </w:r>
          </w:p>
        </w:tc>
      </w:tr>
      <w:tr w14:paraId="6E71B158">
        <w:tblPrEx/>
        <w:trPr>
          <w:trHeight w:val="479" w:hRule="atLeast"/>
        </w:trPr>
        <w:tc>
          <w:tcPr>
            <w:tcW w:w="859" w:type="dxa"/>
            <w:tcBorders/>
            <w:vAlign w:val="center"/>
          </w:tcPr>
          <w:p w14:paraId="3D15A6EB">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1.4.1</w:t>
            </w:r>
          </w:p>
        </w:tc>
        <w:tc>
          <w:tcPr>
            <w:tcW w:w="1945" w:type="dxa"/>
            <w:tcBorders/>
            <w:vAlign w:val="center"/>
          </w:tcPr>
          <w:p w14:paraId="2A8E425F">
            <w:pPr>
              <w:pStyle w:val="style4105"/>
              <w:keepNext w:val="false"/>
              <w:keepLines w:val="false"/>
              <w:pageBreakBefore w:val="false"/>
              <w:widowControl w:val="false"/>
              <w:kinsoku/>
              <w:overflowPunct/>
              <w:topLinePunct w:val="false"/>
              <w:autoSpaceDE w:val="false"/>
              <w:autoSpaceDN w:val="false"/>
              <w:bidi w:val="false"/>
              <w:adjustRightInd/>
              <w:snapToGrid/>
              <w:spacing w:lineRule="auto" w:line="360"/>
              <w:ind w:left="110" w:leftChars="50"/>
              <w:jc w:val="center"/>
              <w:textAlignment w:val="auto"/>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供应商</w:t>
            </w:r>
          </w:p>
          <w:p w14:paraId="517EB38B">
            <w:pPr>
              <w:pStyle w:val="style4105"/>
              <w:keepNext w:val="false"/>
              <w:keepLines w:val="false"/>
              <w:pageBreakBefore w:val="false"/>
              <w:widowControl w:val="false"/>
              <w:kinsoku/>
              <w:overflowPunct/>
              <w:topLinePunct w:val="false"/>
              <w:autoSpaceDE w:val="false"/>
              <w:autoSpaceDN w:val="false"/>
              <w:bidi w:val="false"/>
              <w:adjustRightInd/>
              <w:snapToGrid/>
              <w:spacing w:lineRule="auto" w:line="360"/>
              <w:ind w:left="110" w:leftChars="50"/>
              <w:jc w:val="center"/>
              <w:textAlignment w:val="auto"/>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资格要求</w:t>
            </w:r>
          </w:p>
        </w:tc>
        <w:tc>
          <w:tcPr>
            <w:tcW w:w="6948" w:type="dxa"/>
            <w:tcBorders/>
            <w:vAlign w:val="center"/>
          </w:tcPr>
          <w:p w14:paraId="13AE26F9">
            <w:pPr>
              <w:pStyle w:val="style4105"/>
              <w:keepNext w:val="false"/>
              <w:keepLines w:val="false"/>
              <w:pageBreakBefore w:val="false"/>
              <w:widowControl w:val="false"/>
              <w:kinsoku/>
              <w:overflowPunct/>
              <w:topLinePunct w:val="false"/>
              <w:autoSpaceDE w:val="false"/>
              <w:autoSpaceDN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符合“竞争性磋商公告二、申请人的资格要求”的要求</w:t>
            </w:r>
          </w:p>
        </w:tc>
      </w:tr>
      <w:tr w14:paraId="6C40711E">
        <w:tblPrEx/>
        <w:trPr>
          <w:trHeight w:val="479" w:hRule="atLeast"/>
        </w:trPr>
        <w:tc>
          <w:tcPr>
            <w:tcW w:w="859" w:type="dxa"/>
            <w:tcBorders/>
            <w:vAlign w:val="center"/>
          </w:tcPr>
          <w:p w14:paraId="7F2B69CB">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1.10</w:t>
            </w:r>
          </w:p>
        </w:tc>
        <w:tc>
          <w:tcPr>
            <w:tcW w:w="1945" w:type="dxa"/>
            <w:tcBorders/>
            <w:vAlign w:val="center"/>
          </w:tcPr>
          <w:p w14:paraId="24C51FF3">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踏勘现场</w:t>
            </w:r>
          </w:p>
        </w:tc>
        <w:tc>
          <w:tcPr>
            <w:tcW w:w="6948" w:type="dxa"/>
            <w:tcBorders/>
            <w:vAlign w:val="center"/>
          </w:tcPr>
          <w:p w14:paraId="4D7CF8A6">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不组织</w:t>
            </w:r>
          </w:p>
        </w:tc>
      </w:tr>
      <w:tr w14:paraId="17D04422">
        <w:tblPrEx/>
        <w:trPr>
          <w:trHeight w:val="479" w:hRule="atLeast"/>
        </w:trPr>
        <w:tc>
          <w:tcPr>
            <w:tcW w:w="859" w:type="dxa"/>
            <w:tcBorders/>
            <w:vAlign w:val="center"/>
          </w:tcPr>
          <w:p w14:paraId="2ADEBBD7">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1.11</w:t>
            </w:r>
          </w:p>
        </w:tc>
        <w:tc>
          <w:tcPr>
            <w:tcW w:w="1945" w:type="dxa"/>
            <w:tcBorders/>
            <w:vAlign w:val="center"/>
          </w:tcPr>
          <w:p w14:paraId="639332D2">
            <w:pPr>
              <w:pStyle w:val="style4105"/>
              <w:spacing w:lineRule="auto" w:line="360"/>
              <w:jc w:val="center"/>
              <w:rPr>
                <w:rFonts w:ascii="宋体" w:cs="宋体" w:eastAsia="宋体" w:hAnsi="宋体" w:hint="eastAsia"/>
                <w:color w:val="auto"/>
                <w:w w:val="99"/>
                <w:sz w:val="24"/>
                <w:szCs w:val="24"/>
                <w:highlight w:val="none"/>
              </w:rPr>
            </w:pPr>
            <w:r>
              <w:rPr>
                <w:rFonts w:ascii="宋体" w:cs="宋体" w:eastAsia="宋体" w:hAnsi="宋体" w:hint="eastAsia"/>
                <w:color w:val="auto"/>
                <w:sz w:val="24"/>
                <w:szCs w:val="24"/>
                <w:highlight w:val="none"/>
              </w:rPr>
              <w:t>分包</w:t>
            </w:r>
          </w:p>
        </w:tc>
        <w:tc>
          <w:tcPr>
            <w:tcW w:w="6948" w:type="dxa"/>
            <w:tcBorders/>
            <w:vAlign w:val="center"/>
          </w:tcPr>
          <w:p w14:paraId="0CC5A522">
            <w:pPr>
              <w:pStyle w:val="style4105"/>
              <w:spacing w:lineRule="auto" w:line="360"/>
              <w:ind w:left="110" w:leftChars="50"/>
              <w:rPr>
                <w:rFonts w:ascii="宋体" w:cs="宋体" w:eastAsia="宋体" w:hAnsi="宋体" w:hint="eastAsia"/>
                <w:color w:val="auto"/>
                <w:w w:val="99"/>
                <w:sz w:val="24"/>
                <w:szCs w:val="24"/>
                <w:highlight w:val="none"/>
              </w:rPr>
            </w:pPr>
            <w:r>
              <w:rPr>
                <w:rFonts w:ascii="宋体" w:cs="宋体" w:eastAsia="宋体" w:hAnsi="宋体" w:hint="eastAsia"/>
                <w:color w:val="auto"/>
                <w:sz w:val="24"/>
                <w:szCs w:val="24"/>
                <w:highlight w:val="none"/>
              </w:rPr>
              <w:t>不允许</w:t>
            </w:r>
          </w:p>
        </w:tc>
      </w:tr>
      <w:tr w14:paraId="38805038">
        <w:tblPrEx/>
        <w:trPr>
          <w:trHeight w:val="479" w:hRule="atLeast"/>
        </w:trPr>
        <w:tc>
          <w:tcPr>
            <w:tcW w:w="859" w:type="dxa"/>
            <w:tcBorders/>
            <w:shd w:val="clear" w:color="auto" w:fill="auto"/>
            <w:vAlign w:val="center"/>
          </w:tcPr>
          <w:p w14:paraId="0DD2F671">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rPr>
              <w:t>1.1</w:t>
            </w:r>
            <w:r>
              <w:rPr>
                <w:rFonts w:ascii="宋体" w:cs="宋体" w:eastAsia="宋体" w:hAnsi="宋体" w:hint="eastAsia"/>
                <w:color w:val="auto"/>
                <w:sz w:val="24"/>
                <w:szCs w:val="24"/>
                <w:highlight w:val="none"/>
                <w:lang w:val="en-US" w:eastAsia="zh-CN"/>
              </w:rPr>
              <w:t>2</w:t>
            </w:r>
          </w:p>
        </w:tc>
        <w:tc>
          <w:tcPr>
            <w:tcW w:w="1945" w:type="dxa"/>
            <w:tcBorders/>
            <w:shd w:val="clear" w:color="auto" w:fill="auto"/>
            <w:vAlign w:val="center"/>
          </w:tcPr>
          <w:p w14:paraId="34C9E4D7">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eastAsia="zh-CN"/>
              </w:rPr>
              <w:t>技术参数</w:t>
            </w:r>
            <w:r>
              <w:rPr>
                <w:rFonts w:ascii="宋体" w:cs="宋体" w:eastAsia="宋体" w:hAnsi="宋体" w:hint="eastAsia"/>
                <w:color w:val="auto"/>
                <w:sz w:val="24"/>
                <w:szCs w:val="24"/>
                <w:highlight w:val="none"/>
              </w:rPr>
              <w:t>偏离</w:t>
            </w:r>
          </w:p>
        </w:tc>
        <w:tc>
          <w:tcPr>
            <w:tcW w:w="6948" w:type="dxa"/>
            <w:tcBorders/>
            <w:shd w:val="clear" w:color="auto" w:fill="auto"/>
            <w:vAlign w:val="center"/>
          </w:tcPr>
          <w:p w14:paraId="0046973A">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允许偏离</w:t>
            </w:r>
          </w:p>
        </w:tc>
      </w:tr>
      <w:tr w14:paraId="75C1DDC0">
        <w:tblPrEx/>
        <w:trPr>
          <w:trHeight w:val="479" w:hRule="atLeast"/>
        </w:trPr>
        <w:tc>
          <w:tcPr>
            <w:tcW w:w="859" w:type="dxa"/>
            <w:tcBorders/>
            <w:vAlign w:val="center"/>
          </w:tcPr>
          <w:p w14:paraId="54B5671E">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2.2.2</w:t>
            </w:r>
          </w:p>
        </w:tc>
        <w:tc>
          <w:tcPr>
            <w:tcW w:w="1945" w:type="dxa"/>
            <w:tcBorders/>
            <w:vAlign w:val="center"/>
          </w:tcPr>
          <w:p w14:paraId="084709CC">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采购人澄清或修改竞争性磋商文件的截止时间</w:t>
            </w:r>
          </w:p>
        </w:tc>
        <w:tc>
          <w:tcPr>
            <w:tcW w:w="6948" w:type="dxa"/>
            <w:tcBorders/>
            <w:vAlign w:val="center"/>
          </w:tcPr>
          <w:p w14:paraId="3E68D81F">
            <w:pPr>
              <w:pStyle w:val="style4105"/>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递交响应文件截止之日</w:t>
            </w:r>
            <w:r>
              <w:rPr>
                <w:rFonts w:ascii="宋体" w:cs="宋体" w:eastAsia="宋体" w:hAnsi="宋体" w:hint="eastAsia"/>
                <w:color w:val="auto"/>
                <w:sz w:val="24"/>
                <w:szCs w:val="24"/>
                <w:highlight w:val="none"/>
                <w:u w:val="single"/>
                <w:lang w:eastAsia="zh-CN"/>
              </w:rPr>
              <w:t>5</w:t>
            </w:r>
            <w:r>
              <w:rPr>
                <w:rFonts w:ascii="宋体" w:cs="宋体" w:eastAsia="宋体" w:hAnsi="宋体" w:hint="eastAsia"/>
                <w:color w:val="auto"/>
                <w:sz w:val="24"/>
                <w:szCs w:val="24"/>
                <w:highlight w:val="none"/>
                <w:lang w:eastAsia="zh-CN"/>
              </w:rPr>
              <w:t>日前在“河南省公共资源交易中心（http://hnsggzyjy.henan.gov.cn/）”电子交易平台公布给所有下载竞争性磋商文件的供应商</w:t>
            </w:r>
          </w:p>
        </w:tc>
      </w:tr>
      <w:tr w14:paraId="7C87DB51">
        <w:tblPrEx/>
        <w:trPr>
          <w:trHeight w:val="479" w:hRule="atLeast"/>
        </w:trPr>
        <w:tc>
          <w:tcPr>
            <w:tcW w:w="859" w:type="dxa"/>
            <w:tcBorders/>
            <w:vAlign w:val="center"/>
          </w:tcPr>
          <w:p w14:paraId="7C43FD98">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2.2.3</w:t>
            </w:r>
          </w:p>
        </w:tc>
        <w:tc>
          <w:tcPr>
            <w:tcW w:w="1945" w:type="dxa"/>
            <w:tcBorders/>
            <w:vAlign w:val="center"/>
          </w:tcPr>
          <w:p w14:paraId="092BB072">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供应商确认收到竞争性磋商文件澄清或修改的时间</w:t>
            </w:r>
          </w:p>
        </w:tc>
        <w:tc>
          <w:tcPr>
            <w:tcW w:w="6948" w:type="dxa"/>
            <w:tcBorders/>
            <w:vAlign w:val="center"/>
          </w:tcPr>
          <w:p w14:paraId="5E0407EE">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澄清内容一经在项目公告网站和电子交易平台发布，视作已送达所有供应商</w:t>
            </w:r>
          </w:p>
        </w:tc>
      </w:tr>
      <w:tr w14:paraId="3A4A2FDF">
        <w:tblPrEx/>
        <w:trPr>
          <w:trHeight w:val="479" w:hRule="atLeast"/>
        </w:trPr>
        <w:tc>
          <w:tcPr>
            <w:tcW w:w="859" w:type="dxa"/>
            <w:tcBorders/>
            <w:vAlign w:val="center"/>
          </w:tcPr>
          <w:p w14:paraId="29DD74E3">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3.2.3</w:t>
            </w:r>
          </w:p>
        </w:tc>
        <w:tc>
          <w:tcPr>
            <w:tcW w:w="1945" w:type="dxa"/>
            <w:tcBorders/>
            <w:vAlign w:val="center"/>
          </w:tcPr>
          <w:p w14:paraId="5BEF1627">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eastAsia="zh-CN"/>
              </w:rPr>
              <w:t>样品或演示</w:t>
            </w:r>
          </w:p>
        </w:tc>
        <w:tc>
          <w:tcPr>
            <w:tcW w:w="6948" w:type="dxa"/>
            <w:tcBorders/>
            <w:vAlign w:val="center"/>
          </w:tcPr>
          <w:p w14:paraId="6BC68479">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无</w:t>
            </w:r>
          </w:p>
        </w:tc>
      </w:tr>
      <w:tr w14:paraId="459F34FD">
        <w:tblPrEx/>
        <w:trPr>
          <w:trHeight w:val="479" w:hRule="atLeast"/>
        </w:trPr>
        <w:tc>
          <w:tcPr>
            <w:tcW w:w="859" w:type="dxa"/>
            <w:tcBorders/>
            <w:vAlign w:val="center"/>
          </w:tcPr>
          <w:p w14:paraId="06CDDC5C">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3.3.1</w:t>
            </w:r>
          </w:p>
        </w:tc>
        <w:tc>
          <w:tcPr>
            <w:tcW w:w="1945" w:type="dxa"/>
            <w:tcBorders/>
            <w:vAlign w:val="center"/>
          </w:tcPr>
          <w:p w14:paraId="316D5EED">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响应</w:t>
            </w:r>
            <w:r>
              <w:rPr>
                <w:rFonts w:ascii="宋体" w:cs="宋体" w:eastAsia="宋体" w:hAnsi="宋体" w:hint="eastAsia"/>
                <w:color w:val="auto"/>
                <w:sz w:val="24"/>
                <w:szCs w:val="24"/>
                <w:highlight w:val="none"/>
                <w:lang w:eastAsia="zh-CN"/>
              </w:rPr>
              <w:t>报价</w:t>
            </w:r>
          </w:p>
        </w:tc>
        <w:tc>
          <w:tcPr>
            <w:tcW w:w="6948" w:type="dxa"/>
            <w:tcBorders/>
            <w:vAlign w:val="center"/>
          </w:tcPr>
          <w:p w14:paraId="086ABAA4">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 xml:space="preserve">1.磋商报价：本项目实施完成价（包括：供货、保险费、安装、调试、相关服务费、税费和相关费用等完成此项目的所有费用。） </w:t>
            </w:r>
          </w:p>
          <w:p w14:paraId="2C7F8EAF">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2.相关费用：代理服务费。</w:t>
            </w:r>
          </w:p>
        </w:tc>
      </w:tr>
      <w:tr w14:paraId="214F1FA8">
        <w:tblPrEx/>
        <w:trPr>
          <w:trHeight w:val="479" w:hRule="atLeast"/>
        </w:trPr>
        <w:tc>
          <w:tcPr>
            <w:tcW w:w="859" w:type="dxa"/>
            <w:tcBorders/>
            <w:vAlign w:val="center"/>
          </w:tcPr>
          <w:p w14:paraId="76F2FC52">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3.4.1</w:t>
            </w:r>
          </w:p>
        </w:tc>
        <w:tc>
          <w:tcPr>
            <w:tcW w:w="1945" w:type="dxa"/>
            <w:tcBorders/>
            <w:vAlign w:val="center"/>
          </w:tcPr>
          <w:p w14:paraId="43991D00">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磋商有效期</w:t>
            </w:r>
          </w:p>
        </w:tc>
        <w:tc>
          <w:tcPr>
            <w:tcW w:w="6948" w:type="dxa"/>
            <w:tcBorders/>
            <w:vAlign w:val="center"/>
          </w:tcPr>
          <w:p w14:paraId="50A43EF4">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60日历天（从首次响应文件递交截止时间起开始计算）</w:t>
            </w:r>
          </w:p>
        </w:tc>
      </w:tr>
      <w:tr w14:paraId="41F2094E">
        <w:tblPrEx/>
        <w:trPr>
          <w:trHeight w:val="479" w:hRule="atLeast"/>
        </w:trPr>
        <w:tc>
          <w:tcPr>
            <w:tcW w:w="859" w:type="dxa"/>
            <w:tcBorders/>
            <w:vAlign w:val="center"/>
          </w:tcPr>
          <w:p w14:paraId="6FC0575D">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3.5.1</w:t>
            </w:r>
          </w:p>
        </w:tc>
        <w:tc>
          <w:tcPr>
            <w:tcW w:w="1945" w:type="dxa"/>
            <w:tcBorders/>
            <w:vAlign w:val="center"/>
          </w:tcPr>
          <w:p w14:paraId="67B7CC52">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磋商保证金</w:t>
            </w:r>
          </w:p>
        </w:tc>
        <w:tc>
          <w:tcPr>
            <w:tcW w:w="6948" w:type="dxa"/>
            <w:tcBorders/>
            <w:vAlign w:val="center"/>
          </w:tcPr>
          <w:p w14:paraId="0B73C6F6">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无</w:t>
            </w:r>
          </w:p>
        </w:tc>
      </w:tr>
      <w:tr w14:paraId="21CCA224">
        <w:tblPrEx/>
        <w:trPr>
          <w:trHeight w:val="479" w:hRule="atLeast"/>
        </w:trPr>
        <w:tc>
          <w:tcPr>
            <w:tcW w:w="859" w:type="dxa"/>
            <w:tcBorders/>
            <w:vAlign w:val="center"/>
          </w:tcPr>
          <w:p w14:paraId="46B95D64">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3.6</w:t>
            </w:r>
          </w:p>
        </w:tc>
        <w:tc>
          <w:tcPr>
            <w:tcW w:w="1945" w:type="dxa"/>
            <w:tcBorders/>
            <w:vAlign w:val="center"/>
          </w:tcPr>
          <w:p w14:paraId="13D055E1">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是否允许递交备选磋商方案</w:t>
            </w:r>
          </w:p>
        </w:tc>
        <w:tc>
          <w:tcPr>
            <w:tcW w:w="6948" w:type="dxa"/>
            <w:tcBorders/>
            <w:vAlign w:val="center"/>
          </w:tcPr>
          <w:p w14:paraId="73638A53">
            <w:pPr>
              <w:pStyle w:val="style4105"/>
              <w:spacing w:lineRule="auto" w:line="360"/>
              <w:ind w:left="110" w:leftChars="5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不允许</w:t>
            </w:r>
          </w:p>
        </w:tc>
      </w:tr>
      <w:tr w14:paraId="366E5DD6">
        <w:tblPrEx/>
        <w:trPr>
          <w:trHeight w:val="479" w:hRule="atLeast"/>
        </w:trPr>
        <w:tc>
          <w:tcPr>
            <w:tcW w:w="859" w:type="dxa"/>
            <w:tcBorders/>
            <w:vAlign w:val="center"/>
          </w:tcPr>
          <w:p w14:paraId="020AF612">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3.7.5</w:t>
            </w:r>
          </w:p>
        </w:tc>
        <w:tc>
          <w:tcPr>
            <w:tcW w:w="1945" w:type="dxa"/>
            <w:tcBorders/>
            <w:vAlign w:val="center"/>
          </w:tcPr>
          <w:p w14:paraId="5BC23FAB">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签字和（或）盖章要求</w:t>
            </w:r>
          </w:p>
        </w:tc>
        <w:tc>
          <w:tcPr>
            <w:tcW w:w="6948" w:type="dxa"/>
            <w:tcBorders/>
            <w:vAlign w:val="center"/>
          </w:tcPr>
          <w:p w14:paraId="4FEB8EF0">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所有要求供应商加盖公章的地方都应盖供应商单位电子印章。</w:t>
            </w:r>
          </w:p>
          <w:p w14:paraId="7DC6DE1B">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所有要求法定代表人或其委托代理人签字的地方都应盖法定代表人或其委托代理人的电子印章。（如未办理电子印章，可手写签字扫描替换原页面上传）。</w:t>
            </w:r>
          </w:p>
        </w:tc>
      </w:tr>
      <w:tr w14:paraId="6DE9BB04">
        <w:tblPrEx/>
        <w:trPr>
          <w:trHeight w:val="479" w:hRule="atLeast"/>
        </w:trPr>
        <w:tc>
          <w:tcPr>
            <w:tcW w:w="859" w:type="dxa"/>
            <w:tcBorders/>
            <w:vAlign w:val="center"/>
          </w:tcPr>
          <w:p w14:paraId="60BD095B">
            <w:pPr>
              <w:pStyle w:val="style4105"/>
              <w:spacing w:lineRule="auto" w:line="360"/>
              <w:jc w:val="center"/>
              <w:rPr>
                <w:rFonts w:ascii="宋体" w:cs="宋体" w:eastAsia="宋体" w:hAnsi="宋体" w:hint="eastAsia"/>
                <w:color w:val="auto"/>
                <w:sz w:val="24"/>
                <w:szCs w:val="24"/>
                <w:highlight w:val="none"/>
                <w:lang w:val="en-US"/>
              </w:rPr>
            </w:pPr>
            <w:r>
              <w:rPr>
                <w:rFonts w:ascii="宋体" w:cs="宋体" w:eastAsia="宋体" w:hAnsi="宋体" w:hint="eastAsia"/>
                <w:color w:val="auto"/>
                <w:sz w:val="24"/>
                <w:szCs w:val="24"/>
                <w:highlight w:val="none"/>
                <w:lang w:val="en-US" w:eastAsia="zh-CN"/>
              </w:rPr>
              <w:t>4.1.1</w:t>
            </w:r>
          </w:p>
        </w:tc>
        <w:tc>
          <w:tcPr>
            <w:tcW w:w="1945" w:type="dxa"/>
            <w:tcBorders/>
            <w:vAlign w:val="center"/>
          </w:tcPr>
          <w:p w14:paraId="6A1D6F87">
            <w:pPr>
              <w:pStyle w:val="style4105"/>
              <w:spacing w:lineRule="auto" w:line="360"/>
              <w:ind w:hanging="53"/>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响应文件上传/递交截止时间及地点</w:t>
            </w:r>
          </w:p>
        </w:tc>
        <w:tc>
          <w:tcPr>
            <w:tcW w:w="6948" w:type="dxa"/>
            <w:tcBorders/>
            <w:vAlign w:val="center"/>
          </w:tcPr>
          <w:p w14:paraId="1189273F">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时间：202</w:t>
            </w:r>
            <w:r>
              <w:rPr>
                <w:rFonts w:ascii="宋体" w:cs="宋体" w:eastAsia="宋体" w:hAnsi="宋体" w:hint="eastAsia"/>
                <w:color w:val="auto"/>
                <w:sz w:val="24"/>
                <w:szCs w:val="24"/>
                <w:highlight w:val="none"/>
                <w:lang w:val="en-US" w:eastAsia="zh-CN"/>
              </w:rPr>
              <w:t>5</w:t>
            </w:r>
            <w:r>
              <w:rPr>
                <w:rFonts w:ascii="宋体" w:cs="宋体" w:eastAsia="宋体" w:hAnsi="宋体" w:hint="eastAsia"/>
                <w:color w:val="auto"/>
                <w:sz w:val="24"/>
                <w:szCs w:val="24"/>
                <w:highlight w:val="none"/>
                <w:lang w:eastAsia="zh-CN"/>
              </w:rPr>
              <w:t>年</w:t>
            </w:r>
            <w:r>
              <w:rPr>
                <w:rFonts w:ascii="宋体" w:cs="宋体" w:eastAsia="宋体" w:hAnsi="宋体" w:hint="eastAsia"/>
                <w:color w:val="auto"/>
                <w:sz w:val="24"/>
                <w:szCs w:val="24"/>
                <w:highlight w:val="none"/>
                <w:lang w:val="en-US" w:eastAsia="zh-CN"/>
              </w:rPr>
              <w:t>09</w:t>
            </w:r>
            <w:r>
              <w:rPr>
                <w:rFonts w:ascii="宋体" w:cs="宋体" w:eastAsia="宋体" w:hAnsi="宋体" w:hint="eastAsia"/>
                <w:color w:val="auto"/>
                <w:sz w:val="24"/>
                <w:szCs w:val="24"/>
                <w:highlight w:val="none"/>
                <w:lang w:eastAsia="zh-CN"/>
              </w:rPr>
              <w:t>月</w:t>
            </w:r>
            <w:r>
              <w:rPr>
                <w:rFonts w:cs="宋体" w:hint="eastAsia"/>
                <w:color w:val="auto"/>
                <w:sz w:val="24"/>
                <w:szCs w:val="24"/>
                <w:highlight w:val="none"/>
                <w:lang w:val="en-US" w:eastAsia="zh-CN"/>
              </w:rPr>
              <w:t>19</w:t>
            </w:r>
            <w:r>
              <w:rPr>
                <w:rFonts w:ascii="宋体" w:cs="宋体" w:eastAsia="宋体" w:hAnsi="宋体" w:hint="eastAsia"/>
                <w:color w:val="auto"/>
                <w:sz w:val="24"/>
                <w:szCs w:val="24"/>
                <w:highlight w:val="none"/>
                <w:lang w:eastAsia="zh-CN"/>
              </w:rPr>
              <w:t>日09时00分（北京时间）</w:t>
            </w:r>
          </w:p>
          <w:p w14:paraId="48C55BAE">
            <w:pPr>
              <w:pStyle w:val="style4105"/>
              <w:spacing w:lineRule="auto" w:line="360"/>
              <w:ind w:left="110" w:leftChars="50"/>
              <w:rPr>
                <w:rFonts w:ascii="宋体" w:cs="宋体" w:eastAsia="宋体" w:hAnsi="宋体" w:hint="eastAsia"/>
                <w:color w:val="auto"/>
                <w:sz w:val="24"/>
                <w:szCs w:val="24"/>
                <w:highlight w:val="none"/>
              </w:rPr>
            </w:pPr>
            <w:r>
              <w:rPr>
                <w:rFonts w:ascii="宋体" w:cs="宋体" w:eastAsia="宋体" w:hAnsi="宋体" w:hint="eastAsia"/>
                <w:color w:val="auto"/>
                <w:spacing w:val="-4"/>
                <w:sz w:val="24"/>
                <w:szCs w:val="24"/>
                <w:highlight w:val="none"/>
              </w:rPr>
              <w:t>地点：河南省公共资源交易中心电子交易平台</w:t>
            </w:r>
          </w:p>
        </w:tc>
      </w:tr>
      <w:tr w14:paraId="50ECA23A">
        <w:tblPrEx/>
        <w:trPr>
          <w:trHeight w:val="479" w:hRule="atLeast"/>
        </w:trPr>
        <w:tc>
          <w:tcPr>
            <w:tcW w:w="859" w:type="dxa"/>
            <w:tcBorders/>
            <w:vAlign w:val="center"/>
          </w:tcPr>
          <w:p w14:paraId="6B7C6467">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4.1.2</w:t>
            </w:r>
          </w:p>
        </w:tc>
        <w:tc>
          <w:tcPr>
            <w:tcW w:w="1945" w:type="dxa"/>
            <w:tcBorders/>
            <w:vAlign w:val="center"/>
          </w:tcPr>
          <w:p w14:paraId="7DB3508A">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响应文件的递交</w:t>
            </w:r>
          </w:p>
        </w:tc>
        <w:tc>
          <w:tcPr>
            <w:tcW w:w="6948" w:type="dxa"/>
            <w:tcBorders/>
            <w:vAlign w:val="center"/>
          </w:tcPr>
          <w:p w14:paraId="162AF42F">
            <w:pPr>
              <w:pStyle w:val="style4105"/>
              <w:spacing w:lineRule="auto" w:line="360"/>
              <w:ind w:left="110" w:leftChars="5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eastAsia="zh-CN"/>
              </w:rPr>
              <w:t>供应商应在不迟于“供应商须知前附表”中规定的截止时间前将响应文件加密上传至交易平台，并在系统规</w:t>
            </w:r>
            <w:r>
              <w:rPr>
                <w:rFonts w:ascii="宋体" w:cs="宋体" w:eastAsia="宋体" w:hAnsi="宋体" w:hint="eastAsia"/>
                <w:color w:val="auto"/>
                <w:spacing w:val="-8"/>
                <w:sz w:val="24"/>
                <w:szCs w:val="24"/>
                <w:highlight w:val="none"/>
                <w:lang w:eastAsia="zh-CN"/>
              </w:rPr>
              <w:t>定的时间内使用</w:t>
            </w:r>
            <w:r>
              <w:rPr>
                <w:rFonts w:ascii="宋体" w:cs="宋体" w:eastAsia="宋体" w:hAnsi="宋体" w:hint="eastAsia"/>
                <w:color w:val="auto"/>
                <w:sz w:val="24"/>
                <w:szCs w:val="24"/>
                <w:highlight w:val="none"/>
                <w:lang w:eastAsia="zh-CN"/>
              </w:rPr>
              <w:t>CA</w:t>
            </w:r>
            <w:r>
              <w:rPr>
                <w:rFonts w:ascii="宋体" w:cs="宋体" w:eastAsia="宋体" w:hAnsi="宋体" w:hint="eastAsia"/>
                <w:color w:val="auto"/>
                <w:spacing w:val="-13"/>
                <w:sz w:val="24"/>
                <w:szCs w:val="24"/>
                <w:highlight w:val="none"/>
                <w:lang w:eastAsia="zh-CN"/>
              </w:rPr>
              <w:t>数字证书进行解密。</w:t>
            </w:r>
            <w:r>
              <w:rPr>
                <w:rFonts w:ascii="宋体" w:cs="宋体" w:eastAsia="宋体" w:hAnsi="宋体" w:hint="eastAsia"/>
                <w:color w:val="auto"/>
                <w:spacing w:val="-13"/>
                <w:sz w:val="24"/>
                <w:szCs w:val="24"/>
                <w:highlight w:val="none"/>
              </w:rPr>
              <w:t>迟交的电子响应</w:t>
            </w:r>
            <w:r>
              <w:rPr>
                <w:rFonts w:ascii="宋体" w:cs="宋体" w:eastAsia="宋体" w:hAnsi="宋体" w:hint="eastAsia"/>
                <w:color w:val="auto"/>
                <w:sz w:val="24"/>
                <w:szCs w:val="24"/>
                <w:highlight w:val="none"/>
              </w:rPr>
              <w:t>文件将不被接收。</w:t>
            </w:r>
          </w:p>
        </w:tc>
      </w:tr>
      <w:tr w14:paraId="53A73FDD">
        <w:tblPrEx/>
        <w:trPr>
          <w:trHeight w:val="479" w:hRule="atLeast"/>
        </w:trPr>
        <w:tc>
          <w:tcPr>
            <w:tcW w:w="859" w:type="dxa"/>
            <w:tcBorders/>
            <w:vAlign w:val="center"/>
          </w:tcPr>
          <w:p w14:paraId="4FAC0202">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5.1</w:t>
            </w:r>
          </w:p>
        </w:tc>
        <w:tc>
          <w:tcPr>
            <w:tcW w:w="1945" w:type="dxa"/>
            <w:tcBorders/>
            <w:vAlign w:val="center"/>
          </w:tcPr>
          <w:p w14:paraId="4CDD729A">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开启时间和地点</w:t>
            </w:r>
          </w:p>
        </w:tc>
        <w:tc>
          <w:tcPr>
            <w:tcW w:w="6948" w:type="dxa"/>
            <w:tcBorders/>
            <w:vAlign w:val="center"/>
          </w:tcPr>
          <w:p w14:paraId="4820D0AC">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时间：</w:t>
            </w:r>
            <w:r>
              <w:rPr>
                <w:rFonts w:ascii="宋体" w:cs="宋体" w:eastAsia="宋体" w:hAnsi="宋体" w:hint="eastAsia"/>
                <w:color w:val="auto"/>
                <w:sz w:val="24"/>
                <w:szCs w:val="24"/>
                <w:highlight w:val="none"/>
              </w:rPr>
              <w:t>202</w:t>
            </w:r>
            <w:r>
              <w:rPr>
                <w:rFonts w:ascii="宋体" w:cs="宋体" w:eastAsia="宋体" w:hAnsi="宋体" w:hint="eastAsia"/>
                <w:color w:val="auto"/>
                <w:sz w:val="24"/>
                <w:szCs w:val="24"/>
                <w:highlight w:val="none"/>
                <w:lang w:val="en-US" w:eastAsia="zh-CN"/>
              </w:rPr>
              <w:t>5</w:t>
            </w:r>
            <w:r>
              <w:rPr>
                <w:rFonts w:ascii="宋体" w:cs="宋体" w:eastAsia="宋体" w:hAnsi="宋体" w:hint="eastAsia"/>
                <w:color w:val="auto"/>
                <w:sz w:val="24"/>
                <w:szCs w:val="24"/>
                <w:highlight w:val="none"/>
              </w:rPr>
              <w:t>年</w:t>
            </w:r>
            <w:r>
              <w:rPr>
                <w:rFonts w:ascii="宋体" w:cs="宋体" w:eastAsia="宋体" w:hAnsi="宋体" w:hint="eastAsia"/>
                <w:color w:val="auto"/>
                <w:sz w:val="24"/>
                <w:szCs w:val="24"/>
                <w:highlight w:val="none"/>
                <w:lang w:val="en-US" w:eastAsia="zh-CN"/>
              </w:rPr>
              <w:t>09</w:t>
            </w:r>
            <w:r>
              <w:rPr>
                <w:rFonts w:ascii="宋体" w:cs="宋体" w:eastAsia="宋体" w:hAnsi="宋体" w:hint="eastAsia"/>
                <w:color w:val="auto"/>
                <w:sz w:val="24"/>
                <w:szCs w:val="24"/>
                <w:highlight w:val="none"/>
              </w:rPr>
              <w:t>月</w:t>
            </w:r>
            <w:r>
              <w:rPr>
                <w:rFonts w:cs="宋体" w:hint="eastAsia"/>
                <w:color w:val="auto"/>
                <w:sz w:val="24"/>
                <w:szCs w:val="24"/>
                <w:highlight w:val="none"/>
                <w:lang w:val="en-US" w:eastAsia="zh-CN"/>
              </w:rPr>
              <w:t>19</w:t>
            </w:r>
            <w:r>
              <w:rPr>
                <w:rFonts w:ascii="宋体" w:cs="宋体" w:eastAsia="宋体" w:hAnsi="宋体" w:hint="eastAsia"/>
                <w:color w:val="auto"/>
                <w:sz w:val="24"/>
                <w:szCs w:val="24"/>
                <w:highlight w:val="none"/>
              </w:rPr>
              <w:t>日09时00分（北京时间）</w:t>
            </w:r>
            <w:r>
              <w:rPr>
                <w:rFonts w:ascii="宋体" w:cs="宋体" w:eastAsia="宋体" w:hAnsi="宋体" w:hint="eastAsia"/>
                <w:color w:val="auto"/>
                <w:sz w:val="24"/>
                <w:szCs w:val="24"/>
                <w:highlight w:val="none"/>
              </w:rPr>
              <w:tab/>
            </w:r>
          </w:p>
          <w:p w14:paraId="6431FA5B">
            <w:pPr>
              <w:pStyle w:val="style4105"/>
              <w:spacing w:lineRule="auto" w:line="360"/>
              <w:ind w:left="110" w:leftChars="50"/>
              <w:rPr>
                <w:rFonts w:ascii="宋体" w:cs="宋体" w:eastAsia="宋体" w:hAnsi="宋体" w:hint="default"/>
                <w:color w:val="auto"/>
                <w:sz w:val="24"/>
                <w:szCs w:val="24"/>
                <w:highlight w:val="none"/>
                <w:lang w:val="en-US" w:eastAsia="zh-CN"/>
              </w:rPr>
            </w:pPr>
            <w:r>
              <w:rPr>
                <w:rFonts w:ascii="宋体" w:cs="宋体" w:eastAsia="宋体" w:hAnsi="宋体" w:hint="eastAsia"/>
                <w:color w:val="auto"/>
                <w:sz w:val="24"/>
                <w:szCs w:val="24"/>
                <w:highlight w:val="none"/>
                <w:lang w:eastAsia="zh-CN"/>
              </w:rPr>
              <w:t>地点：</w:t>
            </w:r>
            <w:r>
              <w:rPr>
                <w:rFonts w:ascii="宋体" w:cs="宋体" w:eastAsia="宋体" w:hAnsi="宋体" w:hint="eastAsia"/>
                <w:color w:val="auto"/>
                <w:sz w:val="24"/>
                <w:szCs w:val="24"/>
                <w:highlight w:val="none"/>
                <w:lang w:val="en-US" w:eastAsia="zh-CN"/>
              </w:rPr>
              <w:t>河南省公共资源交易中心远程开标室</w:t>
            </w:r>
            <w:r>
              <w:rPr>
                <w:rFonts w:cs="宋体" w:hint="eastAsia"/>
                <w:color w:val="auto"/>
                <w:sz w:val="24"/>
                <w:szCs w:val="24"/>
                <w:highlight w:val="none"/>
                <w:lang w:val="en-US" w:eastAsia="zh-CN"/>
              </w:rPr>
              <w:t>（四）-2</w:t>
            </w:r>
          </w:p>
        </w:tc>
      </w:tr>
      <w:tr w14:paraId="5C4C389E">
        <w:tblPrEx/>
        <w:trPr>
          <w:trHeight w:val="479" w:hRule="atLeast"/>
        </w:trPr>
        <w:tc>
          <w:tcPr>
            <w:tcW w:w="859" w:type="dxa"/>
            <w:tcBorders/>
            <w:vAlign w:val="center"/>
          </w:tcPr>
          <w:p w14:paraId="20C0F77B">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6.1.1</w:t>
            </w:r>
          </w:p>
        </w:tc>
        <w:tc>
          <w:tcPr>
            <w:tcW w:w="1945" w:type="dxa"/>
            <w:tcBorders/>
            <w:vAlign w:val="center"/>
          </w:tcPr>
          <w:p w14:paraId="65FBB2E8">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磋商小组的组建</w:t>
            </w:r>
          </w:p>
        </w:tc>
        <w:tc>
          <w:tcPr>
            <w:tcW w:w="6948" w:type="dxa"/>
            <w:tcBorders/>
            <w:vAlign w:val="center"/>
          </w:tcPr>
          <w:p w14:paraId="74081AB3">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pacing w:val="-3"/>
                <w:sz w:val="24"/>
                <w:szCs w:val="24"/>
                <w:highlight w:val="none"/>
                <w:lang w:eastAsia="zh-CN"/>
              </w:rPr>
              <w:t>磋商小组构成：</w:t>
            </w:r>
            <w:r>
              <w:rPr>
                <w:rFonts w:ascii="宋体" w:cs="宋体" w:eastAsia="宋体" w:hAnsi="宋体" w:hint="eastAsia"/>
                <w:color w:val="auto"/>
                <w:spacing w:val="-15"/>
                <w:sz w:val="24"/>
                <w:szCs w:val="24"/>
                <w:highlight w:val="none"/>
                <w:lang w:eastAsia="zh-CN"/>
              </w:rPr>
              <w:t>3</w:t>
            </w:r>
            <w:r>
              <w:rPr>
                <w:rFonts w:ascii="宋体" w:cs="宋体" w:eastAsia="宋体" w:hAnsi="宋体" w:hint="eastAsia"/>
                <w:color w:val="auto"/>
                <w:spacing w:val="-14"/>
                <w:sz w:val="24"/>
                <w:szCs w:val="24"/>
                <w:highlight w:val="none"/>
                <w:lang w:eastAsia="zh-CN"/>
              </w:rPr>
              <w:t>人，其中采购人代表</w:t>
            </w:r>
            <w:r>
              <w:rPr>
                <w:rFonts w:ascii="宋体" w:cs="宋体" w:eastAsia="宋体" w:hAnsi="宋体" w:hint="eastAsia"/>
                <w:color w:val="auto"/>
                <w:sz w:val="24"/>
                <w:szCs w:val="24"/>
                <w:highlight w:val="none"/>
                <w:lang w:eastAsia="zh-CN"/>
              </w:rPr>
              <w:t>1</w:t>
            </w:r>
            <w:r>
              <w:rPr>
                <w:rFonts w:ascii="宋体" w:cs="宋体" w:eastAsia="宋体" w:hAnsi="宋体" w:hint="eastAsia"/>
                <w:color w:val="auto"/>
                <w:spacing w:val="-17"/>
                <w:sz w:val="24"/>
                <w:szCs w:val="24"/>
                <w:highlight w:val="none"/>
                <w:lang w:eastAsia="zh-CN"/>
              </w:rPr>
              <w:t>人，经济技术专家</w:t>
            </w:r>
            <w:r>
              <w:rPr>
                <w:rFonts w:ascii="宋体" w:cs="宋体" w:eastAsia="宋体" w:hAnsi="宋体" w:hint="eastAsia"/>
                <w:color w:val="auto"/>
                <w:sz w:val="24"/>
                <w:szCs w:val="24"/>
                <w:highlight w:val="none"/>
                <w:lang w:eastAsia="zh-CN"/>
              </w:rPr>
              <w:t>2人组成。</w:t>
            </w:r>
          </w:p>
          <w:p w14:paraId="4D754E6F">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评审专家确定方式：从河南省政府采购专家库中随机抽取。</w:t>
            </w:r>
          </w:p>
        </w:tc>
      </w:tr>
      <w:tr w14:paraId="5F6977BB">
        <w:tblPrEx/>
        <w:trPr>
          <w:trHeight w:val="479" w:hRule="atLeast"/>
        </w:trPr>
        <w:tc>
          <w:tcPr>
            <w:tcW w:w="859" w:type="dxa"/>
            <w:tcBorders/>
            <w:vAlign w:val="center"/>
          </w:tcPr>
          <w:p w14:paraId="296E799B">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6.3.2</w:t>
            </w:r>
          </w:p>
        </w:tc>
        <w:tc>
          <w:tcPr>
            <w:tcW w:w="1945" w:type="dxa"/>
            <w:tcBorders/>
            <w:vAlign w:val="center"/>
          </w:tcPr>
          <w:p w14:paraId="766871BF">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是否授权磋商小</w:t>
            </w:r>
          </w:p>
          <w:p w14:paraId="2C53A178">
            <w:pPr>
              <w:pStyle w:val="style4105"/>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组确定成交</w:t>
            </w:r>
            <w:r>
              <w:rPr>
                <w:rFonts w:ascii="宋体" w:cs="宋体" w:eastAsia="宋体" w:hAnsi="宋体" w:hint="eastAsia"/>
                <w:color w:val="auto"/>
                <w:sz w:val="24"/>
                <w:szCs w:val="24"/>
                <w:highlight w:val="none"/>
                <w:lang w:val="en-US" w:eastAsia="zh-CN"/>
              </w:rPr>
              <w:t>供应商</w:t>
            </w:r>
          </w:p>
        </w:tc>
        <w:tc>
          <w:tcPr>
            <w:tcW w:w="6948" w:type="dxa"/>
            <w:tcBorders/>
            <w:vAlign w:val="center"/>
          </w:tcPr>
          <w:p w14:paraId="6CDB12F4">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否；推荐的成交候选</w:t>
            </w:r>
            <w:r>
              <w:rPr>
                <w:rFonts w:ascii="宋体" w:cs="宋体" w:eastAsia="宋体" w:hAnsi="宋体" w:hint="eastAsia"/>
                <w:color w:val="auto"/>
                <w:sz w:val="24"/>
                <w:szCs w:val="24"/>
                <w:highlight w:val="none"/>
                <w:lang w:val="en-US" w:eastAsia="zh-CN"/>
              </w:rPr>
              <w:t>供应商数量</w:t>
            </w:r>
            <w:r>
              <w:rPr>
                <w:rFonts w:ascii="宋体" w:cs="宋体" w:eastAsia="宋体" w:hAnsi="宋体" w:hint="eastAsia"/>
                <w:color w:val="auto"/>
                <w:sz w:val="24"/>
                <w:szCs w:val="24"/>
                <w:highlight w:val="none"/>
                <w:lang w:eastAsia="zh-CN"/>
              </w:rPr>
              <w:t>：3</w:t>
            </w:r>
            <w:r>
              <w:rPr>
                <w:rFonts w:ascii="宋体" w:cs="宋体" w:eastAsia="宋体" w:hAnsi="宋体" w:hint="eastAsia"/>
                <w:color w:val="auto"/>
                <w:sz w:val="24"/>
                <w:szCs w:val="24"/>
                <w:highlight w:val="none"/>
                <w:lang w:val="en-US" w:eastAsia="zh-CN"/>
              </w:rPr>
              <w:t>名</w:t>
            </w:r>
          </w:p>
        </w:tc>
      </w:tr>
      <w:tr w14:paraId="6CBDC8C6">
        <w:tblPrEx/>
        <w:trPr>
          <w:trHeight w:val="560" w:hRule="atLeast"/>
        </w:trPr>
        <w:tc>
          <w:tcPr>
            <w:tcW w:w="859" w:type="dxa"/>
            <w:tcBorders/>
            <w:vAlign w:val="center"/>
          </w:tcPr>
          <w:p w14:paraId="26B4E972">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7.3.1</w:t>
            </w:r>
          </w:p>
        </w:tc>
        <w:tc>
          <w:tcPr>
            <w:tcW w:w="1945" w:type="dxa"/>
            <w:tcBorders/>
            <w:vAlign w:val="center"/>
          </w:tcPr>
          <w:p w14:paraId="58FD8AB1">
            <w:pPr>
              <w:pStyle w:val="style4105"/>
              <w:spacing w:lineRule="auto" w:line="360"/>
              <w:jc w:val="center"/>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eastAsia="zh-CN"/>
              </w:rPr>
              <w:t>履约保证金</w:t>
            </w:r>
          </w:p>
        </w:tc>
        <w:tc>
          <w:tcPr>
            <w:tcW w:w="6948" w:type="dxa"/>
            <w:tcBorders/>
            <w:vAlign w:val="center"/>
          </w:tcPr>
          <w:p w14:paraId="38F686C1">
            <w:pPr>
              <w:pStyle w:val="style4105"/>
              <w:spacing w:lineRule="auto" w:line="360"/>
              <w:ind w:left="110" w:leftChars="50"/>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val="en-US" w:bidi="ar-SA" w:eastAsia="zh-CN"/>
              </w:rPr>
              <w:t>不要求</w:t>
            </w:r>
          </w:p>
        </w:tc>
      </w:tr>
      <w:tr w14:paraId="6D3BA3BD">
        <w:tblPrEx/>
        <w:trPr>
          <w:trHeight w:val="560" w:hRule="atLeast"/>
        </w:trPr>
        <w:tc>
          <w:tcPr>
            <w:tcW w:w="859" w:type="dxa"/>
            <w:tcBorders/>
            <w:vAlign w:val="center"/>
          </w:tcPr>
          <w:p w14:paraId="34D8D7FD">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7.5.1</w:t>
            </w:r>
          </w:p>
        </w:tc>
        <w:tc>
          <w:tcPr>
            <w:tcW w:w="1945" w:type="dxa"/>
            <w:tcBorders/>
            <w:vAlign w:val="center"/>
          </w:tcPr>
          <w:p w14:paraId="41AE9767">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付款方式</w:t>
            </w:r>
          </w:p>
        </w:tc>
        <w:tc>
          <w:tcPr>
            <w:tcW w:w="6948" w:type="dxa"/>
            <w:tcBorders/>
            <w:vAlign w:val="center"/>
          </w:tcPr>
          <w:p w14:paraId="20FA29DE">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textAlignment w:val="auto"/>
              <w:outlineLvl w:val="9"/>
              <w:rPr>
                <w:rFonts w:ascii="宋体" w:cs="宋体" w:eastAsia="宋体" w:hAnsi="宋体" w:hint="eastAsia"/>
                <w:color w:val="auto"/>
                <w:sz w:val="24"/>
                <w:szCs w:val="24"/>
                <w:highlight w:val="none"/>
                <w:lang w:val="en-US" w:eastAsia="zh-CN"/>
              </w:rPr>
            </w:pPr>
            <w:r>
              <w:rPr>
                <w:rFonts w:ascii="宋体" w:cs="宋体" w:eastAsia="宋体" w:hAnsi="宋体" w:hint="eastAsia"/>
                <w:i w:val="false"/>
                <w:iCs w:val="false"/>
                <w:sz w:val="24"/>
                <w:szCs w:val="24"/>
                <w:highlight w:val="none"/>
                <w:lang w:val="en-US" w:eastAsia="zh-CN"/>
              </w:rPr>
              <w:t>设备供货完成且正常运行，经甲方河南城建学院验收合格后，且学校验收组同意支付后30个工作日内，向乙方支付100%货款，质保期3年。</w:t>
            </w:r>
          </w:p>
        </w:tc>
      </w:tr>
      <w:tr w14:paraId="6E471762">
        <w:tblPrEx/>
        <w:trPr>
          <w:trHeight w:val="479" w:hRule="atLeast"/>
        </w:trPr>
        <w:tc>
          <w:tcPr>
            <w:tcW w:w="859" w:type="dxa"/>
            <w:tcBorders/>
            <w:vAlign w:val="center"/>
          </w:tcPr>
          <w:p w14:paraId="7EE249D3">
            <w:pPr>
              <w:pStyle w:val="style4105"/>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9.5.3</w:t>
            </w:r>
          </w:p>
        </w:tc>
        <w:tc>
          <w:tcPr>
            <w:tcW w:w="1945" w:type="dxa"/>
            <w:tcBorders/>
            <w:vAlign w:val="center"/>
          </w:tcPr>
          <w:p w14:paraId="3B91D290">
            <w:pPr>
              <w:pStyle w:val="style4105"/>
              <w:spacing w:lineRule="auto" w:line="360"/>
              <w:jc w:val="center"/>
              <w:rPr>
                <w:rFonts w:ascii="宋体" w:cs="宋体" w:eastAsia="宋体" w:hAnsi="宋体" w:hint="eastAsia"/>
                <w:color w:val="auto"/>
                <w:sz w:val="24"/>
                <w:szCs w:val="24"/>
                <w:highlight w:val="none"/>
              </w:rPr>
            </w:pPr>
          </w:p>
          <w:p w14:paraId="696CD260">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质疑</w:t>
            </w:r>
          </w:p>
        </w:tc>
        <w:tc>
          <w:tcPr>
            <w:tcW w:w="6948" w:type="dxa"/>
            <w:tcBorders/>
            <w:vAlign w:val="center"/>
          </w:tcPr>
          <w:p w14:paraId="14F6C370">
            <w:pPr>
              <w:pStyle w:val="style4105"/>
              <w:keepNext w:val="false"/>
              <w:keepLines w:val="false"/>
              <w:pageBreakBefore w:val="false"/>
              <w:widowControl w:val="false"/>
              <w:kinsoku/>
              <w:wordWrap/>
              <w:overflowPunct/>
              <w:topLinePunct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一、供应商认为自己的权益受到损害的，可以在知道或者应知其权益受到损害之日起七个工作日内，向采购代理机构提出质疑。</w:t>
            </w:r>
          </w:p>
          <w:p w14:paraId="1F1E2D77">
            <w:pPr>
              <w:pStyle w:val="style4105"/>
              <w:keepNext w:val="false"/>
              <w:keepLines w:val="false"/>
              <w:pageBreakBefore w:val="false"/>
              <w:widowControl w:val="false"/>
              <w:kinsoku/>
              <w:wordWrap/>
              <w:overflowPunct/>
              <w:topLinePunct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接收质疑函的方式：接收加盖单位公章的书面纸质质疑函</w:t>
            </w:r>
          </w:p>
          <w:p w14:paraId="5B613C35">
            <w:pPr>
              <w:pStyle w:val="style0"/>
              <w:keepNext w:val="false"/>
              <w:keepLines w:val="false"/>
              <w:widowControl/>
              <w:suppressLineNumbers w:val="false"/>
              <w:spacing w:lineRule="auto" w:line="360"/>
              <w:jc w:val="left"/>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联系单位：</w:t>
            </w:r>
            <w:r>
              <w:rPr>
                <w:rFonts w:ascii="宋体" w:cs="宋体" w:eastAsia="宋体" w:hAnsi="宋体" w:hint="eastAsia"/>
                <w:color w:val="000000"/>
                <w:kern w:val="0"/>
                <w:sz w:val="24"/>
                <w:szCs w:val="24"/>
                <w:lang w:val="en-US" w:eastAsia="zh-CN"/>
              </w:rPr>
              <w:t>河南恒益建设工程咨询有限公司</w:t>
            </w:r>
          </w:p>
          <w:p w14:paraId="0D186A16">
            <w:pPr>
              <w:pStyle w:val="style4105"/>
              <w:keepNext w:val="false"/>
              <w:keepLines w:val="false"/>
              <w:pageBreakBefore w:val="false"/>
              <w:widowControl w:val="false"/>
              <w:kinsoku/>
              <w:wordWrap/>
              <w:overflowPunct/>
              <w:topLinePunct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eastAsia="zh-CN"/>
              </w:rPr>
              <w:t>联 系 人：</w:t>
            </w:r>
            <w:r>
              <w:rPr>
                <w:rFonts w:ascii="宋体" w:cs="宋体" w:eastAsia="宋体" w:hAnsi="宋体" w:hint="eastAsia"/>
                <w:color w:val="auto"/>
                <w:sz w:val="24"/>
                <w:szCs w:val="24"/>
                <w:highlight w:val="none"/>
                <w:lang w:val="en-US" w:eastAsia="zh-CN"/>
              </w:rPr>
              <w:t>孙女士</w:t>
            </w:r>
          </w:p>
          <w:p w14:paraId="74BD3C36">
            <w:pPr>
              <w:pStyle w:val="style4105"/>
              <w:keepNext w:val="false"/>
              <w:keepLines w:val="false"/>
              <w:pageBreakBefore w:val="false"/>
              <w:widowControl w:val="false"/>
              <w:kinsoku/>
              <w:wordWrap/>
              <w:overflowPunct/>
              <w:topLinePunct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eastAsia="zh-CN"/>
              </w:rPr>
              <w:t>联系电话：</w:t>
            </w:r>
            <w:r>
              <w:rPr>
                <w:rFonts w:ascii="宋体" w:cs="宋体" w:eastAsia="宋体" w:hAnsi="宋体" w:hint="eastAsia"/>
                <w:color w:val="auto"/>
                <w:sz w:val="24"/>
                <w:szCs w:val="24"/>
                <w:highlight w:val="none"/>
                <w:lang w:val="en-US" w:eastAsia="zh-CN"/>
              </w:rPr>
              <w:t>17698266316</w:t>
            </w:r>
          </w:p>
          <w:p w14:paraId="6D222DA7">
            <w:pPr>
              <w:pStyle w:val="style0"/>
              <w:keepNext w:val="false"/>
              <w:keepLines w:val="false"/>
              <w:widowControl/>
              <w:suppressLineNumbers w:val="false"/>
              <w:spacing w:lineRule="auto" w:line="360"/>
              <w:jc w:val="left"/>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通讯地址：</w:t>
            </w:r>
            <w:r>
              <w:rPr>
                <w:rFonts w:ascii="宋体" w:cs="宋体" w:eastAsia="宋体" w:hAnsi="宋体" w:hint="eastAsia"/>
                <w:color w:val="000000"/>
                <w:kern w:val="0"/>
                <w:sz w:val="24"/>
                <w:szCs w:val="24"/>
                <w:lang w:val="en-US" w:eastAsia="zh-CN"/>
              </w:rPr>
              <w:t>平顶山市火车站西侧良基地产五楼</w:t>
            </w:r>
          </w:p>
          <w:p w14:paraId="6F6C1F77">
            <w:pPr>
              <w:pStyle w:val="style4105"/>
              <w:keepNext w:val="false"/>
              <w:keepLines w:val="false"/>
              <w:pageBreakBefore w:val="false"/>
              <w:widowControl w:val="false"/>
              <w:kinsoku/>
              <w:wordWrap/>
              <w:overflowPunct/>
              <w:topLinePunct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质疑函的内容、格式：应符合《政府采购质疑和投诉办法》相关规定和财政部门制定的《政府采购质疑函范本》格式。</w:t>
            </w:r>
          </w:p>
          <w:p w14:paraId="01BECCAC">
            <w:pPr>
              <w:pStyle w:val="style4105"/>
              <w:keepNext w:val="false"/>
              <w:keepLines w:val="false"/>
              <w:pageBreakBefore w:val="false"/>
              <w:widowControl w:val="false"/>
              <w:kinsoku/>
              <w:wordWrap/>
              <w:overflowPunct/>
              <w:topLinePunct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二、供应商应在法定质疑期内一次性针对同一采购程序环节提出质疑，否则针对再次提出质疑将不予接收。（采购程序环节分为：采购公告、采购文件、采购过程、成交结果）</w:t>
            </w:r>
          </w:p>
        </w:tc>
      </w:tr>
      <w:tr w14:paraId="372C2FC6">
        <w:tblPrEx/>
        <w:trPr>
          <w:trHeight w:val="479" w:hRule="atLeast"/>
        </w:trPr>
        <w:tc>
          <w:tcPr>
            <w:tcW w:w="859" w:type="dxa"/>
            <w:tcBorders/>
            <w:vAlign w:val="center"/>
          </w:tcPr>
          <w:p w14:paraId="5D0968EC">
            <w:pPr>
              <w:pStyle w:val="style4105"/>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10</w:t>
            </w:r>
          </w:p>
        </w:tc>
        <w:tc>
          <w:tcPr>
            <w:tcW w:w="8893" w:type="dxa"/>
            <w:gridSpan w:val="2"/>
            <w:tcBorders/>
            <w:vAlign w:val="center"/>
          </w:tcPr>
          <w:p w14:paraId="37118DD6">
            <w:pPr>
              <w:pStyle w:val="style4105"/>
              <w:spacing w:lineRule="auto" w:line="36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需要补充的其他内容</w:t>
            </w:r>
          </w:p>
        </w:tc>
      </w:tr>
      <w:tr w14:paraId="71065E63">
        <w:tblPrEx/>
        <w:trPr>
          <w:trHeight w:val="479" w:hRule="atLeast"/>
        </w:trPr>
        <w:tc>
          <w:tcPr>
            <w:tcW w:w="859" w:type="dxa"/>
            <w:tcBorders/>
            <w:vAlign w:val="center"/>
          </w:tcPr>
          <w:p w14:paraId="2010D5E3">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10.</w:t>
            </w:r>
            <w:r>
              <w:rPr>
                <w:rFonts w:ascii="宋体" w:cs="宋体" w:eastAsia="宋体" w:hAnsi="宋体" w:hint="eastAsia"/>
                <w:color w:val="auto"/>
                <w:sz w:val="24"/>
                <w:szCs w:val="24"/>
                <w:highlight w:val="none"/>
                <w:lang w:val="en-US" w:eastAsia="zh-CN"/>
              </w:rPr>
              <w:t>1</w:t>
            </w:r>
          </w:p>
        </w:tc>
        <w:tc>
          <w:tcPr>
            <w:tcW w:w="8893" w:type="dxa"/>
            <w:gridSpan w:val="2"/>
            <w:tcBorders/>
            <w:vAlign w:val="center"/>
          </w:tcPr>
          <w:p w14:paraId="1B4FC1B9">
            <w:pPr>
              <w:pStyle w:val="style4105"/>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ind w:left="110" w:leftChars="5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代理服务费：参照《河南省招标代理服务收费指导意见》（豫招协〔2023〕002号）规定的收费标准，由成交人在领取成交通知书时向代理机构一次性支付，此费用由供应商综合考虑到报价中，不再单独列项</w:t>
            </w:r>
            <w:r>
              <w:rPr>
                <w:rFonts w:ascii="宋体" w:cs="宋体" w:eastAsia="宋体" w:hAnsi="宋体" w:hint="eastAsia"/>
                <w:color w:val="auto"/>
                <w:sz w:val="24"/>
                <w:szCs w:val="24"/>
                <w:highlight w:val="none"/>
                <w:lang w:val="zh-CN"/>
              </w:rPr>
              <w:t>。</w:t>
            </w:r>
          </w:p>
        </w:tc>
      </w:tr>
      <w:tr w14:paraId="603E9CD1">
        <w:tblPrEx/>
        <w:trPr>
          <w:trHeight w:val="479" w:hRule="atLeast"/>
        </w:trPr>
        <w:tc>
          <w:tcPr>
            <w:tcW w:w="859" w:type="dxa"/>
            <w:tcBorders/>
            <w:vAlign w:val="center"/>
          </w:tcPr>
          <w:p w14:paraId="0171F6A4">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10.</w:t>
            </w:r>
            <w:r>
              <w:rPr>
                <w:rFonts w:ascii="宋体" w:cs="宋体" w:eastAsia="宋体" w:hAnsi="宋体" w:hint="eastAsia"/>
                <w:color w:val="auto"/>
                <w:sz w:val="24"/>
                <w:szCs w:val="24"/>
                <w:highlight w:val="none"/>
                <w:lang w:val="en-US" w:eastAsia="zh-CN"/>
              </w:rPr>
              <w:t>2</w:t>
            </w:r>
          </w:p>
        </w:tc>
        <w:tc>
          <w:tcPr>
            <w:tcW w:w="8893" w:type="dxa"/>
            <w:gridSpan w:val="2"/>
            <w:tcBorders/>
            <w:vAlign w:val="center"/>
          </w:tcPr>
          <w:p w14:paraId="50CFBEA6">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b/>
                <w:bCs/>
                <w:color w:val="auto"/>
                <w:sz w:val="24"/>
                <w:szCs w:val="24"/>
                <w:highlight w:val="none"/>
                <w:lang w:eastAsia="zh-CN"/>
              </w:rPr>
              <w:t>供应商须独立制作、修改和上传响应文件，若因“响应文件制作机器码”与其他供应商一致，机器码一致的所有响应文件按无效文件处理，所造成的不良后果由供应商自行承担。</w:t>
            </w:r>
          </w:p>
        </w:tc>
      </w:tr>
      <w:tr w14:paraId="093A3C13">
        <w:tblPrEx/>
        <w:trPr>
          <w:trHeight w:val="479" w:hRule="atLeast"/>
        </w:trPr>
        <w:tc>
          <w:tcPr>
            <w:tcW w:w="859" w:type="dxa"/>
            <w:tcBorders/>
            <w:vAlign w:val="center"/>
          </w:tcPr>
          <w:p w14:paraId="4AE75370">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10.</w:t>
            </w:r>
            <w:r>
              <w:rPr>
                <w:rFonts w:ascii="宋体" w:cs="宋体" w:eastAsia="宋体" w:hAnsi="宋体" w:hint="eastAsia"/>
                <w:color w:val="auto"/>
                <w:sz w:val="24"/>
                <w:szCs w:val="24"/>
                <w:highlight w:val="none"/>
                <w:lang w:val="en-US" w:eastAsia="zh-CN"/>
              </w:rPr>
              <w:t>3</w:t>
            </w:r>
          </w:p>
        </w:tc>
        <w:tc>
          <w:tcPr>
            <w:tcW w:w="8893" w:type="dxa"/>
            <w:gridSpan w:val="2"/>
            <w:tcBorders/>
            <w:vAlign w:val="center"/>
          </w:tcPr>
          <w:p w14:paraId="3AAF6C83">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解释权：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前附表、评审办法、响应文件格式的编排顺序在后者为准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FE0CA3A">
        <w:tblPrEx/>
        <w:trPr>
          <w:trHeight w:val="479" w:hRule="atLeast"/>
        </w:trPr>
        <w:tc>
          <w:tcPr>
            <w:tcW w:w="859" w:type="dxa"/>
            <w:tcBorders/>
            <w:vAlign w:val="center"/>
          </w:tcPr>
          <w:p w14:paraId="1D45A117">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10.</w:t>
            </w:r>
            <w:r>
              <w:rPr>
                <w:rFonts w:ascii="宋体" w:cs="宋体" w:eastAsia="宋体" w:hAnsi="宋体" w:hint="eastAsia"/>
                <w:color w:val="auto"/>
                <w:sz w:val="24"/>
                <w:szCs w:val="24"/>
                <w:highlight w:val="none"/>
                <w:lang w:val="en-US" w:eastAsia="zh-CN"/>
              </w:rPr>
              <w:t>4</w:t>
            </w:r>
          </w:p>
        </w:tc>
        <w:tc>
          <w:tcPr>
            <w:tcW w:w="8893" w:type="dxa"/>
            <w:gridSpan w:val="2"/>
            <w:tcBorders/>
            <w:vAlign w:val="center"/>
          </w:tcPr>
          <w:p w14:paraId="37FBC2D1">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供应商提供的补充资料均需在评审工作当日评审会结束前提供，供应商在评审会结束后递交的任何补充、澄清、说明、证明、承诺等资料均不再给予认定，供应商自行承担未能按时提供上述资料造成的后果。</w:t>
            </w:r>
          </w:p>
        </w:tc>
      </w:tr>
      <w:tr w14:paraId="3AA738A3">
        <w:tblPrEx/>
        <w:trPr>
          <w:trHeight w:val="479" w:hRule="atLeast"/>
        </w:trPr>
        <w:tc>
          <w:tcPr>
            <w:tcW w:w="859" w:type="dxa"/>
            <w:tcBorders/>
            <w:vAlign w:val="center"/>
          </w:tcPr>
          <w:p w14:paraId="5A869268">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054913B6">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50D24CFF">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066EE133">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696127CB">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2E844D49">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71501F39">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6FA7E87F">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7BDD8E99">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4F4E30BF">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64D68B0E">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6B396348">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391131AD">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5F4C77A9">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136020E4">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21D945E5">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2C47E76D">
            <w:pPr>
              <w:pStyle w:val="style4105"/>
              <w:spacing w:lineRule="auto" w:line="360"/>
              <w:ind w:left="110" w:leftChars="50"/>
              <w:jc w:val="center"/>
              <w:rPr>
                <w:rFonts w:ascii="宋体" w:cs="宋体" w:eastAsia="宋体" w:hAnsi="宋体" w:hint="eastAsia"/>
                <w:color w:val="auto"/>
                <w:sz w:val="24"/>
                <w:szCs w:val="24"/>
                <w:highlight w:val="none"/>
                <w:lang w:eastAsia="zh-CN"/>
              </w:rPr>
            </w:pPr>
          </w:p>
          <w:p w14:paraId="4C506403">
            <w:pPr>
              <w:pStyle w:val="style4105"/>
              <w:spacing w:lineRule="auto" w:line="360"/>
              <w:ind w:left="110" w:leftChars="5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rPr>
              <w:t>10.</w:t>
            </w:r>
            <w:r>
              <w:rPr>
                <w:rFonts w:ascii="宋体" w:cs="宋体" w:eastAsia="宋体" w:hAnsi="宋体" w:hint="eastAsia"/>
                <w:color w:val="auto"/>
                <w:sz w:val="24"/>
                <w:szCs w:val="24"/>
                <w:highlight w:val="none"/>
                <w:lang w:val="en-US" w:eastAsia="zh-CN"/>
              </w:rPr>
              <w:t>5</w:t>
            </w:r>
          </w:p>
        </w:tc>
        <w:tc>
          <w:tcPr>
            <w:tcW w:w="8893" w:type="dxa"/>
            <w:gridSpan w:val="2"/>
            <w:tcBorders/>
            <w:vAlign w:val="center"/>
          </w:tcPr>
          <w:p w14:paraId="227E7FB4">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政府采购政策执行：</w:t>
            </w:r>
          </w:p>
          <w:p w14:paraId="43E1C268">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1、监狱企业、残疾人福利性企业、小型和微型企业产品价格给予扣除标准：</w:t>
            </w:r>
          </w:p>
          <w:p w14:paraId="039FD964">
            <w:pPr>
              <w:pStyle w:val="style4105"/>
              <w:spacing w:lineRule="auto" w:line="360"/>
              <w:ind w:left="110" w:leftChars="50"/>
              <w:rPr>
                <w:rFonts w:ascii="宋体" w:cs="宋体" w:eastAsia="宋体" w:hAnsi="宋体" w:hint="eastAsia"/>
                <w:b/>
                <w:bCs/>
                <w:color w:val="auto"/>
                <w:sz w:val="24"/>
                <w:szCs w:val="24"/>
                <w:highlight w:val="none"/>
                <w:lang w:val="en-US" w:eastAsia="zh-CN"/>
              </w:rPr>
            </w:pPr>
            <w:r>
              <w:rPr>
                <w:rFonts w:ascii="宋体" w:cs="宋体" w:eastAsia="宋体" w:hAnsi="宋体" w:hint="eastAsia"/>
                <w:color w:val="auto"/>
                <w:sz w:val="24"/>
                <w:szCs w:val="24"/>
                <w:highlight w:val="none"/>
                <w:lang w:val="en-US" w:eastAsia="zh-CN"/>
              </w:rPr>
              <w:t>根据《政府采购促进中小企业发展管理办法》(财库〔2020〕46号)的规定，对于非专门面向中小企业的项目，对小型和微型企业产品的价格本项目给予10%的扣除，用扣除后的报价参与评审。</w:t>
            </w:r>
          </w:p>
          <w:p w14:paraId="62E18837">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3A3CE801">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根据《财政部、民政部、中国残疾人联合会关于促进残疾人就业政府采购政策的通知》（财库〔2017〕141号）的规定，提供《残疾人福利性单位声明函》（见附件），并对声明的真实性负责。中标/成交供应商为残疾人福利性单位的，采购人应当随中标/成交结果同时公告其《残疾人福利性单位声明函》，接受社会监督。提供的《残疾人福利性单位声明函》与事实不符的，依照《中华人民共和国政府采购法》第七十七条第一款的规定追究法律责任。残疾人福利性单位视同小型、微型企业。</w:t>
            </w:r>
          </w:p>
          <w:p w14:paraId="7F940D1B">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2、国家相关部委针对节能产品、环境标志产品出台了相关调整优化政府采购执行机制，并于近期相继颁布《财政部发展改革委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 号）、《市场监管总局关于发布参与实施政府采购节能产品、环境标志产品认证机构名录的公告》（市场监管总局 2019 年 4 月 3 日下发）（以下简称“机构名录”）、《关于印发节能产品政府采购品目清单的通知》（财库〔2019〕19 号）（以下简称“节能清单”）、《关于印发环境标志产品政府采购品目清单的通知》（财库〔2019〕18 号）（以下简称“环保清单”）。根据要求，</w:t>
            </w:r>
            <w:r>
              <w:rPr>
                <w:rFonts w:ascii="宋体" w:cs="宋体" w:eastAsia="宋体" w:hAnsi="宋体" w:hint="eastAsia"/>
                <w:b/>
                <w:bCs/>
                <w:color w:val="auto"/>
                <w:sz w:val="24"/>
                <w:szCs w:val="24"/>
                <w:highlight w:val="none"/>
                <w:lang w:val="en-US" w:eastAsia="zh-CN"/>
              </w:rPr>
              <w:t>投标产品如有属于“节能清单”中标记“★”产品的，必须提供经过“机构名录”中的认证机构出具的“节能产品认证证书及相关附件”，未提供的按无效投标处理。</w:t>
            </w:r>
            <w:r>
              <w:rPr>
                <w:rFonts w:ascii="宋体" w:cs="宋体" w:eastAsia="宋体" w:hAnsi="宋体" w:hint="eastAsia"/>
                <w:color w:val="auto"/>
                <w:sz w:val="24"/>
                <w:szCs w:val="24"/>
                <w:highlight w:val="none"/>
                <w:lang w:val="en-US" w:eastAsia="zh-CN"/>
              </w:rPr>
              <w:t>对于投标产品属于“节能清单”中非标记“★”产品的以及属于“环保清单”产品并经“机构名录”中的认证机构出具相应的产品认证证书的给予优先采购体现。采购人采购产品属于节能产品或环境标志产品品目清单范围内，且供应商（投标人）所投产品具有有效期内的产品认证证书，在评审时予以优先采购。</w:t>
            </w:r>
          </w:p>
          <w:p w14:paraId="03389DCE">
            <w:pPr>
              <w:pStyle w:val="style4105"/>
              <w:spacing w:lineRule="auto" w:line="360"/>
              <w:ind w:left="110" w:leftChars="5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3、根据《政府采购进口产品管理办法》（财库[2007]119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5C2C8BE1">
            <w:pPr>
              <w:pStyle w:val="style4105"/>
              <w:spacing w:lineRule="auto" w:line="360"/>
              <w:ind w:left="110" w:leftChars="5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4、其它未尽事宜，按国家有关法律、法规执行。</w:t>
            </w:r>
          </w:p>
        </w:tc>
      </w:tr>
      <w:tr w14:paraId="4AF80813">
        <w:tblPrEx/>
        <w:trPr>
          <w:trHeight w:val="479" w:hRule="atLeast"/>
        </w:trPr>
        <w:tc>
          <w:tcPr>
            <w:tcW w:w="9752" w:type="dxa"/>
            <w:gridSpan w:val="3"/>
            <w:tcBorders/>
            <w:vAlign w:val="center"/>
          </w:tcPr>
          <w:p w14:paraId="026597E0">
            <w:pPr>
              <w:pStyle w:val="style4105"/>
              <w:spacing w:lineRule="auto" w:line="360"/>
              <w:ind w:left="110" w:leftChars="50"/>
              <w:rPr>
                <w:rFonts w:ascii="宋体" w:cs="宋体" w:eastAsia="宋体" w:hAnsi="宋体" w:hint="eastAsia"/>
                <w:color w:val="auto"/>
                <w:spacing w:val="-2"/>
                <w:sz w:val="24"/>
                <w:szCs w:val="24"/>
                <w:highlight w:val="none"/>
                <w:lang w:eastAsia="zh-CN"/>
              </w:rPr>
            </w:pPr>
            <w:r>
              <w:rPr>
                <w:rFonts w:ascii="宋体" w:cs="宋体" w:eastAsia="宋体" w:hAnsi="宋体" w:hint="eastAsia"/>
                <w:color w:val="auto"/>
                <w:spacing w:val="-2"/>
                <w:sz w:val="24"/>
                <w:szCs w:val="24"/>
                <w:highlight w:val="none"/>
                <w:lang w:eastAsia="zh-CN"/>
              </w:rPr>
              <w:t>其它未尽事宜，按国家有关法律、法规执行。竞争性磋商文件的最终解释权归采购人</w:t>
            </w:r>
          </w:p>
        </w:tc>
      </w:tr>
    </w:tbl>
    <w:p w14:paraId="22BC7588">
      <w:pPr>
        <w:pStyle w:val="style0"/>
        <w:spacing w:lineRule="auto" w:line="360"/>
        <w:jc w:val="both"/>
        <w:rPr>
          <w:rFonts w:ascii="宋体" w:cs="宋体" w:eastAsia="宋体" w:hAnsi="宋体" w:hint="eastAsia"/>
          <w:color w:val="auto"/>
          <w:sz w:val="21"/>
          <w:highlight w:val="none"/>
          <w:lang w:eastAsia="zh-CN"/>
        </w:rPr>
        <w:sectPr>
          <w:footerReference w:type="default" r:id="rId8"/>
          <w:pgSz w:w="11910" w:h="16840" w:orient="portrait"/>
          <w:pgMar w:top="1134" w:right="1134" w:bottom="1134" w:left="1134" w:header="878" w:footer="1130" w:gutter="0"/>
          <w:pgNumType w:fmt="decimal" w:start="1"/>
          <w:cols w:space="720" w:num="1"/>
        </w:sectPr>
      </w:pPr>
    </w:p>
    <w:bookmarkStart w:id="19" w:name="1._总则_"/>
    <w:bookmarkEnd w:id="19"/>
    <w:p w14:paraId="772E1E08">
      <w:pPr>
        <w:pStyle w:val="style66"/>
        <w:spacing w:before="2" w:lineRule="auto" w:line="360"/>
        <w:rPr>
          <w:rFonts w:ascii="宋体" w:cs="宋体" w:eastAsia="宋体" w:hAnsi="宋体" w:hint="eastAsia"/>
          <w:color w:val="auto"/>
          <w:sz w:val="16"/>
          <w:highlight w:val="none"/>
          <w:lang w:eastAsia="zh-CN"/>
        </w:rPr>
      </w:pPr>
    </w:p>
    <w:p w14:paraId="4A137A38">
      <w:pPr>
        <w:pStyle w:val="style4137"/>
        <w:jc w:val="center"/>
        <w:rPr>
          <w:rFonts w:ascii="宋体" w:cs="宋体" w:eastAsia="宋体" w:hAnsi="宋体" w:hint="eastAsia"/>
          <w:b/>
          <w:bCs/>
          <w:kern w:val="0"/>
          <w:sz w:val="24"/>
          <w:szCs w:val="24"/>
          <w:lang w:val="en-US" w:eastAsia="zh-CN"/>
        </w:rPr>
      </w:pPr>
      <w:r>
        <w:rPr>
          <w:rFonts w:ascii="宋体" w:cs="宋体" w:eastAsia="宋体" w:hAnsi="宋体" w:hint="eastAsia"/>
          <w:b/>
          <w:bCs/>
          <w:kern w:val="0"/>
          <w:sz w:val="24"/>
          <w:szCs w:val="24"/>
          <w:lang w:val="en-US" w:eastAsia="zh-CN"/>
        </w:rPr>
        <w:t>河南省政府采购合同融资政策告知函</w:t>
      </w:r>
    </w:p>
    <w:p w14:paraId="096BFFBD">
      <w:pPr>
        <w:pStyle w:val="style4137"/>
        <w:spacing w:lineRule="auto" w:line="600"/>
        <w:jc w:val="both"/>
        <w:rPr>
          <w:rFonts w:ascii="宋体" w:cs="宋体" w:eastAsia="宋体" w:hAnsi="宋体" w:hint="eastAsia"/>
          <w:kern w:val="0"/>
          <w:sz w:val="21"/>
          <w:szCs w:val="21"/>
          <w:lang w:val="en-US" w:eastAsia="zh-CN"/>
        </w:rPr>
      </w:pPr>
    </w:p>
    <w:p w14:paraId="1A9A8E38">
      <w:pPr>
        <w:pStyle w:val="style4137"/>
        <w:spacing w:lineRule="auto" w:line="600"/>
        <w:jc w:val="both"/>
        <w:rPr>
          <w:rFonts w:ascii="宋体" w:cs="宋体" w:eastAsia="宋体" w:hAnsi="宋体" w:hint="eastAsia"/>
          <w:kern w:val="0"/>
          <w:sz w:val="22"/>
          <w:szCs w:val="22"/>
          <w:lang w:val="en-US" w:eastAsia="zh-CN"/>
        </w:rPr>
      </w:pPr>
      <w:r>
        <w:rPr>
          <w:rFonts w:ascii="宋体" w:cs="宋体" w:eastAsia="宋体" w:hAnsi="宋体" w:hint="eastAsia"/>
          <w:kern w:val="0"/>
          <w:sz w:val="22"/>
          <w:szCs w:val="22"/>
          <w:lang w:val="en-US" w:eastAsia="zh-CN"/>
        </w:rPr>
        <w:t>各供应商：</w:t>
      </w:r>
    </w:p>
    <w:p w14:paraId="79343AE5">
      <w:pPr>
        <w:pStyle w:val="style4137"/>
        <w:spacing w:lineRule="auto" w:line="600"/>
        <w:ind w:firstLine="440" w:firstLineChars="200"/>
        <w:jc w:val="left"/>
        <w:rPr>
          <w:rFonts w:ascii="宋体" w:cs="宋体" w:eastAsia="宋体" w:hAnsi="宋体" w:hint="eastAsia"/>
          <w:kern w:val="0"/>
          <w:sz w:val="22"/>
          <w:szCs w:val="22"/>
          <w:lang w:val="en-US" w:eastAsia="zh-CN"/>
        </w:rPr>
      </w:pPr>
      <w:r>
        <w:rPr>
          <w:rFonts w:ascii="宋体" w:cs="宋体" w:eastAsia="宋体" w:hAnsi="宋体" w:hint="eastAsia"/>
          <w:kern w:val="0"/>
          <w:sz w:val="22"/>
          <w:szCs w:val="22"/>
          <w:lang w:val="en-US" w:eastAsia="zh-CN"/>
        </w:rPr>
        <w:t>欢迎贵公司参与河南省政府采购活动！</w:t>
      </w:r>
    </w:p>
    <w:p w14:paraId="0B098A9D">
      <w:pPr>
        <w:pStyle w:val="style4137"/>
        <w:spacing w:lineRule="auto" w:line="600"/>
        <w:ind w:firstLine="440" w:firstLineChars="200"/>
        <w:jc w:val="left"/>
        <w:rPr>
          <w:rFonts w:ascii="宋体" w:cs="宋体" w:eastAsia="宋体" w:hAnsi="宋体" w:hint="eastAsia"/>
          <w:kern w:val="0"/>
          <w:sz w:val="22"/>
          <w:szCs w:val="22"/>
          <w:lang w:val="en-US" w:eastAsia="zh-CN"/>
        </w:rPr>
      </w:pPr>
      <w:r>
        <w:rPr>
          <w:rFonts w:ascii="宋体" w:cs="宋体" w:eastAsia="宋体" w:hAnsi="宋体" w:hint="eastAsia"/>
          <w:kern w:val="0"/>
          <w:sz w:val="22"/>
          <w:szCs w:val="22"/>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A639589">
      <w:pPr>
        <w:pStyle w:val="style4137"/>
        <w:spacing w:lineRule="auto" w:line="600"/>
        <w:ind w:firstLine="440" w:firstLineChars="200"/>
        <w:jc w:val="left"/>
        <w:rPr>
          <w:rFonts w:ascii="宋体" w:cs="宋体" w:eastAsia="宋体" w:hAnsi="宋体" w:hint="eastAsia"/>
          <w:kern w:val="0"/>
          <w:sz w:val="22"/>
          <w:szCs w:val="22"/>
          <w:lang w:val="en-US" w:eastAsia="zh-CN"/>
        </w:rPr>
      </w:pPr>
      <w:r>
        <w:rPr>
          <w:rFonts w:ascii="宋体" w:cs="宋体" w:eastAsia="宋体" w:hAnsi="宋体" w:hint="eastAsia"/>
          <w:kern w:val="0"/>
          <w:sz w:val="22"/>
          <w:szCs w:val="22"/>
          <w:lang w:val="en-US" w:eastAsia="zh-CN"/>
        </w:rPr>
        <w:t>贷款渠道和提供贷款的金融机构，可在河南省政府采购网“河南省政府采购合同融资平台”查询联系。</w:t>
      </w:r>
    </w:p>
    <w:p w14:paraId="0053971A">
      <w:pPr>
        <w:pStyle w:val="style0"/>
        <w:spacing w:lineRule="auto" w:line="360"/>
        <w:jc w:val="both"/>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p>
    <w:bookmarkStart w:id="20" w:name="_Toc11332"/>
    <w:bookmarkStart w:id="21" w:name="_Toc31512"/>
    <w:p w14:paraId="0AD57BB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1.总则</w:t>
      </w:r>
      <w:bookmarkEnd w:id="20"/>
      <w:bookmarkEnd w:id="21"/>
    </w:p>
    <w:p w14:paraId="7D2CDEC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pacing w:val="0"/>
          <w:kern w:val="0"/>
          <w:sz w:val="21"/>
          <w:szCs w:val="21"/>
          <w:highlight w:val="none"/>
          <w:fitText w:val="1260" w:id="77605859"/>
          <w:lang w:eastAsia="zh-CN"/>
        </w:rPr>
        <w:t>1.1</w:t>
      </w:r>
      <w:r>
        <w:rPr>
          <w:rFonts w:ascii="宋体" w:cs="宋体" w:eastAsia="宋体" w:hAnsi="宋体" w:hint="eastAsia"/>
          <w:b/>
          <w:bCs/>
          <w:color w:val="auto"/>
          <w:spacing w:val="0"/>
          <w:kern w:val="0"/>
          <w:sz w:val="21"/>
          <w:szCs w:val="21"/>
          <w:highlight w:val="none"/>
          <w:fitText w:val="1260" w:id="77605859"/>
          <w:lang w:val="en-US" w:eastAsia="zh-CN"/>
        </w:rPr>
        <w:t xml:space="preserve"> </w:t>
      </w:r>
      <w:r>
        <w:rPr>
          <w:rFonts w:ascii="宋体" w:cs="宋体" w:eastAsia="宋体" w:hAnsi="宋体" w:hint="eastAsia"/>
          <w:b/>
          <w:bCs/>
          <w:color w:val="auto"/>
          <w:spacing w:val="0"/>
          <w:kern w:val="0"/>
          <w:sz w:val="21"/>
          <w:szCs w:val="21"/>
          <w:highlight w:val="none"/>
          <w:fitText w:val="1260" w:id="77605859"/>
          <w:lang w:eastAsia="zh-CN"/>
        </w:rPr>
        <w:t>项目概况</w:t>
      </w:r>
    </w:p>
    <w:p w14:paraId="0F0135B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1.1.1根据《中华人民共和国政府采购法》《中华人民共和国政府采购法实施条例》《政府采购竞争性磋商采购方式暂行办法》等有关法律、法规和规章的规定，本项目已具备磋商条件，现对本项目进行磋商。</w:t>
      </w:r>
    </w:p>
    <w:p w14:paraId="3983749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1.1.2本项目采购人：见供应商须知前附表。</w:t>
      </w:r>
    </w:p>
    <w:p w14:paraId="1E0AD03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1.1.3本项目采购代理机构：见供应商须知前附表。</w:t>
      </w:r>
    </w:p>
    <w:p w14:paraId="1E720B0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1.1.4项目名称：见供应商须知前附表。</w:t>
      </w:r>
    </w:p>
    <w:p w14:paraId="09B5C1E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1.2</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资金来源</w:t>
      </w:r>
    </w:p>
    <w:p w14:paraId="09DCD64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1.2.1本采购项目的资金来源：见供应商须知前附表。</w:t>
      </w:r>
    </w:p>
    <w:p w14:paraId="70379CA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1.2.2本项目预算金额（最高限价）：见供应商须知前附表。</w:t>
      </w:r>
    </w:p>
    <w:p w14:paraId="2103A8E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val="en-US" w:eastAsia="zh-CN"/>
        </w:rPr>
      </w:pPr>
      <w:r>
        <w:rPr>
          <w:rFonts w:ascii="宋体" w:cs="宋体" w:eastAsia="宋体" w:hAnsi="宋体" w:hint="eastAsia"/>
          <w:b/>
          <w:bCs/>
          <w:color w:val="auto"/>
          <w:sz w:val="21"/>
          <w:szCs w:val="21"/>
          <w:highlight w:val="none"/>
          <w:lang w:eastAsia="zh-CN"/>
        </w:rPr>
        <w:t>1.3</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采购内容及分包情况、交货期、质量要求、质量保证期</w:t>
      </w:r>
      <w:r>
        <w:rPr>
          <w:rFonts w:ascii="宋体" w:cs="宋体" w:eastAsia="宋体" w:hAnsi="宋体" w:hint="eastAsia"/>
          <w:b/>
          <w:bCs/>
          <w:color w:val="auto"/>
          <w:sz w:val="21"/>
          <w:szCs w:val="21"/>
          <w:highlight w:val="none"/>
          <w:lang w:val="en-US" w:eastAsia="zh-CN"/>
        </w:rPr>
        <w:t>及交货地点</w:t>
      </w:r>
    </w:p>
    <w:p w14:paraId="1501B38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1.3.1本次采购内容及分包情况：见供应商须知前附表。</w:t>
      </w:r>
    </w:p>
    <w:p w14:paraId="4A1F4DC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1.3.2本项目的交货期：见供应商须知前附表。</w:t>
      </w:r>
    </w:p>
    <w:p w14:paraId="14A044C5">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1.3.3本项目的质量要求：见供应商须知前附表。</w:t>
      </w:r>
    </w:p>
    <w:p w14:paraId="344E88D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1.3.4本项目的质量保证期：见供应商须知前附表。</w:t>
      </w:r>
    </w:p>
    <w:p w14:paraId="5AB38EF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val="en-US" w:eastAsia="zh-CN"/>
        </w:rPr>
      </w:pPr>
      <w:r>
        <w:rPr>
          <w:rFonts w:ascii="宋体" w:cs="宋体" w:eastAsia="宋体" w:hAnsi="宋体" w:hint="eastAsia"/>
          <w:color w:val="auto"/>
          <w:sz w:val="21"/>
          <w:szCs w:val="21"/>
          <w:highlight w:val="none"/>
          <w:lang w:val="en-US" w:eastAsia="zh-CN"/>
        </w:rPr>
        <w:t>1.3.5本项目的交货地点：见供应商须知前附表。</w:t>
      </w:r>
    </w:p>
    <w:p w14:paraId="6EEC46D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1.4</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供应商资格要求</w:t>
      </w:r>
    </w:p>
    <w:p w14:paraId="525BDF2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1.4.1供应商资格要求：见供应商须知前附表。</w:t>
      </w:r>
    </w:p>
    <w:p w14:paraId="6B7F9A1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1.5</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费用承担</w:t>
      </w:r>
    </w:p>
    <w:p w14:paraId="4BA57D2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供应商准备和参加磋商活动发生的费用自理。</w:t>
      </w:r>
    </w:p>
    <w:p w14:paraId="0337E3B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1.6</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保密</w:t>
      </w:r>
    </w:p>
    <w:p w14:paraId="7287D7D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参与磋商活动的各方应对竞争性磋商文件和响应文件中的商业和技术等秘密保密，违者应对由此造成的后果承担法律责任。</w:t>
      </w:r>
    </w:p>
    <w:p w14:paraId="0F27333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采购人向供应商提供的有关项目的基本情况和相关数据，是采购人现有的能使供应商利用的资料。采购人对供应商由此而做出的推论、理解和结论概不负责。</w:t>
      </w:r>
    </w:p>
    <w:p w14:paraId="361ADB0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1.7</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语言文字</w:t>
      </w:r>
    </w:p>
    <w:p w14:paraId="6E4857B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1.8</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除专用术语外，与磋商活动有关的语言均使用中文。必要时专用术语应附有中文注释。</w:t>
      </w:r>
    </w:p>
    <w:p w14:paraId="2C75857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1.9</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计量单位</w:t>
      </w:r>
    </w:p>
    <w:p w14:paraId="1948A82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所有计量均采用中华人民共和国法定计量单位。</w:t>
      </w:r>
    </w:p>
    <w:p w14:paraId="69DB7C1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1.10</w:t>
      </w:r>
      <w:r>
        <w:rPr>
          <w:rFonts w:ascii="宋体" w:cs="宋体" w:eastAsia="宋体" w:hAnsi="宋体" w:hint="eastAsia"/>
          <w:b/>
          <w:bCs/>
          <w:color w:val="auto"/>
          <w:sz w:val="21"/>
          <w:szCs w:val="21"/>
          <w:highlight w:val="none"/>
          <w:lang w:val="en-US" w:eastAsia="zh-CN"/>
        </w:rPr>
        <w:t xml:space="preserve"> </w:t>
      </w:r>
      <w:r>
        <w:rPr>
          <w:rFonts w:ascii="宋体" w:cs="宋体" w:eastAsia="宋体" w:hAnsi="宋体" w:hint="eastAsia"/>
          <w:b/>
          <w:bCs/>
          <w:color w:val="auto"/>
          <w:sz w:val="21"/>
          <w:szCs w:val="21"/>
          <w:highlight w:val="none"/>
          <w:lang w:eastAsia="zh-CN"/>
        </w:rPr>
        <w:t>踏勘现场</w:t>
      </w:r>
    </w:p>
    <w:p w14:paraId="6D851AC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见供应商须知前附表。</w:t>
      </w:r>
    </w:p>
    <w:p w14:paraId="5E87A2E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1.11分包</w:t>
      </w:r>
    </w:p>
    <w:p w14:paraId="6B55FCF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val="en-US" w:eastAsia="zh-CN"/>
        </w:rPr>
      </w:pPr>
      <w:r>
        <w:rPr>
          <w:rFonts w:ascii="宋体" w:cs="宋体" w:eastAsia="宋体" w:hAnsi="宋体" w:hint="eastAsia"/>
          <w:color w:val="auto"/>
          <w:sz w:val="21"/>
          <w:szCs w:val="21"/>
          <w:highlight w:val="none"/>
          <w:lang w:val="en-US" w:eastAsia="zh-CN"/>
        </w:rPr>
        <w:t>见供应商须知前附表。</w:t>
      </w:r>
    </w:p>
    <w:p w14:paraId="3AA8D30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1.12偏离</w:t>
      </w:r>
    </w:p>
    <w:p w14:paraId="39043AD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供应商须知前附表允许响应文件偏离竞争性磋商文件某些要求的，偏离应当符合竞争性磋商文件规定的偏离范围和幅度。</w:t>
      </w:r>
    </w:p>
    <w:bookmarkStart w:id="22" w:name="_Toc13937"/>
    <w:bookmarkStart w:id="23" w:name="_Toc17882"/>
    <w:p w14:paraId="124E9F5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2</w:t>
      </w:r>
      <w:r>
        <w:rPr>
          <w:rFonts w:ascii="宋体" w:cs="宋体" w:eastAsia="宋体" w:hAnsi="宋体" w:hint="eastAsia"/>
          <w:b/>
          <w:bCs/>
          <w:color w:val="auto"/>
          <w:sz w:val="24"/>
          <w:szCs w:val="24"/>
          <w:highlight w:val="none"/>
          <w:lang w:val="en-US" w:eastAsia="zh-CN"/>
        </w:rPr>
        <w:t>.</w:t>
      </w:r>
      <w:r>
        <w:rPr>
          <w:rFonts w:ascii="宋体" w:cs="宋体" w:eastAsia="宋体" w:hAnsi="宋体" w:hint="eastAsia"/>
          <w:b/>
          <w:bCs/>
          <w:color w:val="auto"/>
          <w:sz w:val="24"/>
          <w:szCs w:val="24"/>
          <w:highlight w:val="none"/>
          <w:lang w:eastAsia="zh-CN"/>
        </w:rPr>
        <w:t>磋商文件</w:t>
      </w:r>
      <w:bookmarkEnd w:id="22"/>
      <w:bookmarkEnd w:id="23"/>
    </w:p>
    <w:p w14:paraId="17A0F7A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2.1.磋商文件构成</w:t>
      </w:r>
    </w:p>
    <w:p w14:paraId="1703234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2.1.1磋商文件共六章，内容如下：</w:t>
      </w:r>
    </w:p>
    <w:p w14:paraId="56ACEC0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第一章 竞争性磋商公告</w:t>
      </w:r>
    </w:p>
    <w:p w14:paraId="133A740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第二章 供应商须知</w:t>
      </w:r>
    </w:p>
    <w:p w14:paraId="04661A1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第三章 评审办法</w:t>
      </w:r>
    </w:p>
    <w:p w14:paraId="697180F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第四章 合同条款及格式</w:t>
      </w:r>
    </w:p>
    <w:p w14:paraId="37B596C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 xml:space="preserve">第五章 </w:t>
      </w:r>
      <w:r>
        <w:rPr>
          <w:rFonts w:ascii="宋体" w:cs="宋体" w:eastAsia="宋体" w:hAnsi="宋体" w:hint="eastAsia"/>
          <w:color w:val="auto"/>
          <w:sz w:val="21"/>
          <w:szCs w:val="21"/>
          <w:highlight w:val="none"/>
          <w:lang w:val="en-US" w:eastAsia="zh-CN"/>
        </w:rPr>
        <w:t>项目需求及技术要求</w:t>
      </w:r>
    </w:p>
    <w:p w14:paraId="30BC32A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第六章 响应文件格式</w:t>
      </w:r>
    </w:p>
    <w:p w14:paraId="44EC5C4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2.1.2供应商应认真阅读磋商文件所有的事项、格式、条款等。如供应商没有按照磋商文件要求提交资料，或者响应文件没有对磋商文件做出实质性响应，可能导致其响应文件被认定为无效响应。</w:t>
      </w:r>
    </w:p>
    <w:p w14:paraId="17E8FE3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2.2.磋商文件的澄清与修改</w:t>
      </w:r>
    </w:p>
    <w:p w14:paraId="538C5730">
      <w:pPr>
        <w:pStyle w:val="style0"/>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2.2.1供应商对竞争性磋商文件如有需要澄清或疑问，应及时在河南省公共资源交易中心电子交易平台进行提问，要求采购人对竞争性磋商文件予以澄清。供应商在规定的时间内未要求对竞争性磋商文件澄清或提出疑问的，采购人和采购代理机构将视其为无异议，响应文件递交截止时间后，采购人和采购代理机构不接受其对竞争性磋商文件内容的质疑。</w:t>
      </w:r>
    </w:p>
    <w:p w14:paraId="268D245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2.2.2采购人、采购代理机构可以对已发出的磋商文件进行必要的澄清或者修改。澄清或者修改的内容可能影响响应文件编制的，应当在递交首次响应文件截止时间至少5日前，在河南省公共资源交易中心电子交易平台公布给所有下载竞争性磋商文件的供应商，但不指明澄清问题的来源。如果澄清发出的时间距响应文件递交截止日不足5日的，并且澄清内容影响响应文件编制的，应当顺延首次递交响应文件截止时间及磋商开启时间。</w:t>
      </w:r>
    </w:p>
    <w:p w14:paraId="2E51983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2.2.3澄清或者修改的内容为磋商文件的组成部分，澄清内容一经在项目公告网站和电子交易平台发布，视作已送达所有供应商，对所有磋商文件的收受人具有约束力。</w:t>
      </w:r>
    </w:p>
    <w:p w14:paraId="2CDB46D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2.2.4因河南省公共资源交易中心电子交易平台在响应文件递交截止时间前具有保密性，供应商在响应文件递交截止时间前须自行查看项目进展、下载竞争性磋商文件的澄清或者修改等，因供应商未及时查看和下载而造成的后果自负。</w:t>
      </w:r>
    </w:p>
    <w:bookmarkStart w:id="24" w:name="_Toc20768"/>
    <w:bookmarkStart w:id="25" w:name="_Toc12212"/>
    <w:p w14:paraId="0ED330E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3</w:t>
      </w:r>
      <w:r>
        <w:rPr>
          <w:rFonts w:ascii="宋体" w:cs="宋体" w:eastAsia="宋体" w:hAnsi="宋体" w:hint="eastAsia"/>
          <w:b/>
          <w:bCs/>
          <w:color w:val="auto"/>
          <w:sz w:val="24"/>
          <w:szCs w:val="24"/>
          <w:highlight w:val="none"/>
          <w:lang w:val="en-US" w:eastAsia="zh-CN"/>
        </w:rPr>
        <w:t>.</w:t>
      </w:r>
      <w:r>
        <w:rPr>
          <w:rFonts w:ascii="宋体" w:cs="宋体" w:eastAsia="宋体" w:hAnsi="宋体" w:hint="eastAsia"/>
          <w:b/>
          <w:bCs/>
          <w:color w:val="auto"/>
          <w:sz w:val="24"/>
          <w:szCs w:val="24"/>
          <w:highlight w:val="none"/>
          <w:lang w:eastAsia="zh-CN"/>
        </w:rPr>
        <w:t>响应文件的编制</w:t>
      </w:r>
      <w:bookmarkEnd w:id="24"/>
      <w:bookmarkEnd w:id="25"/>
    </w:p>
    <w:p w14:paraId="0FA31B8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3.1.响应范围</w:t>
      </w:r>
    </w:p>
    <w:p w14:paraId="5043E45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3.1.1项目有分包的，供应商可对磋商文件其中某一个分包或几个分包进行响应。</w:t>
      </w:r>
    </w:p>
    <w:p w14:paraId="13D3F73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3.1.2供应商应当对所响应分包磋商文件中“</w:t>
      </w:r>
      <w:r>
        <w:rPr>
          <w:rFonts w:ascii="宋体" w:cs="宋体" w:eastAsia="宋体" w:hAnsi="宋体" w:hint="eastAsia"/>
          <w:color w:val="auto"/>
          <w:sz w:val="21"/>
          <w:szCs w:val="21"/>
          <w:highlight w:val="none"/>
          <w:lang w:val="en-US" w:eastAsia="zh-CN"/>
        </w:rPr>
        <w:t>项目需求及技术要求</w:t>
      </w:r>
      <w:r>
        <w:rPr>
          <w:rFonts w:ascii="宋体" w:cs="宋体" w:eastAsia="宋体" w:hAnsi="宋体" w:hint="eastAsia"/>
          <w:color w:val="auto"/>
          <w:sz w:val="21"/>
          <w:szCs w:val="21"/>
          <w:highlight w:val="none"/>
          <w:lang w:eastAsia="zh-CN"/>
        </w:rPr>
        <w:t>”所列的所有货物内容进行响应，如仅响应分包中某一部分内容，其该包响应文件将被认定为无效响应。</w:t>
      </w:r>
    </w:p>
    <w:p w14:paraId="3D55B9A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3.1.3无论磋商文件第五章采购清单及技术参数中是否要求，供应商所响应货物均应符合国家强制性标准。</w:t>
      </w:r>
    </w:p>
    <w:p w14:paraId="136A923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3.2.响应文件组成</w:t>
      </w:r>
    </w:p>
    <w:p w14:paraId="700426E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3.2.1响应文件的组成：见第六章 响应文件格式。</w:t>
      </w:r>
    </w:p>
    <w:p w14:paraId="71B5A9A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3.2.2供应商应按磋商文件提供的格式编写响应文件。磋商文件提供标准格式的按标准格式填列，未提供标准格式的可自行拟定。</w:t>
      </w:r>
    </w:p>
    <w:p w14:paraId="7CB7D52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3.2.3样品或演示要求见供应商须知前附表。</w:t>
      </w:r>
    </w:p>
    <w:p w14:paraId="5F1E056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3.3.</w:t>
      </w:r>
      <w:r>
        <w:rPr>
          <w:rFonts w:ascii="宋体" w:cs="宋体" w:eastAsia="宋体" w:hAnsi="宋体" w:hint="eastAsia"/>
          <w:b/>
          <w:bCs/>
          <w:color w:val="auto"/>
          <w:sz w:val="21"/>
          <w:szCs w:val="21"/>
          <w:highlight w:val="none"/>
          <w:lang w:val="en-US" w:eastAsia="zh-CN"/>
        </w:rPr>
        <w:t>投标</w:t>
      </w:r>
      <w:r>
        <w:rPr>
          <w:rFonts w:ascii="宋体" w:cs="宋体" w:eastAsia="宋体" w:hAnsi="宋体" w:hint="eastAsia"/>
          <w:b/>
          <w:bCs/>
          <w:color w:val="auto"/>
          <w:sz w:val="21"/>
          <w:szCs w:val="21"/>
          <w:highlight w:val="none"/>
          <w:lang w:eastAsia="zh-CN"/>
        </w:rPr>
        <w:t>报价</w:t>
      </w:r>
    </w:p>
    <w:p w14:paraId="2BADDC4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val="en-US" w:eastAsia="zh-CN"/>
        </w:rPr>
        <w:t xml:space="preserve">3.3.1投标报价应包括国家规定的税金。供应商应按第六章“响应文件格式”的要求在磋商响应函及报价一览表中进行报价并填写分项报价表。 </w:t>
      </w:r>
    </w:p>
    <w:p w14:paraId="3C0C70F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val="en-US" w:eastAsia="zh-CN"/>
        </w:rPr>
        <w:t>3.</w:t>
      </w:r>
      <w:r>
        <w:rPr>
          <w:rFonts w:cs="宋体" w:hint="eastAsia"/>
          <w:color w:val="auto"/>
          <w:sz w:val="21"/>
          <w:szCs w:val="21"/>
          <w:highlight w:val="none"/>
          <w:lang w:val="en-US" w:eastAsia="zh-CN"/>
        </w:rPr>
        <w:t>3</w:t>
      </w:r>
      <w:r>
        <w:rPr>
          <w:rFonts w:ascii="宋体" w:cs="宋体" w:eastAsia="宋体" w:hAnsi="宋体" w:hint="eastAsia"/>
          <w:color w:val="auto"/>
          <w:sz w:val="21"/>
          <w:szCs w:val="21"/>
          <w:highlight w:val="none"/>
          <w:lang w:val="en-US" w:eastAsia="zh-CN"/>
        </w:rPr>
        <w:t>.2 供应商应充分了解该项目的总体情况以及影响投标报价的其他要素</w:t>
      </w:r>
      <w:r>
        <w:rPr>
          <w:rFonts w:ascii="宋体" w:cs="宋体" w:eastAsia="宋体" w:hAnsi="宋体" w:hint="eastAsia"/>
          <w:color w:val="auto"/>
          <w:sz w:val="21"/>
          <w:szCs w:val="21"/>
          <w:highlight w:val="none"/>
          <w:lang w:eastAsia="zh-CN"/>
        </w:rPr>
        <w:t>。</w:t>
      </w:r>
    </w:p>
    <w:p w14:paraId="7DA3A2E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val="en-US" w:eastAsia="zh-CN"/>
        </w:rPr>
        <w:t>3.</w:t>
      </w:r>
      <w:r>
        <w:rPr>
          <w:rFonts w:cs="宋体" w:hint="eastAsia"/>
          <w:color w:val="auto"/>
          <w:sz w:val="21"/>
          <w:szCs w:val="21"/>
          <w:highlight w:val="none"/>
          <w:lang w:val="en-US" w:eastAsia="zh-CN"/>
        </w:rPr>
        <w:t>3</w:t>
      </w:r>
      <w:r>
        <w:rPr>
          <w:rFonts w:ascii="宋体" w:cs="宋体" w:eastAsia="宋体" w:hAnsi="宋体" w:hint="eastAsia"/>
          <w:color w:val="auto"/>
          <w:sz w:val="21"/>
          <w:szCs w:val="21"/>
          <w:highlight w:val="none"/>
          <w:lang w:val="en-US" w:eastAsia="zh-CN"/>
        </w:rPr>
        <w:t xml:space="preserve">.3 投标报价不得超过磋商文件中规定的预算金额或者最高限价，否则视为无效响应。预算金额或者最高限价在供应商须知前附表中载明。 </w:t>
      </w:r>
    </w:p>
    <w:p w14:paraId="39D415B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val="en-US" w:eastAsia="zh-CN"/>
        </w:rPr>
        <w:t>3.</w:t>
      </w:r>
      <w:r>
        <w:rPr>
          <w:rFonts w:cs="宋体" w:hint="eastAsia"/>
          <w:color w:val="auto"/>
          <w:sz w:val="21"/>
          <w:szCs w:val="21"/>
          <w:highlight w:val="none"/>
          <w:lang w:val="en-US" w:eastAsia="zh-CN"/>
        </w:rPr>
        <w:t>3</w:t>
      </w:r>
      <w:r>
        <w:rPr>
          <w:rFonts w:ascii="宋体" w:cs="宋体" w:eastAsia="宋体" w:hAnsi="宋体" w:hint="eastAsia"/>
          <w:color w:val="auto"/>
          <w:sz w:val="21"/>
          <w:szCs w:val="21"/>
          <w:highlight w:val="none"/>
          <w:lang w:val="en-US" w:eastAsia="zh-CN"/>
        </w:rPr>
        <w:t>.4 投标报价的其他要求见供应商须知前附表。</w:t>
      </w:r>
    </w:p>
    <w:p w14:paraId="45171DF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3.4.磋商有效期</w:t>
      </w:r>
    </w:p>
    <w:p w14:paraId="69E706B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3.4.1响应在供应商须知前附表3.4.1条中规定的磋商有效期内保持有效。磋商有效期不满足要求的响应，其响应文件将被认定为无效响应。</w:t>
      </w:r>
    </w:p>
    <w:p w14:paraId="1B48C83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3.4.2在特殊情况下，采购人或采购代理机构可根据实际情况，在原磋商有效期截止之前，要求供应商延长响应的有效期。接受该要求的供应商将不会被要求和允许修正其响应文件，供应商可以拒绝延长磋商有效期的要求，其磋商失效。上述要求和答复都应以书面形式提交。</w:t>
      </w:r>
    </w:p>
    <w:p w14:paraId="15F91A2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3.5.磋商保证金</w:t>
      </w:r>
    </w:p>
    <w:p w14:paraId="137B5E3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3.5.1按照河南省财政厅豫财购〔2019〕4号规定，本项目不再向供应商收取保证金。</w:t>
      </w:r>
    </w:p>
    <w:p w14:paraId="7BF7C5C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3.6.备选磋商方案</w:t>
      </w:r>
    </w:p>
    <w:p w14:paraId="4D1F293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除供应商须知前附表另有规定外，供应商不得递交备选磋商方案。</w:t>
      </w:r>
    </w:p>
    <w:p w14:paraId="676ACB2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3.7.响应文件的编制</w:t>
      </w:r>
    </w:p>
    <w:p w14:paraId="5CF95C7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w:t>
      </w:r>
      <w:r>
        <w:rPr>
          <w:rFonts w:ascii="宋体" w:cs="宋体" w:eastAsia="宋体" w:hAnsi="宋体" w:hint="eastAsia"/>
          <w:color w:val="auto"/>
          <w:sz w:val="21"/>
          <w:szCs w:val="21"/>
          <w:highlight w:val="none"/>
          <w:lang w:val="en-US" w:eastAsia="zh-CN"/>
        </w:rPr>
        <w:t>7</w:t>
      </w:r>
      <w:r>
        <w:rPr>
          <w:rFonts w:ascii="宋体" w:cs="宋体" w:eastAsia="宋体" w:hAnsi="宋体" w:hint="eastAsia"/>
          <w:color w:val="auto"/>
          <w:sz w:val="21"/>
          <w:szCs w:val="21"/>
          <w:highlight w:val="none"/>
          <w:lang w:eastAsia="zh-CN"/>
        </w:rPr>
        <w:t>.3响应文件应按“响应文件格式”进行编写，如有必要，可以增加附页，作为响应文件的组成部分。其中，响应文件在满足竞争性磋商文件实质性要求的基础上，可以在响应文件内容汇总中提出比竞争性磋商文件要求更有利于采购人的承诺。</w:t>
      </w:r>
    </w:p>
    <w:p w14:paraId="1370A81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w:t>
      </w:r>
      <w:r>
        <w:rPr>
          <w:rFonts w:ascii="宋体" w:cs="宋体" w:eastAsia="宋体" w:hAnsi="宋体" w:hint="eastAsia"/>
          <w:color w:val="auto"/>
          <w:sz w:val="21"/>
          <w:szCs w:val="21"/>
          <w:highlight w:val="none"/>
          <w:lang w:val="en-US" w:eastAsia="zh-CN"/>
        </w:rPr>
        <w:t>7</w:t>
      </w:r>
      <w:r>
        <w:rPr>
          <w:rFonts w:ascii="宋体" w:cs="宋体" w:eastAsia="宋体" w:hAnsi="宋体" w:hint="eastAsia"/>
          <w:color w:val="auto"/>
          <w:sz w:val="21"/>
          <w:szCs w:val="21"/>
          <w:highlight w:val="none"/>
          <w:lang w:eastAsia="zh-CN"/>
        </w:rPr>
        <w:t>.4响应文件应当对磋商文件有关交货期、磋商有效期、质量要求、质量保证期、技术标准和要求、采购内容等实质性内容作出响应。</w:t>
      </w:r>
    </w:p>
    <w:p w14:paraId="0907A0F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w:t>
      </w:r>
      <w:r>
        <w:rPr>
          <w:rFonts w:ascii="宋体" w:cs="宋体" w:eastAsia="宋体" w:hAnsi="宋体" w:hint="eastAsia"/>
          <w:color w:val="auto"/>
          <w:sz w:val="21"/>
          <w:szCs w:val="21"/>
          <w:highlight w:val="none"/>
          <w:lang w:val="en-US" w:eastAsia="zh-CN"/>
        </w:rPr>
        <w:t>7</w:t>
      </w:r>
      <w:r>
        <w:rPr>
          <w:rFonts w:ascii="宋体" w:cs="宋体" w:eastAsia="宋体" w:hAnsi="宋体" w:hint="eastAsia"/>
          <w:color w:val="auto"/>
          <w:sz w:val="21"/>
          <w:szCs w:val="21"/>
          <w:highlight w:val="none"/>
          <w:lang w:eastAsia="zh-CN"/>
        </w:rPr>
        <w:t>.5响应文件由供应商的法定代表人或其委托代理人签字或盖单位章。委托代理人签字的，响应文件应附法定代表人签署的授权委托书。签字或盖章的具体要求见供应商须知前附表。</w:t>
      </w:r>
    </w:p>
    <w:p w14:paraId="45B48D4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3.8.证明响应标的的合格性和符合磋商文件规定的技术文件</w:t>
      </w:r>
    </w:p>
    <w:p w14:paraId="751CCD7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w:t>
      </w:r>
      <w:r>
        <w:rPr>
          <w:rFonts w:ascii="宋体" w:cs="宋体" w:eastAsia="宋体" w:hAnsi="宋体" w:hint="eastAsia"/>
          <w:color w:val="auto"/>
          <w:sz w:val="21"/>
          <w:szCs w:val="21"/>
          <w:highlight w:val="none"/>
          <w:lang w:val="en-US" w:eastAsia="zh-CN"/>
        </w:rPr>
        <w:t>8</w:t>
      </w:r>
      <w:r>
        <w:rPr>
          <w:rFonts w:ascii="宋体" w:cs="宋体" w:eastAsia="宋体" w:hAnsi="宋体" w:hint="eastAsia"/>
          <w:color w:val="auto"/>
          <w:sz w:val="21"/>
          <w:szCs w:val="21"/>
          <w:highlight w:val="none"/>
          <w:lang w:eastAsia="zh-CN"/>
        </w:rPr>
        <w:t>.6供应商应提交证明文件，证明其响应内容符合磋商文件规定。该证明文件是响应文件的一部分。</w:t>
      </w:r>
    </w:p>
    <w:p w14:paraId="1C6B350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w:t>
      </w:r>
      <w:r>
        <w:rPr>
          <w:rFonts w:ascii="宋体" w:cs="宋体" w:eastAsia="宋体" w:hAnsi="宋体" w:hint="eastAsia"/>
          <w:color w:val="auto"/>
          <w:sz w:val="21"/>
          <w:szCs w:val="21"/>
          <w:highlight w:val="none"/>
          <w:lang w:val="en-US" w:eastAsia="zh-CN"/>
        </w:rPr>
        <w:t>8</w:t>
      </w:r>
      <w:r>
        <w:rPr>
          <w:rFonts w:ascii="宋体" w:cs="宋体" w:eastAsia="宋体" w:hAnsi="宋体" w:hint="eastAsia"/>
          <w:color w:val="auto"/>
          <w:sz w:val="21"/>
          <w:szCs w:val="21"/>
          <w:highlight w:val="none"/>
          <w:lang w:eastAsia="zh-CN"/>
        </w:rPr>
        <w:t>.7上款所述的证明文件，可以是文字资料、图纸和数据，它包括：</w:t>
      </w:r>
    </w:p>
    <w:p w14:paraId="4897668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（1）货物主要技术指标和性能的详细说明；</w:t>
      </w:r>
    </w:p>
    <w:p w14:paraId="0362C47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（2）货物从采购人开始使用至磋商文件规定的保质期内正常、连续地使用所必须的备件和专用工具清单，包括备件和专用工具的货源及现行价格；</w:t>
      </w:r>
    </w:p>
    <w:p w14:paraId="0C48262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（3）对照磋商文件技术规格，逐条说明所提供货物及伴随的工程和服务已对磋商文件的技术规格做出了实质性的响应，或申明与技术规格条文的偏差和例外。</w:t>
      </w:r>
    </w:p>
    <w:bookmarkStart w:id="26" w:name="_Toc24441"/>
    <w:bookmarkStart w:id="27" w:name="_Toc8989"/>
    <w:p w14:paraId="4307981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color w:val="auto"/>
          <w:sz w:val="24"/>
          <w:szCs w:val="24"/>
          <w:highlight w:val="none"/>
          <w:lang w:eastAsia="zh-CN"/>
        </w:rPr>
      </w:pPr>
      <w:r>
        <w:rPr>
          <w:rFonts w:ascii="宋体" w:cs="宋体" w:eastAsia="宋体" w:hAnsi="宋体" w:hint="eastAsia"/>
          <w:b/>
          <w:bCs/>
          <w:color w:val="auto"/>
          <w:sz w:val="24"/>
          <w:szCs w:val="24"/>
          <w:highlight w:val="none"/>
          <w:lang w:eastAsia="zh-CN"/>
        </w:rPr>
        <w:t>4</w:t>
      </w:r>
      <w:r>
        <w:rPr>
          <w:rFonts w:ascii="宋体" w:cs="宋体" w:eastAsia="宋体" w:hAnsi="宋体" w:hint="eastAsia"/>
          <w:b/>
          <w:bCs/>
          <w:color w:val="auto"/>
          <w:sz w:val="24"/>
          <w:szCs w:val="24"/>
          <w:highlight w:val="none"/>
          <w:lang w:val="en-US" w:eastAsia="zh-CN"/>
        </w:rPr>
        <w:t>.</w:t>
      </w:r>
      <w:r>
        <w:rPr>
          <w:rFonts w:ascii="宋体" w:cs="宋体" w:eastAsia="宋体" w:hAnsi="宋体" w:hint="eastAsia"/>
          <w:b/>
          <w:bCs/>
          <w:color w:val="auto"/>
          <w:sz w:val="24"/>
          <w:szCs w:val="24"/>
          <w:highlight w:val="none"/>
          <w:lang w:eastAsia="zh-CN"/>
        </w:rPr>
        <w:t>响应文件的递交</w:t>
      </w:r>
      <w:bookmarkEnd w:id="26"/>
      <w:bookmarkEnd w:id="27"/>
    </w:p>
    <w:p w14:paraId="0AC0C37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4.1响应文件的递交</w:t>
      </w:r>
    </w:p>
    <w:p w14:paraId="4C31D22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4.1.1响应文件上传/递交截止时间及地点：见供应商须知前附表。</w:t>
      </w:r>
    </w:p>
    <w:p w14:paraId="42FE303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4.1.2响应文件的递交：供应商应在不迟于“供应商须知前附表”中规定的截止时间前将响应文件加密上传至河南省公共资源交易中心（</w:t>
      </w:r>
      <w:r>
        <w:rPr>
          <w:rFonts w:cs="宋体" w:hint="eastAsia"/>
          <w:color w:val="auto"/>
          <w:sz w:val="21"/>
          <w:szCs w:val="21"/>
          <w:highlight w:val="none"/>
          <w:lang w:eastAsia="zh-CN"/>
        </w:rPr>
        <w:t>http://hnsggzyjy.henan.gov.cn/</w:t>
      </w:r>
      <w:r>
        <w:rPr>
          <w:rFonts w:ascii="宋体" w:cs="宋体" w:eastAsia="宋体" w:hAnsi="宋体" w:hint="eastAsia"/>
          <w:color w:val="auto"/>
          <w:sz w:val="21"/>
          <w:szCs w:val="21"/>
          <w:highlight w:val="none"/>
          <w:lang w:eastAsia="zh-CN"/>
        </w:rPr>
        <w:t>）平台，并在系统规定的时间内使用CA数字证书进行远程解密。迟交的电子响应文件将不被接收。</w:t>
      </w:r>
    </w:p>
    <w:p w14:paraId="7A8AED1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4.2响应文件的修改与撤回</w:t>
      </w:r>
    </w:p>
    <w:p w14:paraId="4DB528E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w:t>
      </w:r>
      <w:r>
        <w:rPr>
          <w:rFonts w:cs="宋体" w:hint="eastAsia"/>
          <w:color w:val="auto"/>
          <w:sz w:val="21"/>
          <w:szCs w:val="21"/>
          <w:highlight w:val="none"/>
          <w:lang w:val="en-US" w:eastAsia="zh-CN"/>
        </w:rPr>
        <w:t>2</w:t>
      </w:r>
      <w:r>
        <w:rPr>
          <w:rFonts w:ascii="宋体" w:cs="宋体" w:eastAsia="宋体" w:hAnsi="宋体" w:hint="eastAsia"/>
          <w:color w:val="auto"/>
          <w:sz w:val="21"/>
          <w:szCs w:val="21"/>
          <w:highlight w:val="none"/>
          <w:lang w:eastAsia="zh-CN"/>
        </w:rPr>
        <w:t>.3供应商在递交响应文件后，可以在规定的磋商时间开始前修改或撤回其响应文件。</w:t>
      </w:r>
    </w:p>
    <w:p w14:paraId="152660D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w:t>
      </w:r>
      <w:r>
        <w:rPr>
          <w:rFonts w:cs="宋体" w:hint="eastAsia"/>
          <w:color w:val="auto"/>
          <w:sz w:val="21"/>
          <w:szCs w:val="21"/>
          <w:highlight w:val="none"/>
          <w:lang w:val="en-US" w:eastAsia="zh-CN"/>
        </w:rPr>
        <w:t>2</w:t>
      </w:r>
      <w:r>
        <w:rPr>
          <w:rFonts w:ascii="宋体" w:cs="宋体" w:eastAsia="宋体" w:hAnsi="宋体" w:hint="eastAsia"/>
          <w:color w:val="auto"/>
          <w:sz w:val="21"/>
          <w:szCs w:val="21"/>
          <w:highlight w:val="none"/>
          <w:lang w:eastAsia="zh-CN"/>
        </w:rPr>
        <w:t>.4供应商在响应性文件接收截止时间后不得修改、撤回响应性文件。供应商在响应性文件接收截止时间后修改响应性文件的，将被拒绝。</w:t>
      </w:r>
    </w:p>
    <w:bookmarkStart w:id="28" w:name="_Toc7674"/>
    <w:bookmarkStart w:id="29" w:name="_Toc25890"/>
    <w:p w14:paraId="481C9E6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5. 磋商会议</w:t>
      </w:r>
      <w:bookmarkEnd w:id="28"/>
      <w:bookmarkEnd w:id="29"/>
    </w:p>
    <w:p w14:paraId="577C013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5.1磋商会议时间及地点</w:t>
      </w:r>
    </w:p>
    <w:p w14:paraId="1D4C4AD5">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采购人和采购代理机构将按供应商须知前附表5.1条中规定的时间和地点组织磋商会议并邀请所有供应商代表在线参加。</w:t>
      </w:r>
    </w:p>
    <w:p w14:paraId="5AE9F19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供应商不足3家的，不得继续磋商。</w:t>
      </w:r>
    </w:p>
    <w:p w14:paraId="7B1AD25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5.2磋商会议程序</w:t>
      </w:r>
    </w:p>
    <w:p w14:paraId="5DC5678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（1）提交首次响应文件截止，宣布磋商会议开始；</w:t>
      </w:r>
    </w:p>
    <w:p w14:paraId="46E2993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（2）响应人对响应文件进行解密(响应人应在规定的时间内携带CA锁进行解密，未在规定的时间内进行解密的，磋商无效)；</w:t>
      </w:r>
    </w:p>
    <w:p w14:paraId="1E52D42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（3）代理机构进行解密，会议结束。</w:t>
      </w:r>
    </w:p>
    <w:p w14:paraId="2338115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5.3会议异议</w:t>
      </w:r>
    </w:p>
    <w:p w14:paraId="1A4D6EA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供应商代表对磋商会议过程有异议，以及认为采购人、采购代理机构相关工作人员有需要回避的情形的，应当场提出询问或者回避申请。</w:t>
      </w:r>
    </w:p>
    <w:p w14:paraId="1F278EA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温馨提示：请各供应商认真学习河南省公共资源交易中心网站“办事指南”专区的《新交易平台使用手册（培训资料）》</w:t>
      </w:r>
    </w:p>
    <w:p w14:paraId="60E358F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注：在磋商、评审过程中，若出现异常情况导致无法正常采用电子磋商时，如出现网络中断、服务器发生故障或停电等其它不可抗力情形，导致电子交易系统无法正常运行的，应由采购人、采购代理机构视情况提出解决方案，及时通报监管部门和交易中心研究处理。</w:t>
      </w:r>
    </w:p>
    <w:bookmarkStart w:id="30" w:name="_Toc5651"/>
    <w:bookmarkStart w:id="31" w:name="_Toc15979"/>
    <w:p w14:paraId="55EF293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6.评审会议</w:t>
      </w:r>
      <w:bookmarkEnd w:id="30"/>
      <w:bookmarkEnd w:id="31"/>
    </w:p>
    <w:p w14:paraId="326747D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b/>
          <w:bCs/>
          <w:color w:val="auto"/>
          <w:sz w:val="21"/>
          <w:szCs w:val="21"/>
          <w:highlight w:val="none"/>
          <w:lang w:eastAsia="zh-CN"/>
        </w:rPr>
        <w:t>6.1.组建磋商小组</w:t>
      </w:r>
    </w:p>
    <w:p w14:paraId="2D6D93F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6.1.1按照《政府采购竞争性磋商采购方式暂行办法》有关规定依法组建磋商小组，负责本项目评审工作。磋商小组由采购人代表和评审专家共3人以上单数组成。达到公开招标数额的项目，磋商小组应该由5人以上单数组成。本项目磋商小组组成见供应商须知前附表6.1.1条。</w:t>
      </w:r>
    </w:p>
    <w:p w14:paraId="0CA774D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6.1.2磋商小组成员有下列情形之一的，应当回避：</w:t>
      </w:r>
    </w:p>
    <w:p w14:paraId="4DE469F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（1）供应商或供应商主要负责人的近亲属；</w:t>
      </w:r>
    </w:p>
    <w:p w14:paraId="0FF9902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（2）项目主管部门或者行政监督部门的人员；</w:t>
      </w:r>
    </w:p>
    <w:p w14:paraId="04BBF2A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（3）与供应商有经济利益关系，可能影响对磋商公正评审的；</w:t>
      </w:r>
    </w:p>
    <w:p w14:paraId="3C43227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（4）曾因在磋商、评审以及有关活动中从事违法行为而受过行政处罚或刑事处罚的；</w:t>
      </w:r>
    </w:p>
    <w:p w14:paraId="04510AC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（5）与供应商有其他利害关系。</w:t>
      </w:r>
    </w:p>
    <w:p w14:paraId="2E713A95">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6.1.3评审过程中，磋商小组成员有回避事由、擅离职守或者因健康等原因不能继续评审的，采购人有权更换。被更换的磋商小组成员作出的评审结论无效，由更换后的磋商小组成员重新进行评审。</w:t>
      </w:r>
    </w:p>
    <w:p w14:paraId="59837F2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6.2评审原则</w:t>
      </w:r>
    </w:p>
    <w:p w14:paraId="1717F8E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评审活动遵循客观、公正、审慎的原则。</w:t>
      </w:r>
    </w:p>
    <w:p w14:paraId="5C2C7D2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6.3评审</w:t>
      </w:r>
    </w:p>
    <w:p w14:paraId="1C884FD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6.3.1磋商小组按照第三章“评审办法”规定的方法、评审因素、标准和程序对响应文件进行评审。第三章“评审办法”没有规定的方法、评审因素和标准，不作为评审依据。</w:t>
      </w:r>
    </w:p>
    <w:p w14:paraId="23128F2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6.3.2评审完成后，磋商小组应当向采购人提交书面评审报告和成交候选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名单。磋商小组推荐成交候选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的</w:t>
      </w:r>
      <w:r>
        <w:rPr>
          <w:rFonts w:ascii="宋体" w:cs="宋体" w:eastAsia="宋体" w:hAnsi="宋体" w:hint="eastAsia"/>
          <w:color w:val="auto"/>
          <w:sz w:val="21"/>
          <w:szCs w:val="21"/>
          <w:highlight w:val="none"/>
          <w:lang w:val="en-US" w:eastAsia="zh-CN"/>
        </w:rPr>
        <w:t>数量</w:t>
      </w:r>
      <w:r>
        <w:rPr>
          <w:rFonts w:ascii="宋体" w:cs="宋体" w:eastAsia="宋体" w:hAnsi="宋体" w:hint="eastAsia"/>
          <w:color w:val="auto"/>
          <w:sz w:val="21"/>
          <w:szCs w:val="21"/>
          <w:highlight w:val="none"/>
          <w:lang w:eastAsia="zh-CN"/>
        </w:rPr>
        <w:t>见供应商须知前附表。</w:t>
      </w:r>
    </w:p>
    <w:bookmarkStart w:id="32" w:name="_Toc14381"/>
    <w:bookmarkStart w:id="33" w:name="_Toc550"/>
    <w:p w14:paraId="2BEE1D6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7.确定成交</w:t>
      </w:r>
      <w:bookmarkEnd w:id="32"/>
      <w:bookmarkEnd w:id="33"/>
    </w:p>
    <w:p w14:paraId="130413B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确定成交供应商</w:t>
      </w:r>
    </w:p>
    <w:p w14:paraId="4024F38F">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除供应商须知前附表规定磋商小组直接确定成交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外，采购人在收到评审报告5个工作日内，采购人依据磋商小组推荐的成交候选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确定成交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，磋商小组推荐成交候选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的</w:t>
      </w:r>
      <w:r>
        <w:rPr>
          <w:rFonts w:ascii="宋体" w:cs="宋体" w:eastAsia="宋体" w:hAnsi="宋体" w:hint="eastAsia"/>
          <w:color w:val="auto"/>
          <w:sz w:val="21"/>
          <w:szCs w:val="21"/>
          <w:highlight w:val="none"/>
          <w:lang w:val="en-US" w:eastAsia="zh-CN"/>
        </w:rPr>
        <w:t>数量</w:t>
      </w:r>
      <w:r>
        <w:rPr>
          <w:rFonts w:ascii="宋体" w:cs="宋体" w:eastAsia="宋体" w:hAnsi="宋体" w:hint="eastAsia"/>
          <w:color w:val="auto"/>
          <w:sz w:val="21"/>
          <w:szCs w:val="21"/>
          <w:highlight w:val="none"/>
          <w:lang w:eastAsia="zh-CN"/>
        </w:rPr>
        <w:t>见供应商须知前附表。采购人将依序确定排名靠前的供应商为成交候选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，若排名在前的成交候选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放弃成交、因不可抗力不能履行合同，或者被查实存在影响成交结果的违法行为等情形，不符合成交条件的，采购人可以按照磋商小组提出的成交候选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名单排序依次确定其他成交候选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为成交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，也可以重新磋商。</w:t>
      </w:r>
    </w:p>
    <w:p w14:paraId="06E49D1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7.1采购任务取消</w:t>
      </w:r>
    </w:p>
    <w:p w14:paraId="03A0C99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因重大变故采购任务取消时，采购人有权拒绝任何供应商成交，且对受影响的供应商不承担任何责任。</w:t>
      </w:r>
    </w:p>
    <w:p w14:paraId="5FBAA15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7.2成交通知</w:t>
      </w:r>
    </w:p>
    <w:p w14:paraId="46C7A68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7.2.1采购人或者采购代理机构应当在成交供应商确定之日起2个工作日内，发布公告同一媒体上公告成交结果，同时向成交供应商发出成交通知书。</w:t>
      </w:r>
    </w:p>
    <w:p w14:paraId="3C393CC6">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7.2.2成交通知书是合同的组成部分。</w:t>
      </w:r>
    </w:p>
    <w:p w14:paraId="133DF16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7.</w:t>
      </w:r>
      <w:r>
        <w:rPr>
          <w:rFonts w:ascii="宋体" w:cs="宋体" w:eastAsia="宋体" w:hAnsi="宋体" w:hint="eastAsia"/>
          <w:b/>
          <w:bCs/>
          <w:color w:val="auto"/>
          <w:sz w:val="21"/>
          <w:szCs w:val="21"/>
          <w:highlight w:val="none"/>
          <w:lang w:val="en-US" w:eastAsia="zh-CN"/>
        </w:rPr>
        <w:t>3</w:t>
      </w:r>
      <w:r>
        <w:rPr>
          <w:rFonts w:ascii="宋体" w:cs="宋体" w:eastAsia="宋体" w:hAnsi="宋体" w:hint="eastAsia"/>
          <w:b/>
          <w:bCs/>
          <w:color w:val="auto"/>
          <w:sz w:val="21"/>
          <w:szCs w:val="21"/>
          <w:highlight w:val="none"/>
          <w:lang w:eastAsia="zh-CN"/>
        </w:rPr>
        <w:t>履约担保</w:t>
      </w:r>
    </w:p>
    <w:p w14:paraId="7C0CE65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7.</w:t>
      </w:r>
      <w:r>
        <w:rPr>
          <w:rFonts w:ascii="宋体" w:cs="宋体" w:eastAsia="宋体" w:hAnsi="宋体" w:hint="eastAsia"/>
          <w:color w:val="auto"/>
          <w:sz w:val="21"/>
          <w:szCs w:val="21"/>
          <w:highlight w:val="none"/>
          <w:lang w:val="en-US" w:eastAsia="zh-CN"/>
        </w:rPr>
        <w:t>3</w:t>
      </w:r>
      <w:r>
        <w:rPr>
          <w:rFonts w:ascii="宋体" w:cs="宋体" w:eastAsia="宋体" w:hAnsi="宋体" w:hint="eastAsia"/>
          <w:color w:val="auto"/>
          <w:sz w:val="21"/>
          <w:szCs w:val="21"/>
          <w:highlight w:val="none"/>
          <w:lang w:eastAsia="zh-CN"/>
        </w:rPr>
        <w:t>.1在签订合同前，成交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应按供应商须知前附表的规定向采购人提交履约担保。</w:t>
      </w:r>
    </w:p>
    <w:p w14:paraId="09D9491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color w:val="auto"/>
          <w:sz w:val="21"/>
          <w:szCs w:val="21"/>
          <w:highlight w:val="none"/>
          <w:lang w:eastAsia="zh-CN"/>
        </w:rPr>
        <w:t>7.</w:t>
      </w:r>
      <w:r>
        <w:rPr>
          <w:rFonts w:ascii="宋体" w:cs="宋体" w:eastAsia="宋体" w:hAnsi="宋体" w:hint="eastAsia"/>
          <w:color w:val="auto"/>
          <w:sz w:val="21"/>
          <w:szCs w:val="21"/>
          <w:highlight w:val="none"/>
          <w:lang w:val="en-US" w:eastAsia="zh-CN"/>
        </w:rPr>
        <w:t>3</w:t>
      </w:r>
      <w:r>
        <w:rPr>
          <w:rFonts w:ascii="宋体" w:cs="宋体" w:eastAsia="宋体" w:hAnsi="宋体" w:hint="eastAsia"/>
          <w:color w:val="auto"/>
          <w:sz w:val="21"/>
          <w:szCs w:val="21"/>
          <w:highlight w:val="none"/>
          <w:lang w:eastAsia="zh-CN"/>
        </w:rPr>
        <w:t>.2成交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不能按要求提交履约担保的，视为放弃成交，给采购人造成的损失的，成交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还应当予以赔偿。</w:t>
      </w:r>
    </w:p>
    <w:p w14:paraId="4660116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7.</w:t>
      </w:r>
      <w:r>
        <w:rPr>
          <w:rFonts w:ascii="宋体" w:cs="宋体" w:eastAsia="宋体" w:hAnsi="宋体" w:hint="eastAsia"/>
          <w:b/>
          <w:bCs/>
          <w:color w:val="auto"/>
          <w:sz w:val="21"/>
          <w:szCs w:val="21"/>
          <w:highlight w:val="none"/>
          <w:lang w:val="en-US" w:eastAsia="zh-CN"/>
        </w:rPr>
        <w:t>4</w:t>
      </w:r>
      <w:r>
        <w:rPr>
          <w:rFonts w:ascii="宋体" w:cs="宋体" w:eastAsia="宋体" w:hAnsi="宋体" w:hint="eastAsia"/>
          <w:b/>
          <w:bCs/>
          <w:color w:val="auto"/>
          <w:sz w:val="21"/>
          <w:szCs w:val="21"/>
          <w:highlight w:val="none"/>
          <w:lang w:eastAsia="zh-CN"/>
        </w:rPr>
        <w:t>签订合同</w:t>
      </w:r>
    </w:p>
    <w:p w14:paraId="301B112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7.</w:t>
      </w:r>
      <w:r>
        <w:rPr>
          <w:rFonts w:ascii="宋体" w:cs="宋体" w:eastAsia="宋体" w:hAnsi="宋体" w:hint="eastAsia"/>
          <w:color w:val="auto"/>
          <w:sz w:val="21"/>
          <w:szCs w:val="21"/>
          <w:highlight w:val="none"/>
          <w:lang w:val="en-US" w:eastAsia="zh-CN"/>
        </w:rPr>
        <w:t>4</w:t>
      </w:r>
      <w:r>
        <w:rPr>
          <w:rFonts w:ascii="宋体" w:cs="宋体" w:eastAsia="宋体" w:hAnsi="宋体" w:hint="eastAsia"/>
          <w:color w:val="auto"/>
          <w:sz w:val="21"/>
          <w:szCs w:val="21"/>
          <w:highlight w:val="none"/>
          <w:lang w:eastAsia="zh-CN"/>
        </w:rPr>
        <w:t>.1采购人和成交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应当自成交通知书发出之日起15日内，根据竞争性磋商文件和成交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的响应文件订立书面合同。成交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无正当理由拒签合同的，采购人取消其成交资格；给采购人造成的损失的，成交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还应当予以赔偿。</w:t>
      </w:r>
    </w:p>
    <w:p w14:paraId="50D9103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7.</w:t>
      </w:r>
      <w:r>
        <w:rPr>
          <w:rFonts w:ascii="宋体" w:cs="宋体" w:eastAsia="宋体" w:hAnsi="宋体" w:hint="eastAsia"/>
          <w:color w:val="auto"/>
          <w:sz w:val="21"/>
          <w:szCs w:val="21"/>
          <w:highlight w:val="none"/>
          <w:lang w:val="en-US" w:eastAsia="zh-CN"/>
        </w:rPr>
        <w:t>4</w:t>
      </w:r>
      <w:r>
        <w:rPr>
          <w:rFonts w:ascii="宋体" w:cs="宋体" w:eastAsia="宋体" w:hAnsi="宋体" w:hint="eastAsia"/>
          <w:color w:val="auto"/>
          <w:sz w:val="21"/>
          <w:szCs w:val="21"/>
          <w:highlight w:val="none"/>
          <w:lang w:eastAsia="zh-CN"/>
        </w:rPr>
        <w:t>.2发出成交通知书后，采购人无正当理由拒签合同的；给成交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造成损失的，还应当赔偿损失。</w:t>
      </w:r>
    </w:p>
    <w:p w14:paraId="52D3936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7.</w:t>
      </w:r>
      <w:r>
        <w:rPr>
          <w:rFonts w:ascii="宋体" w:cs="宋体" w:eastAsia="宋体" w:hAnsi="宋体" w:hint="eastAsia"/>
          <w:b/>
          <w:bCs/>
          <w:color w:val="auto"/>
          <w:sz w:val="21"/>
          <w:szCs w:val="21"/>
          <w:highlight w:val="none"/>
          <w:lang w:val="en-US" w:eastAsia="zh-CN"/>
        </w:rPr>
        <w:t>5</w:t>
      </w:r>
      <w:r>
        <w:rPr>
          <w:rFonts w:ascii="宋体" w:cs="宋体" w:eastAsia="宋体" w:hAnsi="宋体" w:hint="eastAsia"/>
          <w:b/>
          <w:bCs/>
          <w:color w:val="auto"/>
          <w:sz w:val="21"/>
          <w:szCs w:val="21"/>
          <w:highlight w:val="none"/>
          <w:lang w:eastAsia="zh-CN"/>
        </w:rPr>
        <w:t xml:space="preserve"> 付款方式</w:t>
      </w:r>
    </w:p>
    <w:p w14:paraId="6ABDCAF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7.</w:t>
      </w:r>
      <w:r>
        <w:rPr>
          <w:rFonts w:ascii="宋体" w:cs="宋体" w:eastAsia="宋体" w:hAnsi="宋体" w:hint="eastAsia"/>
          <w:color w:val="auto"/>
          <w:sz w:val="21"/>
          <w:szCs w:val="21"/>
          <w:highlight w:val="none"/>
          <w:lang w:val="en-US" w:eastAsia="zh-CN"/>
        </w:rPr>
        <w:t>5</w:t>
      </w:r>
      <w:r>
        <w:rPr>
          <w:rFonts w:ascii="宋体" w:cs="宋体" w:eastAsia="宋体" w:hAnsi="宋体" w:hint="eastAsia"/>
          <w:color w:val="auto"/>
          <w:sz w:val="21"/>
          <w:szCs w:val="21"/>
          <w:highlight w:val="none"/>
          <w:lang w:eastAsia="zh-CN"/>
        </w:rPr>
        <w:t>.1 付款方式：见供应商须知前附表</w:t>
      </w:r>
    </w:p>
    <w:bookmarkStart w:id="34" w:name="_Toc11457"/>
    <w:bookmarkStart w:id="35" w:name="_Toc21893"/>
    <w:p w14:paraId="6BCD0CC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8.重新采购</w:t>
      </w:r>
      <w:bookmarkEnd w:id="34"/>
      <w:bookmarkEnd w:id="35"/>
    </w:p>
    <w:p w14:paraId="2E6EB5FC">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8.1 重新采购</w:t>
      </w:r>
    </w:p>
    <w:p w14:paraId="05FD488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有下列情形之一的，采购人或者采购代理机构应当终止竞争性磋商采购活动，发布项目终止公告并说明原因，重新开展采购活动：</w:t>
      </w:r>
    </w:p>
    <w:p w14:paraId="027F670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（一）因情况变化，不再符合规定的竞争性磋商采购方式适用情形的；</w:t>
      </w:r>
    </w:p>
    <w:p w14:paraId="2A308FFE">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（二）出现影响采购公正的违法、违规行为的；</w:t>
      </w:r>
    </w:p>
    <w:p w14:paraId="11F7685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（三）除本办法第二十一条第三款规定的情形外，在采购过程中符合要求的供应商或者报价未超过采购预算的供应商不足3家的。</w:t>
      </w:r>
    </w:p>
    <w:bookmarkStart w:id="36" w:name="_Toc5779"/>
    <w:bookmarkStart w:id="37" w:name="_Toc4458"/>
    <w:p w14:paraId="2157F32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9.纪律和监督</w:t>
      </w:r>
      <w:bookmarkEnd w:id="36"/>
      <w:bookmarkEnd w:id="37"/>
    </w:p>
    <w:p w14:paraId="53C2952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9.1对采购人的纪律要求</w:t>
      </w:r>
    </w:p>
    <w:p w14:paraId="4D00B6A3">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采购人不得泄漏磋商活动中应当保密的情况和资料，不得与供应商串通损害国家利益、社会公共利益或者他人合法权益。</w:t>
      </w:r>
    </w:p>
    <w:p w14:paraId="412BF9D2">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9.2对供应商的纪律要求</w:t>
      </w:r>
    </w:p>
    <w:p w14:paraId="71899F94">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b w:val="false"/>
          <w:bCs w:val="false"/>
          <w:color w:val="auto"/>
          <w:sz w:val="21"/>
          <w:szCs w:val="21"/>
          <w:highlight w:val="none"/>
          <w:lang w:eastAsia="zh-CN"/>
        </w:rPr>
      </w:pPr>
      <w:r>
        <w:rPr>
          <w:rFonts w:ascii="宋体" w:cs="宋体" w:eastAsia="宋体" w:hAnsi="宋体" w:hint="eastAsia"/>
          <w:b w:val="false"/>
          <w:bCs w:val="false"/>
          <w:color w:val="auto"/>
          <w:sz w:val="21"/>
          <w:szCs w:val="21"/>
          <w:highlight w:val="none"/>
          <w:lang w:eastAsia="zh-CN"/>
        </w:rPr>
        <w:t>供应商不得相互串通或者与采购人串通，不得向采购人或者磋商成员行贿谋取成交，不得以他人名义参与磋商或者以其他方式弄虚作假骗取成交；供应商不得以任何方式干扰、影响评审工作。</w:t>
      </w:r>
    </w:p>
    <w:p w14:paraId="4497E14B">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9.3对磋商小组成员的纪律要求</w:t>
      </w:r>
    </w:p>
    <w:p w14:paraId="07BF9929">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磋商小组成员不得收受他人的财物或者其他好处，不得向他人透漏对响应文件的评审和比较、成交候选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的推荐情况以及评审有关的其他情况。在评审活动中，磋商小组成员不得擅离职守，影响评审程序正常进行，不得使用“评审办法”没有规定的评审因素和标准进行评审。</w:t>
      </w:r>
    </w:p>
    <w:p w14:paraId="05E12C6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9.4对与评审活动有关的工作人员的纪律要求</w:t>
      </w:r>
    </w:p>
    <w:p w14:paraId="0388B74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与评审活动有关的工作人员不得收受他人的财物或者其他好处，不得向他人透漏对响应文件的评审和比较、成交候选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的推荐情况以及评审有关的其他情况。在评审活动中，与评审活动有关的工作人员不得擅离职守，影响评审程序正常进行。</w:t>
      </w:r>
    </w:p>
    <w:p w14:paraId="5CE8BA11">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2" w:firstLineChars="200"/>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9.5质疑与接收</w:t>
      </w:r>
    </w:p>
    <w:p w14:paraId="480357C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采购代理机构质疑函接收部门、联系电话和通讯地址，见供应商须知</w:t>
      </w:r>
      <w:r>
        <w:rPr>
          <w:rFonts w:ascii="宋体" w:cs="宋体" w:eastAsia="宋体" w:hAnsi="宋体" w:hint="eastAsia"/>
          <w:color w:val="auto"/>
          <w:sz w:val="21"/>
          <w:szCs w:val="21"/>
          <w:highlight w:val="none"/>
          <w:lang w:val="en-US" w:eastAsia="zh-CN"/>
        </w:rPr>
        <w:t>前附</w:t>
      </w:r>
      <w:r>
        <w:rPr>
          <w:rFonts w:ascii="宋体" w:cs="宋体" w:eastAsia="宋体" w:hAnsi="宋体" w:hint="eastAsia"/>
          <w:color w:val="auto"/>
          <w:sz w:val="21"/>
          <w:szCs w:val="21"/>
          <w:highlight w:val="none"/>
          <w:lang w:eastAsia="zh-CN"/>
        </w:rPr>
        <w:t>表。</w:t>
      </w:r>
    </w:p>
    <w:bookmarkStart w:id="38" w:name="_Toc23582"/>
    <w:bookmarkStart w:id="39" w:name="_Toc9331"/>
    <w:p w14:paraId="743A26F0">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82" w:firstLineChars="200"/>
        <w:jc w:val="center"/>
        <w:textAlignment w:val="auto"/>
        <w:outlineLvl w:val="1"/>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lang w:eastAsia="zh-CN"/>
        </w:rPr>
        <w:t>10.需要补充的其他内容</w:t>
      </w:r>
      <w:bookmarkEnd w:id="38"/>
      <w:bookmarkEnd w:id="39"/>
    </w:p>
    <w:p w14:paraId="5472F1FD">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需要补充的其他内容：见供应商须知前附表。</w:t>
      </w:r>
    </w:p>
    <w:p w14:paraId="4A9F3CCA">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p>
    <w:p w14:paraId="68B51958">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pPr>
    </w:p>
    <w:p w14:paraId="51614E6B">
      <w:pPr>
        <w:pStyle w:val="style66"/>
        <w:bidi w:val="false"/>
        <w:jc w:val="center"/>
        <w:rPr>
          <w:rFonts w:ascii="宋体" w:cs="宋体" w:eastAsia="宋体" w:hAnsi="宋体" w:hint="eastAsia"/>
          <w:b/>
          <w:bCs/>
        </w:rPr>
      </w:pPr>
      <w:r>
        <w:rPr>
          <w:rFonts w:cs="宋体" w:hint="eastAsia"/>
          <w:b/>
          <w:bCs/>
          <w:lang w:val="en-US" w:eastAsia="zh-CN"/>
        </w:rPr>
        <w:t>附件：二次报价（或最终报价）</w:t>
      </w:r>
      <w:r>
        <w:rPr>
          <w:rFonts w:ascii="宋体" w:cs="宋体" w:eastAsia="宋体" w:hAnsi="宋体" w:hint="eastAsia"/>
          <w:b/>
          <w:bCs/>
        </w:rPr>
        <w:t>注意事项</w:t>
      </w:r>
    </w:p>
    <w:p w14:paraId="5484D6DE">
      <w:pPr>
        <w:pStyle w:val="style0"/>
        <w:bidi w:val="false"/>
        <w:rPr>
          <w:rFonts w:ascii="宋体" w:cs="宋体" w:eastAsia="宋体" w:hAnsi="宋体" w:hint="eastAsia"/>
          <w:lang w:val="en-US" w:eastAsia="zh-CN"/>
        </w:rPr>
      </w:pPr>
    </w:p>
    <w:p w14:paraId="63D58F68">
      <w:pPr>
        <w:pStyle w:val="style0"/>
        <w:bidi w:val="false"/>
        <w:rPr>
          <w:rFonts w:ascii="宋体" w:cs="宋体" w:eastAsia="宋体" w:hAnsi="宋体" w:hint="eastAsia"/>
          <w:lang w:val="en-US" w:eastAsia="zh-CN"/>
        </w:rPr>
      </w:pPr>
    </w:p>
    <w:p w14:paraId="6C040EE0">
      <w:pPr>
        <w:pStyle w:val="style0"/>
        <w:bidi w:val="false"/>
        <w:jc w:val="center"/>
        <w:rPr>
          <w:rFonts w:ascii="宋体" w:cs="宋体" w:eastAsia="宋体" w:hAnsi="宋体" w:hint="eastAsia"/>
        </w:rPr>
      </w:pPr>
      <w:r>
        <w:rPr>
          <w:rFonts w:ascii="宋体" w:cs="宋体" w:eastAsia="宋体" w:hAnsi="宋体" w:hint="eastAsia"/>
        </w:rPr>
        <w:drawing>
          <wp:inline distL="0" distT="0" distB="0" distR="0">
            <wp:extent cx="5749290" cy="4613910"/>
            <wp:effectExtent l="0" t="0" r="3810" b="15240"/>
            <wp:docPr id="1026"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9" cstate="print"/>
                    <a:srcRect l="0" t="0" r="0" b="0"/>
                    <a:stretch/>
                  </pic:blipFill>
                  <pic:spPr>
                    <a:xfrm rot="0">
                      <a:off x="0" y="0"/>
                      <a:ext cx="5749290" cy="4613910"/>
                    </a:xfrm>
                    <a:prstGeom prst="rect"/>
                    <a:ln>
                      <a:noFill/>
                    </a:ln>
                  </pic:spPr>
                </pic:pic>
              </a:graphicData>
            </a:graphic>
          </wp:inline>
        </w:drawing>
      </w:r>
    </w:p>
    <w:p w14:paraId="09EEDDAA">
      <w:pPr>
        <w:pStyle w:val="style0"/>
        <w:bidi w:val="false"/>
        <w:rPr>
          <w:rFonts w:ascii="宋体" w:cs="宋体" w:eastAsia="宋体" w:hAnsi="宋体" w:hint="eastAsia"/>
        </w:rPr>
      </w:pPr>
    </w:p>
    <w:p w14:paraId="110688B9">
      <w:pPr>
        <w:pStyle w:val="style0"/>
        <w:bidi w:val="false"/>
        <w:rPr>
          <w:rFonts w:ascii="宋体" w:cs="宋体" w:eastAsia="宋体" w:hAnsi="宋体" w:hint="eastAsia"/>
        </w:rPr>
      </w:pPr>
    </w:p>
    <w:p w14:paraId="7770C3A5">
      <w:pPr>
        <w:pStyle w:val="style66"/>
        <w:keepNext w:val="false"/>
        <w:keepLines w:val="false"/>
        <w:pageBreakBefore w:val="false"/>
        <w:widowControl w:val="false"/>
        <w:kinsoku/>
        <w:wordWrap w:val="false"/>
        <w:overflowPunct/>
        <w:topLinePunct w:val="false"/>
        <w:autoSpaceDE w:val="false"/>
        <w:autoSpaceDN w:val="false"/>
        <w:bidi w:val="false"/>
        <w:adjustRightInd/>
        <w:snapToGrid/>
        <w:spacing w:before="68" w:lineRule="auto" w:line="221"/>
        <w:ind w:left="36"/>
        <w:textAlignment w:val="auto"/>
        <w:rPr>
          <w:rFonts w:ascii="宋体" w:cs="宋体" w:eastAsia="宋体" w:hAnsi="宋体" w:hint="eastAsia"/>
          <w:sz w:val="21"/>
          <w:szCs w:val="21"/>
        </w:rPr>
      </w:pPr>
      <w:r>
        <w:rPr>
          <w:rFonts w:ascii="宋体" w:cs="宋体" w:eastAsia="宋体" w:hAnsi="宋体" w:hint="eastAsia"/>
          <w:spacing w:val="-1"/>
          <w:sz w:val="21"/>
          <w:szCs w:val="21"/>
        </w:rPr>
        <w:t>河南省公共资源交易中心</w:t>
      </w:r>
    </w:p>
    <w:p w14:paraId="64CAA21B">
      <w:pPr>
        <w:pStyle w:val="style0"/>
        <w:keepNext w:val="false"/>
        <w:keepLines w:val="false"/>
        <w:pageBreakBefore w:val="false"/>
        <w:widowControl w:val="false"/>
        <w:kinsoku/>
        <w:wordWrap w:val="false"/>
        <w:overflowPunct/>
        <w:topLinePunct w:val="false"/>
        <w:autoSpaceDE w:val="false"/>
        <w:autoSpaceDN w:val="false"/>
        <w:bidi w:val="false"/>
        <w:adjustRightInd/>
        <w:snapToGrid/>
        <w:spacing w:before="33" w:lineRule="auto" w:line="191"/>
        <w:ind w:left="30"/>
        <w:textAlignment w:val="auto"/>
        <w:rPr>
          <w:rFonts w:ascii="宋体" w:cs="宋体" w:eastAsia="宋体" w:hAnsi="宋体" w:hint="eastAsia"/>
          <w:sz w:val="21"/>
          <w:szCs w:val="21"/>
        </w:rPr>
      </w:pPr>
      <w:r>
        <w:rPr>
          <w:rFonts w:ascii="宋体" w:cs="宋体" w:eastAsia="宋体" w:hAnsi="宋体" w:hint="eastAsia"/>
        </w:rPr>
        <w:fldChar w:fldCharType="begin"/>
      </w:r>
      <w:r>
        <w:rPr>
          <w:rFonts w:ascii="宋体" w:cs="宋体" w:eastAsia="宋体" w:hAnsi="宋体" w:hint="eastAsia"/>
        </w:rPr>
        <w:instrText xml:space="preserve"> HYPERLINK "http://www.hnggzyjy.cn/xxgk/003002/20230320/25ed25d3-4dae-4b55-892f-21f21cb73239.html" </w:instrText>
      </w:r>
      <w:r>
        <w:rPr>
          <w:rFonts w:ascii="宋体" w:cs="宋体" w:eastAsia="宋体" w:hAnsi="宋体" w:hint="eastAsia"/>
        </w:rPr>
        <w:fldChar w:fldCharType="separate"/>
      </w:r>
      <w:r>
        <w:rPr>
          <w:rFonts w:ascii="宋体" w:cs="宋体" w:eastAsia="宋体" w:hAnsi="宋体" w:hint="eastAsia"/>
        </w:rPr>
        <w:t>http://hnsggzyjy.henan.gov.cn/ggfw/004006/20230320/25ed25d3-4dae-4b55-892f-21f21cb73239.html</w:t>
      </w:r>
      <w:r>
        <w:rPr>
          <w:rFonts w:ascii="宋体" w:cs="宋体" w:eastAsia="宋体" w:hAnsi="宋体" w:hint="eastAsia"/>
          <w:spacing w:val="-1"/>
          <w:sz w:val="21"/>
          <w:szCs w:val="21"/>
        </w:rPr>
        <w:fldChar w:fldCharType="end"/>
      </w:r>
    </w:p>
    <w:p w14:paraId="381A61DD">
      <w:pPr>
        <w:pStyle w:val="style0"/>
        <w:bidi w:val="false"/>
        <w:rPr>
          <w:rFonts w:ascii="宋体" w:cs="宋体" w:eastAsia="宋体" w:hAnsi="宋体" w:hint="eastAsia"/>
          <w:lang w:val="en-US" w:eastAsia="zh-CN"/>
        </w:rPr>
      </w:pPr>
      <w:r>
        <w:rPr>
          <w:rFonts w:ascii="宋体" w:cs="宋体" w:eastAsia="宋体" w:hAnsi="宋体" w:hint="eastAsia"/>
          <w:lang w:val="en-US" w:eastAsia="zh-CN"/>
        </w:rPr>
        <w:br w:type="page"/>
      </w:r>
    </w:p>
    <w:p w14:paraId="2BFC6D97">
      <w:pPr>
        <w:pStyle w:val="style0"/>
        <w:keepNext w:val="false"/>
        <w:keepLines w:val="false"/>
        <w:pageBreakBefore w:val="false"/>
        <w:widowControl w:val="false"/>
        <w:kinsoku/>
        <w:wordWrap/>
        <w:overflowPunct/>
        <w:topLinePunct w:val="false"/>
        <w:autoSpaceDE w:val="false"/>
        <w:autoSpaceDN w:val="false"/>
        <w:bidi w:val="false"/>
        <w:adjustRightInd/>
        <w:snapToGrid/>
        <w:spacing w:lineRule="auto" w:line="360"/>
        <w:ind w:firstLine="420" w:firstLineChars="200"/>
        <w:textAlignment w:val="auto"/>
        <w:rPr>
          <w:rFonts w:ascii="宋体" w:cs="宋体" w:eastAsia="宋体" w:hAnsi="宋体" w:hint="eastAsia"/>
          <w:color w:val="auto"/>
          <w:sz w:val="21"/>
          <w:szCs w:val="21"/>
          <w:highlight w:val="none"/>
          <w:lang w:eastAsia="zh-CN"/>
        </w:rPr>
        <w:sectPr>
          <w:footerReference w:type="default" r:id="rId10"/>
          <w:pgSz w:w="11910" w:h="16840" w:orient="portrait"/>
          <w:pgMar w:top="1440" w:right="1080" w:bottom="1440" w:left="1080" w:header="878" w:footer="1130" w:gutter="0"/>
          <w:pgNumType w:fmt="decimal"/>
          <w:cols w:space="720" w:num="1"/>
        </w:sectPr>
      </w:pPr>
    </w:p>
    <w:bookmarkStart w:id="40" w:name="_bookmark3"/>
    <w:bookmarkStart w:id="41" w:name="_Toc22318"/>
    <w:bookmarkEnd w:id="40"/>
    <w:p w14:paraId="409B7000">
      <w:pPr>
        <w:pStyle w:val="style0"/>
        <w:tabs>
          <w:tab w:val="left" w:leader="none" w:pos="3579"/>
        </w:tabs>
        <w:spacing w:before="61" w:lineRule="auto" w:line="360"/>
        <w:jc w:val="center"/>
        <w:outlineLvl w:val="0"/>
        <w:rPr>
          <w:rFonts w:ascii="宋体" w:cs="宋体" w:eastAsia="宋体" w:hAnsi="宋体" w:hint="eastAsia"/>
          <w:b/>
          <w:color w:val="auto"/>
          <w:sz w:val="32"/>
          <w:szCs w:val="32"/>
          <w:highlight w:val="none"/>
          <w:lang w:eastAsia="zh-CN"/>
        </w:rPr>
      </w:pPr>
      <w:r>
        <w:rPr>
          <w:rFonts w:ascii="宋体" w:cs="宋体" w:eastAsia="宋体" w:hAnsi="宋体" w:hint="eastAsia"/>
          <w:b/>
          <w:color w:val="auto"/>
          <w:sz w:val="32"/>
          <w:szCs w:val="32"/>
          <w:highlight w:val="none"/>
          <w:lang w:eastAsia="zh-CN"/>
        </w:rPr>
        <w:t>第三章</w:t>
      </w:r>
      <w:r>
        <w:rPr>
          <w:rFonts w:ascii="宋体" w:cs="宋体" w:eastAsia="宋体" w:hAnsi="宋体" w:hint="eastAsia"/>
          <w:b/>
          <w:color w:val="auto"/>
          <w:sz w:val="32"/>
          <w:szCs w:val="32"/>
          <w:highlight w:val="none"/>
          <w:lang w:val="en-US" w:eastAsia="zh-CN"/>
        </w:rPr>
        <w:t xml:space="preserve">  </w:t>
      </w:r>
      <w:r>
        <w:rPr>
          <w:rFonts w:ascii="宋体" w:cs="宋体" w:eastAsia="宋体" w:hAnsi="宋体" w:hint="eastAsia"/>
          <w:b/>
          <w:color w:val="auto"/>
          <w:sz w:val="32"/>
          <w:szCs w:val="32"/>
          <w:highlight w:val="none"/>
          <w:lang w:eastAsia="zh-CN"/>
        </w:rPr>
        <w:t>评审办法（综合评分法）</w:t>
      </w:r>
      <w:bookmarkEnd w:id="41"/>
    </w:p>
    <w:bookmarkStart w:id="42" w:name="评审办法前附表"/>
    <w:bookmarkStart w:id="43" w:name="_Toc27221"/>
    <w:bookmarkEnd w:id="42"/>
    <w:p w14:paraId="3C860AFF">
      <w:pPr>
        <w:pStyle w:val="style0"/>
        <w:spacing w:before="186" w:lineRule="auto" w:line="360"/>
        <w:ind w:right="144"/>
        <w:jc w:val="center"/>
        <w:outlineLvl w:val="9"/>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lang w:val="en-US" w:eastAsia="zh-CN"/>
        </w:rPr>
        <w:t>一、初步评审</w:t>
      </w:r>
      <w:r>
        <w:rPr>
          <w:rFonts w:ascii="宋体" w:cs="宋体" w:eastAsia="宋体" w:hAnsi="宋体" w:hint="eastAsia"/>
          <w:b/>
          <w:bCs/>
          <w:color w:val="auto"/>
          <w:sz w:val="28"/>
          <w:szCs w:val="28"/>
          <w:highlight w:val="none"/>
        </w:rPr>
        <w:t>表</w:t>
      </w:r>
      <w:bookmarkEnd w:id="43"/>
    </w:p>
    <w:p w14:paraId="2454F2F8">
      <w:pPr>
        <w:pStyle w:val="style66"/>
        <w:spacing w:before="4" w:after="1" w:lineRule="auto" w:line="360"/>
        <w:rPr>
          <w:rFonts w:ascii="宋体" w:cs="宋体" w:eastAsia="宋体" w:hAnsi="宋体" w:hint="eastAsia"/>
          <w:b/>
          <w:color w:val="auto"/>
          <w:sz w:val="12"/>
          <w:highlight w:val="none"/>
        </w:rPr>
      </w:pPr>
    </w:p>
    <w:tbl>
      <w:tblPr>
        <w:tblStyle w:val="style105"/>
        <w:tblW w:w="9718" w:type="dxa"/>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
      <w:tblGrid>
        <w:gridCol w:w="965"/>
        <w:gridCol w:w="937"/>
        <w:gridCol w:w="2700"/>
        <w:gridCol w:w="5116"/>
      </w:tblGrid>
      <w:tr w14:paraId="538088C2">
        <w:trPr>
          <w:trHeight w:val="90" w:hRule="atLeast"/>
        </w:trPr>
        <w:tc>
          <w:tcPr>
            <w:tcW w:w="1902" w:type="dxa"/>
            <w:gridSpan w:val="2"/>
            <w:tcBorders>
              <w:top w:val="single" w:sz="4" w:space="0" w:color="auto"/>
              <w:left w:val="single" w:sz="4" w:space="0" w:color="auto"/>
              <w:bottom w:val="single" w:sz="4" w:space="0" w:color="auto"/>
              <w:right w:val="single" w:sz="4" w:space="0" w:color="auto"/>
            </w:tcBorders>
            <w:vAlign w:val="center"/>
          </w:tcPr>
          <w:p w14:paraId="225BE397">
            <w:pPr>
              <w:pStyle w:val="style4105"/>
              <w:spacing w:before="10" w:lineRule="auto" w:line="360"/>
              <w:ind w:left="403"/>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条款号</w:t>
            </w:r>
          </w:p>
        </w:tc>
        <w:tc>
          <w:tcPr>
            <w:tcW w:w="2700" w:type="dxa"/>
            <w:tcBorders>
              <w:top w:val="single" w:sz="4" w:space="0" w:color="auto"/>
              <w:left w:val="single" w:sz="4" w:space="0" w:color="auto"/>
              <w:bottom w:val="single" w:sz="4" w:space="0" w:color="auto"/>
              <w:right w:val="single" w:sz="4" w:space="0" w:color="auto"/>
            </w:tcBorders>
            <w:vAlign w:val="center"/>
          </w:tcPr>
          <w:p w14:paraId="6E42B0FF">
            <w:pPr>
              <w:pStyle w:val="style4105"/>
              <w:spacing w:before="10" w:lineRule="auto" w:line="360"/>
              <w:ind w:left="73" w:right="42"/>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评审因素</w:t>
            </w:r>
          </w:p>
        </w:tc>
        <w:tc>
          <w:tcPr>
            <w:tcW w:w="5116" w:type="dxa"/>
            <w:tcBorders>
              <w:top w:val="single" w:sz="4" w:space="0" w:color="auto"/>
              <w:left w:val="single" w:sz="4" w:space="0" w:color="auto"/>
              <w:bottom w:val="single" w:sz="4" w:space="0" w:color="auto"/>
              <w:right w:val="single" w:sz="4" w:space="0" w:color="auto"/>
            </w:tcBorders>
            <w:vAlign w:val="center"/>
          </w:tcPr>
          <w:p w14:paraId="09C620B6">
            <w:pPr>
              <w:pStyle w:val="style4105"/>
              <w:spacing w:before="10" w:lineRule="auto" w:line="360"/>
              <w:ind w:left="114" w:right="79"/>
              <w:jc w:val="center"/>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评审标准</w:t>
            </w:r>
          </w:p>
        </w:tc>
      </w:tr>
      <w:tr w14:paraId="00236F1E">
        <w:tblPrEx/>
        <w:trPr>
          <w:trHeight w:val="90" w:hRule="atLeast"/>
        </w:trPr>
        <w:tc>
          <w:tcPr>
            <w:tcW w:w="965" w:type="dxa"/>
            <w:vMerge w:val="restart"/>
            <w:tcBorders>
              <w:top w:val="single" w:sz="4" w:space="0" w:color="auto"/>
              <w:left w:val="single" w:sz="4" w:space="0" w:color="auto"/>
              <w:bottom w:val="single" w:sz="4" w:space="0" w:color="auto"/>
              <w:right w:val="single" w:sz="4" w:space="0" w:color="auto"/>
            </w:tcBorders>
            <w:vAlign w:val="center"/>
          </w:tcPr>
          <w:p w14:paraId="332DFCE4">
            <w:pPr>
              <w:pStyle w:val="style4105"/>
              <w:spacing w:before="10" w:lineRule="auto" w:line="360"/>
              <w:ind w:left="127"/>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2.1.1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02326D1">
            <w:pPr>
              <w:pStyle w:val="style4105"/>
              <w:spacing w:before="10" w:lineRule="auto" w:line="360"/>
              <w:ind w:left="127" w:right="97"/>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形式评审标准</w:t>
            </w:r>
          </w:p>
        </w:tc>
        <w:tc>
          <w:tcPr>
            <w:tcW w:w="2700" w:type="dxa"/>
            <w:tcBorders>
              <w:top w:val="single" w:sz="4" w:space="0" w:color="auto"/>
              <w:left w:val="single" w:sz="4" w:space="0" w:color="auto"/>
              <w:bottom w:val="single" w:sz="4" w:space="0" w:color="auto"/>
              <w:right w:val="single" w:sz="4" w:space="0" w:color="auto"/>
            </w:tcBorders>
            <w:vAlign w:val="center"/>
          </w:tcPr>
          <w:p w14:paraId="5BD76451">
            <w:pPr>
              <w:pStyle w:val="style4105"/>
              <w:spacing w:before="10" w:lineRule="auto" w:line="360"/>
              <w:ind w:left="70" w:right="44"/>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标书雷同性分析</w:t>
            </w:r>
          </w:p>
        </w:tc>
        <w:tc>
          <w:tcPr>
            <w:tcW w:w="5116" w:type="dxa"/>
            <w:tcBorders>
              <w:top w:val="single" w:sz="4" w:space="0" w:color="auto"/>
              <w:left w:val="single" w:sz="4" w:space="0" w:color="auto"/>
              <w:bottom w:val="single" w:sz="4" w:space="0" w:color="auto"/>
              <w:right w:val="single" w:sz="4" w:space="0" w:color="auto"/>
            </w:tcBorders>
            <w:vAlign w:val="center"/>
          </w:tcPr>
          <w:p w14:paraId="6575EF34">
            <w:pPr>
              <w:pStyle w:val="style4105"/>
              <w:spacing w:before="10" w:lineRule="auto" w:line="360"/>
              <w:ind w:left="112" w:right="79"/>
              <w:jc w:val="left"/>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投标（响应）文件制作机器码不能一致</w:t>
            </w:r>
          </w:p>
        </w:tc>
      </w:tr>
      <w:tr w14:paraId="307BFE6C">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232E24B5">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2D93182C">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vAlign w:val="center"/>
          </w:tcPr>
          <w:p w14:paraId="6E3C62ED">
            <w:pPr>
              <w:pStyle w:val="style4105"/>
              <w:spacing w:before="10" w:lineRule="auto" w:line="360"/>
              <w:ind w:left="112" w:right="79"/>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供应商名称</w:t>
            </w:r>
          </w:p>
        </w:tc>
        <w:tc>
          <w:tcPr>
            <w:tcW w:w="5116" w:type="dxa"/>
            <w:tcBorders>
              <w:top w:val="single" w:sz="4" w:space="0" w:color="auto"/>
              <w:left w:val="single" w:sz="4" w:space="0" w:color="auto"/>
              <w:bottom w:val="single" w:sz="4" w:space="0" w:color="auto"/>
              <w:right w:val="single" w:sz="4" w:space="0" w:color="auto"/>
            </w:tcBorders>
            <w:vAlign w:val="center"/>
          </w:tcPr>
          <w:p w14:paraId="5070D223">
            <w:pPr>
              <w:pStyle w:val="style4105"/>
              <w:spacing w:before="10" w:lineRule="auto" w:line="360"/>
              <w:ind w:left="112" w:right="79"/>
              <w:jc w:val="left"/>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与营业执照、其他证明文件一致</w:t>
            </w:r>
          </w:p>
        </w:tc>
      </w:tr>
      <w:tr w14:paraId="0A786416">
        <w:tblPrEx/>
        <w:trPr>
          <w:trHeight w:val="455"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420D4341">
            <w:pPr>
              <w:pStyle w:val="style0"/>
              <w:spacing w:before="10" w:lineRule="auto" w:line="360"/>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71DEBD98">
            <w:pPr>
              <w:pStyle w:val="style0"/>
              <w:spacing w:before="10" w:lineRule="auto" w:line="360"/>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52DBE93">
            <w:pPr>
              <w:pStyle w:val="style4105"/>
              <w:spacing w:before="10" w:lineRule="auto" w:line="360"/>
              <w:ind w:left="112" w:right="79"/>
              <w:jc w:val="center"/>
              <w:rPr>
                <w:rFonts w:ascii="宋体" w:cs="宋体" w:eastAsia="宋体" w:hAnsi="宋体" w:hint="eastAsia"/>
                <w:color w:val="auto"/>
                <w:sz w:val="24"/>
                <w:szCs w:val="24"/>
                <w:highlight w:val="none"/>
                <w:lang w:val="en-US" w:eastAsia="en-US"/>
              </w:rPr>
            </w:pPr>
            <w:r>
              <w:rPr>
                <w:rFonts w:ascii="宋体" w:cs="宋体" w:eastAsia="宋体" w:hAnsi="宋体" w:hint="eastAsia"/>
                <w:color w:val="auto"/>
                <w:sz w:val="24"/>
                <w:szCs w:val="24"/>
                <w:highlight w:val="none"/>
                <w:lang w:eastAsia="zh-CN"/>
              </w:rPr>
              <w:t>磋商响应函签字盖章</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31E7388">
            <w:pPr>
              <w:pStyle w:val="style4105"/>
              <w:spacing w:before="10" w:lineRule="auto" w:line="360"/>
              <w:ind w:left="112" w:right="79"/>
              <w:jc w:val="left"/>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eastAsia="zh-CN"/>
              </w:rPr>
              <w:t>符合竞争性磋商文件规定</w:t>
            </w:r>
          </w:p>
        </w:tc>
      </w:tr>
      <w:tr w14:paraId="72948706">
        <w:tblPrEx/>
        <w:trPr>
          <w:trHeight w:val="455"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4A903D14">
            <w:pPr>
              <w:pStyle w:val="style0"/>
              <w:spacing w:before="10" w:lineRule="auto" w:line="360"/>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51BC7968">
            <w:pPr>
              <w:pStyle w:val="style0"/>
              <w:spacing w:before="10" w:lineRule="auto" w:line="360"/>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C5CB1CC">
            <w:pPr>
              <w:pStyle w:val="style4105"/>
              <w:spacing w:before="10" w:lineRule="auto" w:line="360"/>
              <w:ind w:left="112" w:right="79"/>
              <w:jc w:val="center"/>
              <w:rPr>
                <w:rFonts w:ascii="宋体" w:cs="宋体" w:eastAsia="宋体" w:hAnsi="宋体" w:hint="eastAsia"/>
                <w:color w:val="auto"/>
                <w:sz w:val="24"/>
                <w:szCs w:val="24"/>
                <w:highlight w:val="none"/>
                <w:lang w:val="en-US" w:eastAsia="en-US"/>
              </w:rPr>
            </w:pPr>
            <w:r>
              <w:rPr>
                <w:rFonts w:ascii="宋体" w:cs="宋体" w:eastAsia="宋体" w:hAnsi="宋体" w:hint="eastAsia"/>
                <w:color w:val="auto"/>
                <w:sz w:val="24"/>
                <w:szCs w:val="24"/>
                <w:highlight w:val="none"/>
                <w:lang w:eastAsia="zh-CN"/>
              </w:rPr>
              <w:t>响应文件格式</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45769196">
            <w:pPr>
              <w:pStyle w:val="style4105"/>
              <w:spacing w:before="10" w:lineRule="auto" w:line="360"/>
              <w:ind w:left="112" w:right="79"/>
              <w:jc w:val="left"/>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eastAsia="zh-CN"/>
              </w:rPr>
              <w:t>符合竞争性磋商文件中提供的响应文件格式</w:t>
            </w:r>
          </w:p>
        </w:tc>
      </w:tr>
      <w:tr w14:paraId="0F6F2FDB">
        <w:tblPrEx/>
        <w:trPr>
          <w:trHeight w:val="455"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42B088FC">
            <w:pPr>
              <w:pStyle w:val="style0"/>
              <w:spacing w:before="10" w:lineRule="auto" w:line="360"/>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310594FD">
            <w:pPr>
              <w:pStyle w:val="style0"/>
              <w:spacing w:before="10" w:lineRule="auto" w:line="360"/>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A9038BF">
            <w:pPr>
              <w:pStyle w:val="style4105"/>
              <w:spacing w:before="10" w:lineRule="auto" w:line="360"/>
              <w:ind w:left="112" w:right="79"/>
              <w:jc w:val="center"/>
              <w:rPr>
                <w:rFonts w:ascii="宋体" w:cs="宋体" w:eastAsia="宋体" w:hAnsi="宋体" w:hint="eastAsia"/>
                <w:color w:val="auto"/>
                <w:sz w:val="24"/>
                <w:szCs w:val="24"/>
                <w:highlight w:val="none"/>
                <w:lang w:val="en-US" w:eastAsia="en-US"/>
              </w:rPr>
            </w:pPr>
            <w:r>
              <w:rPr>
                <w:rFonts w:ascii="宋体" w:cs="宋体" w:eastAsia="宋体" w:hAnsi="宋体" w:hint="eastAsia"/>
                <w:color w:val="auto"/>
                <w:sz w:val="24"/>
                <w:szCs w:val="24"/>
                <w:highlight w:val="none"/>
                <w:lang w:eastAsia="zh-CN"/>
              </w:rPr>
              <w:t>报价唯一</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CE9465D">
            <w:pPr>
              <w:pStyle w:val="style4105"/>
              <w:spacing w:before="10" w:lineRule="auto" w:line="360"/>
              <w:ind w:left="112" w:right="79"/>
              <w:jc w:val="left"/>
              <w:rPr>
                <w:rFonts w:ascii="宋体" w:cs="宋体" w:eastAsia="宋体" w:hAnsi="宋体" w:hint="default"/>
                <w:color w:val="auto"/>
                <w:sz w:val="24"/>
                <w:szCs w:val="24"/>
                <w:highlight w:val="none"/>
                <w:lang w:val="en-US" w:eastAsia="zh-CN"/>
              </w:rPr>
            </w:pPr>
            <w:r>
              <w:rPr>
                <w:rFonts w:ascii="宋体" w:cs="宋体" w:eastAsia="宋体" w:hAnsi="宋体" w:hint="eastAsia"/>
                <w:color w:val="auto"/>
                <w:sz w:val="24"/>
                <w:szCs w:val="24"/>
                <w:highlight w:val="none"/>
                <w:lang w:eastAsia="zh-CN"/>
              </w:rPr>
              <w:t>只能有一个有效报价</w:t>
            </w:r>
            <w:r>
              <w:rPr>
                <w:rFonts w:cs="宋体" w:hint="eastAsia"/>
                <w:color w:val="auto"/>
                <w:sz w:val="24"/>
                <w:szCs w:val="24"/>
                <w:highlight w:val="none"/>
                <w:lang w:val="en-US" w:eastAsia="zh-CN"/>
              </w:rPr>
              <w:t>且不超过最高限价</w:t>
            </w:r>
          </w:p>
        </w:tc>
      </w:tr>
      <w:tr w14:paraId="2E9AF4C6">
        <w:tblPrEx/>
        <w:trPr>
          <w:trHeight w:val="90" w:hRule="atLeast"/>
        </w:trPr>
        <w:tc>
          <w:tcPr>
            <w:tcW w:w="965" w:type="dxa"/>
            <w:vMerge w:val="restart"/>
            <w:tcBorders>
              <w:top w:val="single" w:sz="4" w:space="0" w:color="auto"/>
              <w:left w:val="single" w:sz="4" w:space="0" w:color="auto"/>
              <w:bottom w:val="single" w:sz="4" w:space="0" w:color="auto"/>
              <w:right w:val="single" w:sz="4" w:space="0" w:color="auto"/>
            </w:tcBorders>
            <w:vAlign w:val="center"/>
          </w:tcPr>
          <w:p w14:paraId="0C3C2D5C">
            <w:pPr>
              <w:pStyle w:val="style4105"/>
              <w:spacing w:before="10" w:lineRule="auto" w:line="360"/>
              <w:ind w:left="127"/>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2.1.2</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E7976A5">
            <w:pPr>
              <w:pStyle w:val="style4105"/>
              <w:spacing w:before="10" w:lineRule="auto" w:line="360"/>
              <w:ind w:left="114" w:right="76"/>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资格评审标准</w:t>
            </w:r>
          </w:p>
        </w:tc>
        <w:tc>
          <w:tcPr>
            <w:tcW w:w="2700" w:type="dxa"/>
            <w:tcBorders>
              <w:top w:val="single" w:sz="4" w:space="0" w:color="auto"/>
              <w:left w:val="single" w:sz="4" w:space="0" w:color="auto"/>
              <w:bottom w:val="single" w:sz="4" w:space="0" w:color="auto"/>
              <w:right w:val="single" w:sz="4" w:space="0" w:color="auto"/>
            </w:tcBorders>
            <w:vAlign w:val="center"/>
          </w:tcPr>
          <w:p w14:paraId="40DDC10A">
            <w:pPr>
              <w:pStyle w:val="style4105"/>
              <w:widowControl/>
              <w:spacing w:lineRule="auto" w:line="360"/>
              <w:ind w:left="108" w:leftChars="0"/>
              <w:jc w:val="center"/>
              <w:rPr>
                <w:rFonts w:ascii="宋体" w:cs="宋体" w:eastAsia="宋体" w:hAnsi="宋体" w:hint="eastAsia"/>
                <w:color w:val="auto"/>
                <w:sz w:val="24"/>
                <w:szCs w:val="24"/>
                <w:highlight w:val="none"/>
                <w:lang w:eastAsia="zh-CN"/>
              </w:rPr>
            </w:pPr>
            <w:r>
              <w:rPr>
                <w:rFonts w:ascii="宋体" w:cs="宋体" w:eastAsia="宋体" w:hAnsi="宋体" w:hint="eastAsia"/>
                <w:bCs/>
                <w:sz w:val="24"/>
                <w:szCs w:val="24"/>
                <w:lang w:eastAsia="zh-CN"/>
              </w:rPr>
              <w:t>具有独立承担民事责任的能力</w:t>
            </w:r>
          </w:p>
        </w:tc>
        <w:tc>
          <w:tcPr>
            <w:tcW w:w="5116" w:type="dxa"/>
            <w:tcBorders>
              <w:top w:val="single" w:sz="4" w:space="0" w:color="auto"/>
              <w:left w:val="single" w:sz="4" w:space="0" w:color="auto"/>
              <w:bottom w:val="single" w:sz="4" w:space="0" w:color="auto"/>
              <w:right w:val="single" w:sz="4" w:space="0" w:color="auto"/>
            </w:tcBorders>
            <w:vAlign w:val="center"/>
          </w:tcPr>
          <w:p w14:paraId="6E823DBC">
            <w:pPr>
              <w:pStyle w:val="style4105"/>
              <w:keepNext w:val="false"/>
              <w:keepLines w:val="false"/>
              <w:pageBreakBefore w:val="false"/>
              <w:widowControl/>
              <w:kinsoku/>
              <w:wordWrap/>
              <w:overflowPunct/>
              <w:topLinePunct w:val="false"/>
              <w:autoSpaceDE w:val="false"/>
              <w:autoSpaceDN w:val="false"/>
              <w:bidi w:val="false"/>
              <w:adjustRightInd/>
              <w:snapToGrid/>
              <w:spacing w:lineRule="auto" w:line="360"/>
              <w:ind w:left="110" w:leftChars="50" w:right="97"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bCs/>
                <w:sz w:val="24"/>
                <w:szCs w:val="24"/>
                <w:lang w:eastAsia="zh-CN"/>
              </w:rPr>
              <w:t>提供有效的营业执照或事业单位法人证书等证明材料</w:t>
            </w:r>
          </w:p>
        </w:tc>
      </w:tr>
      <w:tr w14:paraId="3046BBE8">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6DF0BBBF">
            <w:pPr>
              <w:pStyle w:val="style0"/>
              <w:spacing w:before="10" w:lineRule="auto" w:line="360"/>
              <w:jc w:val="center"/>
              <w:rPr>
                <w:rFonts w:ascii="宋体" w:cs="宋体" w:eastAsia="宋体" w:hAnsi="宋体" w:hint="eastAsia"/>
                <w:color w:val="auto"/>
                <w:sz w:val="24"/>
                <w:szCs w:val="24"/>
                <w:highlight w:val="none"/>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517212A3">
            <w:pPr>
              <w:pStyle w:val="style0"/>
              <w:spacing w:before="10" w:lineRule="auto" w:line="360"/>
              <w:jc w:val="center"/>
              <w:rPr>
                <w:rFonts w:ascii="宋体" w:cs="宋体" w:eastAsia="宋体" w:hAnsi="宋体" w:hint="eastAsia"/>
                <w:color w:val="auto"/>
                <w:sz w:val="24"/>
                <w:szCs w:val="24"/>
                <w:highlight w: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19B184A7">
            <w:pPr>
              <w:pStyle w:val="style4105"/>
              <w:widowControl/>
              <w:spacing w:lineRule="auto" w:line="360"/>
              <w:ind w:left="108" w:leftChars="0"/>
              <w:jc w:val="center"/>
              <w:rPr>
                <w:rFonts w:ascii="宋体" w:cs="宋体" w:eastAsia="宋体" w:hAnsi="宋体" w:hint="eastAsia"/>
                <w:color w:val="auto"/>
                <w:sz w:val="24"/>
                <w:szCs w:val="24"/>
                <w:highlight w:val="none"/>
                <w:lang w:eastAsia="zh-CN"/>
              </w:rPr>
            </w:pPr>
            <w:r>
              <w:rPr>
                <w:rFonts w:ascii="宋体" w:cs="宋体" w:eastAsia="宋体" w:hAnsi="宋体" w:hint="eastAsia"/>
                <w:bCs/>
                <w:sz w:val="24"/>
                <w:szCs w:val="24"/>
              </w:rPr>
              <w:t>具有良好的商业信誉和健全的财务会计制度</w:t>
            </w:r>
          </w:p>
        </w:tc>
        <w:tc>
          <w:tcPr>
            <w:tcW w:w="5116" w:type="dxa"/>
            <w:tcBorders>
              <w:top w:val="single" w:sz="4" w:space="0" w:color="auto"/>
              <w:left w:val="single" w:sz="4" w:space="0" w:color="auto"/>
              <w:bottom w:val="single" w:sz="4" w:space="0" w:color="auto"/>
              <w:right w:val="single" w:sz="4" w:space="0" w:color="auto"/>
            </w:tcBorders>
            <w:vAlign w:val="center"/>
          </w:tcPr>
          <w:p w14:paraId="67E16840">
            <w:pPr>
              <w:pStyle w:val="style4105"/>
              <w:keepNext w:val="false"/>
              <w:keepLines w:val="false"/>
              <w:pageBreakBefore w:val="false"/>
              <w:widowControl/>
              <w:kinsoku/>
              <w:wordWrap/>
              <w:overflowPunct/>
              <w:topLinePunct w:val="false"/>
              <w:autoSpaceDE w:val="false"/>
              <w:autoSpaceDN w:val="false"/>
              <w:bidi w:val="false"/>
              <w:adjustRightInd/>
              <w:snapToGrid/>
              <w:spacing w:lineRule="auto" w:line="360"/>
              <w:ind w:left="110" w:leftChars="5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提供相关证明材料或承诺书</w:t>
            </w:r>
          </w:p>
        </w:tc>
      </w:tr>
      <w:tr w14:paraId="1068FC70">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2D4C91AF">
            <w:pPr>
              <w:pStyle w:val="style0"/>
              <w:spacing w:before="10" w:lineRule="auto" w:line="360"/>
              <w:jc w:val="center"/>
              <w:rPr>
                <w:rFonts w:ascii="宋体" w:cs="宋体" w:eastAsia="宋体" w:hAnsi="宋体" w:hint="eastAsia"/>
                <w:color w:val="auto"/>
                <w:sz w:val="24"/>
                <w:szCs w:val="24"/>
                <w:highlight w:val="none"/>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7861ED5B">
            <w:pPr>
              <w:pStyle w:val="style0"/>
              <w:spacing w:before="10" w:lineRule="auto" w:line="360"/>
              <w:jc w:val="center"/>
              <w:rPr>
                <w:rFonts w:ascii="宋体" w:cs="宋体" w:eastAsia="宋体" w:hAnsi="宋体" w:hint="eastAsia"/>
                <w:color w:val="auto"/>
                <w:sz w:val="24"/>
                <w:szCs w:val="24"/>
                <w:highlight w: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02066788">
            <w:pPr>
              <w:pStyle w:val="style4105"/>
              <w:widowControl/>
              <w:spacing w:lineRule="auto" w:line="360"/>
              <w:ind w:right="97" w:rightChars="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具有履行合同所必需的设备和专业技术能力</w:t>
            </w:r>
          </w:p>
        </w:tc>
        <w:tc>
          <w:tcPr>
            <w:tcW w:w="5116" w:type="dxa"/>
            <w:tcBorders>
              <w:top w:val="single" w:sz="4" w:space="0" w:color="auto"/>
              <w:left w:val="single" w:sz="4" w:space="0" w:color="auto"/>
              <w:bottom w:val="single" w:sz="4" w:space="0" w:color="auto"/>
              <w:right w:val="single" w:sz="4" w:space="0" w:color="auto"/>
            </w:tcBorders>
            <w:vAlign w:val="center"/>
          </w:tcPr>
          <w:p w14:paraId="5208059D">
            <w:pPr>
              <w:pStyle w:val="style4105"/>
              <w:keepNext w:val="false"/>
              <w:keepLines w:val="false"/>
              <w:pageBreakBefore w:val="false"/>
              <w:widowControl/>
              <w:kinsoku/>
              <w:wordWrap/>
              <w:overflowPunct/>
              <w:topLinePunct w:val="false"/>
              <w:autoSpaceDE w:val="false"/>
              <w:autoSpaceDN w:val="false"/>
              <w:bidi w:val="false"/>
              <w:adjustRightInd/>
              <w:snapToGrid/>
              <w:spacing w:lineRule="auto" w:line="360"/>
              <w:ind w:left="110" w:leftChars="50" w:right="97"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提供相关证明材料或承诺书</w:t>
            </w:r>
          </w:p>
        </w:tc>
      </w:tr>
      <w:tr w14:paraId="319718F5">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2D20CA07">
            <w:pPr>
              <w:pStyle w:val="style0"/>
              <w:spacing w:before="10" w:lineRule="auto" w:line="360"/>
              <w:jc w:val="center"/>
              <w:rPr>
                <w:rFonts w:ascii="宋体" w:cs="宋体" w:eastAsia="宋体" w:hAnsi="宋体" w:hint="eastAsia"/>
                <w:color w:val="auto"/>
                <w:sz w:val="24"/>
                <w:szCs w:val="24"/>
                <w:highlight w:val="none"/>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62CC6A70">
            <w:pPr>
              <w:pStyle w:val="style0"/>
              <w:spacing w:before="10" w:lineRule="auto" w:line="360"/>
              <w:jc w:val="center"/>
              <w:rPr>
                <w:rFonts w:ascii="宋体" w:cs="宋体" w:eastAsia="宋体" w:hAnsi="宋体" w:hint="eastAsia"/>
                <w:color w:val="auto"/>
                <w:sz w:val="24"/>
                <w:szCs w:val="24"/>
                <w:highlight w: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7FF0A722">
            <w:pPr>
              <w:pStyle w:val="style4105"/>
              <w:widowControl/>
              <w:spacing w:lineRule="auto" w:line="360"/>
              <w:ind w:right="97" w:rightChars="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有依法缴纳税收和社会保障资金的良好记录</w:t>
            </w:r>
          </w:p>
        </w:tc>
        <w:tc>
          <w:tcPr>
            <w:tcW w:w="5116" w:type="dxa"/>
            <w:tcBorders>
              <w:top w:val="single" w:sz="4" w:space="0" w:color="auto"/>
              <w:left w:val="single" w:sz="4" w:space="0" w:color="auto"/>
              <w:bottom w:val="single" w:sz="4" w:space="0" w:color="auto"/>
              <w:right w:val="single" w:sz="4" w:space="0" w:color="auto"/>
            </w:tcBorders>
            <w:vAlign w:val="center"/>
          </w:tcPr>
          <w:p w14:paraId="1EA18A5B">
            <w:pPr>
              <w:pStyle w:val="style4105"/>
              <w:keepNext w:val="false"/>
              <w:keepLines w:val="false"/>
              <w:pageBreakBefore w:val="false"/>
              <w:widowControl/>
              <w:kinsoku/>
              <w:wordWrap/>
              <w:overflowPunct/>
              <w:topLinePunct w:val="false"/>
              <w:autoSpaceDE w:val="false"/>
              <w:autoSpaceDN w:val="false"/>
              <w:bidi w:val="false"/>
              <w:adjustRightInd/>
              <w:snapToGrid/>
              <w:spacing w:lineRule="auto" w:line="360"/>
              <w:ind w:left="110" w:leftChars="5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提供相关证明材料或承诺书</w:t>
            </w:r>
          </w:p>
        </w:tc>
      </w:tr>
      <w:tr w14:paraId="0988AD08">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068C7EAD">
            <w:pPr>
              <w:pStyle w:val="style0"/>
              <w:spacing w:before="10" w:lineRule="auto" w:line="360"/>
              <w:jc w:val="center"/>
              <w:rPr>
                <w:rFonts w:ascii="宋体" w:cs="宋体" w:eastAsia="宋体" w:hAnsi="宋体" w:hint="eastAsia"/>
                <w:color w:val="auto"/>
                <w:sz w:val="24"/>
                <w:szCs w:val="24"/>
                <w:highlight w:val="none"/>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6BEEC237">
            <w:pPr>
              <w:pStyle w:val="style0"/>
              <w:spacing w:before="10" w:lineRule="auto" w:line="360"/>
              <w:jc w:val="center"/>
              <w:rPr>
                <w:rFonts w:ascii="宋体" w:cs="宋体" w:eastAsia="宋体" w:hAnsi="宋体" w:hint="eastAsia"/>
                <w:color w:val="auto"/>
                <w:sz w:val="24"/>
                <w:szCs w:val="24"/>
                <w:highlight w: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4C36F33F">
            <w:pPr>
              <w:pStyle w:val="style4105"/>
              <w:widowControl/>
              <w:spacing w:lineRule="auto" w:line="360"/>
              <w:ind w:right="41" w:rightChars="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参加政府采购活动前三年内，在经营活动中没有重大违法记录</w:t>
            </w:r>
          </w:p>
        </w:tc>
        <w:tc>
          <w:tcPr>
            <w:tcW w:w="5116" w:type="dxa"/>
            <w:tcBorders>
              <w:top w:val="single" w:sz="4" w:space="0" w:color="auto"/>
              <w:left w:val="single" w:sz="4" w:space="0" w:color="auto"/>
              <w:bottom w:val="single" w:sz="4" w:space="0" w:color="auto"/>
              <w:right w:val="single" w:sz="4" w:space="0" w:color="auto"/>
            </w:tcBorders>
            <w:vAlign w:val="center"/>
          </w:tcPr>
          <w:p w14:paraId="66FF0AB1">
            <w:pPr>
              <w:pStyle w:val="style4105"/>
              <w:keepNext w:val="false"/>
              <w:keepLines w:val="false"/>
              <w:pageBreakBefore w:val="false"/>
              <w:widowControl/>
              <w:kinsoku/>
              <w:wordWrap/>
              <w:overflowPunct/>
              <w:topLinePunct w:val="false"/>
              <w:autoSpaceDE w:val="false"/>
              <w:autoSpaceDN w:val="false"/>
              <w:bidi w:val="false"/>
              <w:adjustRightInd/>
              <w:snapToGrid/>
              <w:spacing w:lineRule="auto" w:line="360"/>
              <w:ind w:left="110" w:leftChars="50"/>
              <w:jc w:val="both"/>
              <w:textAlignment w:val="auto"/>
              <w:rPr>
                <w:rFonts w:ascii="宋体" w:cs="宋体" w:eastAsia="宋体" w:hAnsi="宋体" w:hint="eastAsia"/>
                <w:color w:val="auto"/>
                <w:sz w:val="24"/>
                <w:szCs w:val="24"/>
                <w:highlight w:val="none"/>
                <w:lang w:val="zh-CN" w:eastAsia="zh-CN"/>
              </w:rPr>
            </w:pPr>
            <w:r>
              <w:rPr>
                <w:rFonts w:ascii="宋体" w:cs="宋体" w:eastAsia="宋体" w:hAnsi="宋体" w:hint="eastAsia"/>
                <w:color w:val="auto"/>
                <w:sz w:val="24"/>
                <w:szCs w:val="24"/>
                <w:highlight w:val="none"/>
                <w:lang w:val="en-US" w:eastAsia="zh-CN"/>
              </w:rPr>
              <w:t>提供</w:t>
            </w:r>
            <w:r>
              <w:rPr>
                <w:rFonts w:ascii="宋体" w:cs="宋体" w:eastAsia="宋体" w:hAnsi="宋体" w:hint="eastAsia"/>
                <w:color w:val="auto"/>
                <w:sz w:val="24"/>
                <w:szCs w:val="24"/>
                <w:highlight w:val="none"/>
                <w:lang w:val="zh-CN" w:eastAsia="zh-CN"/>
              </w:rPr>
              <w:t>承诺书（格式自拟）</w:t>
            </w:r>
          </w:p>
        </w:tc>
      </w:tr>
      <w:tr w14:paraId="00F32BBC">
        <w:tblPrEx/>
        <w:trPr>
          <w:trHeight w:val="70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0D29EC32">
            <w:pPr>
              <w:pStyle w:val="style0"/>
              <w:spacing w:before="10" w:lineRule="auto" w:line="360"/>
              <w:jc w:val="center"/>
              <w:rPr>
                <w:rFonts w:ascii="宋体" w:cs="宋体" w:eastAsia="宋体" w:hAnsi="宋体" w:hint="eastAsia"/>
                <w:color w:val="auto"/>
                <w:sz w:val="24"/>
                <w:szCs w:val="24"/>
                <w:highlight w:val="none"/>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5C8C9D0B">
            <w:pPr>
              <w:pStyle w:val="style0"/>
              <w:spacing w:before="10" w:lineRule="auto" w:line="360"/>
              <w:jc w:val="center"/>
              <w:rPr>
                <w:rFonts w:ascii="宋体" w:cs="宋体" w:eastAsia="宋体" w:hAnsi="宋体" w:hint="eastAsia"/>
                <w:color w:val="auto"/>
                <w:sz w:val="24"/>
                <w:szCs w:val="24"/>
                <w:highlight w: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05162206">
            <w:pPr>
              <w:pStyle w:val="style4105"/>
              <w:widowControl/>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信誉要求</w:t>
            </w:r>
          </w:p>
        </w:tc>
        <w:tc>
          <w:tcPr>
            <w:tcW w:w="5116" w:type="dxa"/>
            <w:tcBorders>
              <w:top w:val="single" w:sz="4" w:space="0" w:color="auto"/>
              <w:left w:val="single" w:sz="4" w:space="0" w:color="auto"/>
              <w:bottom w:val="single" w:sz="4" w:space="0" w:color="auto"/>
              <w:right w:val="single" w:sz="4" w:space="0" w:color="auto"/>
            </w:tcBorders>
          </w:tcPr>
          <w:p w14:paraId="24DB83E5">
            <w:pPr>
              <w:pStyle w:val="style4105"/>
              <w:keepNext w:val="false"/>
              <w:keepLines w:val="false"/>
              <w:pageBreakBefore w:val="false"/>
              <w:widowControl/>
              <w:tabs>
                <w:tab w:val="left" w:leader="none" w:pos="619"/>
                <w:tab w:val="left" w:leader="none" w:pos="1130"/>
                <w:tab w:val="left" w:leader="none" w:pos="1641"/>
                <w:tab w:val="left" w:leader="none" w:pos="2152"/>
              </w:tabs>
              <w:kinsoku/>
              <w:wordWrap w:val="false"/>
              <w:overflowPunct/>
              <w:topLinePunct w:val="false"/>
              <w:autoSpaceDE w:val="false"/>
              <w:autoSpaceDN w:val="false"/>
              <w:bidi w:val="false"/>
              <w:adjustRightInd/>
              <w:snapToGrid/>
              <w:spacing w:lineRule="auto" w:line="360"/>
              <w:ind w:left="108" w:leftChars="0" w:right="96" w:rightChars="0"/>
              <w:jc w:val="left"/>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磋商的供应商信用情况进行查询、打印留存。若在开标当天查询到供应商有相关负面信息的，则该供应商为无效响应</w:t>
            </w:r>
          </w:p>
        </w:tc>
      </w:tr>
      <w:tr w14:paraId="5FB6DF30">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3689D738">
            <w:pPr>
              <w:pStyle w:val="style0"/>
              <w:spacing w:before="10" w:lineRule="auto" w:line="360"/>
              <w:jc w:val="center"/>
              <w:rPr>
                <w:rFonts w:ascii="宋体" w:cs="宋体" w:eastAsia="宋体" w:hAnsi="宋体" w:hint="eastAsia"/>
                <w:color w:val="auto"/>
                <w:sz w:val="24"/>
                <w:szCs w:val="24"/>
                <w:highlight w:val="none"/>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02244D35">
            <w:pPr>
              <w:pStyle w:val="style0"/>
              <w:spacing w:before="10" w:lineRule="auto" w:line="360"/>
              <w:jc w:val="center"/>
              <w:rPr>
                <w:rFonts w:ascii="宋体" w:cs="宋体" w:eastAsia="宋体" w:hAnsi="宋体" w:hint="eastAsia"/>
                <w:color w:val="auto"/>
                <w:sz w:val="24"/>
                <w:szCs w:val="24"/>
                <w:highlight w:val="none"/>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C78EA92">
            <w:pPr>
              <w:pStyle w:val="style4105"/>
              <w:widowControl/>
              <w:tabs>
                <w:tab w:val="left" w:leader="none" w:pos="619"/>
                <w:tab w:val="left" w:leader="none" w:pos="1130"/>
                <w:tab w:val="left" w:leader="none" w:pos="1641"/>
                <w:tab w:val="left" w:leader="none" w:pos="2152"/>
              </w:tabs>
              <w:spacing w:lineRule="auto" w:line="360"/>
              <w:ind w:left="108" w:leftChars="0" w:right="97" w:rightChars="0"/>
              <w:jc w:val="center"/>
              <w:rPr>
                <w:rFonts w:ascii="宋体" w:cs="宋体" w:eastAsia="宋体" w:hAnsi="宋体" w:hint="eastAsia"/>
                <w:color w:val="auto"/>
                <w:kern w:val="0"/>
                <w:sz w:val="24"/>
                <w:szCs w:val="24"/>
                <w:highlight w:val="none"/>
                <w:lang w:val="en-US" w:bidi="ar-SA" w:eastAsia="zh-CN"/>
              </w:rPr>
            </w:pPr>
            <w:r>
              <w:rPr>
                <w:rFonts w:ascii="宋体" w:cs="宋体" w:eastAsia="宋体" w:hAnsi="宋体" w:hint="eastAsia"/>
                <w:color w:val="auto"/>
                <w:kern w:val="0"/>
                <w:sz w:val="24"/>
                <w:szCs w:val="24"/>
                <w:highlight w:val="none"/>
                <w:lang w:val="en-US" w:eastAsia="zh-CN"/>
              </w:rPr>
              <w:t>单位负责人为同一人或者存在直接控股、管理关系的不同供应商，不得参加同一合同项下的政府采购活动</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1410478">
            <w:pPr>
              <w:pStyle w:val="style4105"/>
              <w:keepNext w:val="false"/>
              <w:keepLines w:val="false"/>
              <w:pageBreakBefore w:val="false"/>
              <w:widowControl/>
              <w:tabs>
                <w:tab w:val="left" w:leader="none" w:pos="619"/>
                <w:tab w:val="left" w:leader="none" w:pos="1130"/>
                <w:tab w:val="left" w:leader="none" w:pos="1641"/>
                <w:tab w:val="left" w:leader="none" w:pos="2152"/>
              </w:tabs>
              <w:kinsoku/>
              <w:wordWrap/>
              <w:overflowPunct/>
              <w:topLinePunct w:val="false"/>
              <w:autoSpaceDE w:val="false"/>
              <w:autoSpaceDN w:val="false"/>
              <w:bidi w:val="false"/>
              <w:adjustRightInd/>
              <w:snapToGrid/>
              <w:spacing w:lineRule="auto" w:line="360"/>
              <w:ind w:left="110" w:leftChars="50" w:right="0" w:rightChars="0"/>
              <w:jc w:val="left"/>
              <w:textAlignment w:val="auto"/>
              <w:rPr>
                <w:rFonts w:ascii="宋体" w:cs="宋体" w:eastAsia="宋体" w:hAnsi="宋体" w:hint="eastAsia"/>
                <w:color w:val="auto"/>
                <w:kern w:val="0"/>
                <w:sz w:val="24"/>
                <w:szCs w:val="24"/>
                <w:highlight w:val="none"/>
                <w:lang w:val="en-US" w:bidi="ar-SA" w:eastAsia="zh-CN"/>
              </w:rPr>
            </w:pPr>
            <w:r>
              <w:rPr>
                <w:rFonts w:cs="宋体" w:hint="eastAsia"/>
                <w:bCs/>
                <w:sz w:val="24"/>
                <w:szCs w:val="24"/>
                <w:highlight w:val="none"/>
                <w:lang w:val="en-US" w:eastAsia="zh-CN"/>
              </w:rPr>
              <w:t>提供</w:t>
            </w:r>
            <w:r>
              <w:rPr>
                <w:rFonts w:ascii="宋体" w:cs="宋体" w:eastAsia="宋体" w:hAnsi="宋体" w:hint="eastAsia"/>
                <w:bCs/>
                <w:sz w:val="24"/>
                <w:szCs w:val="24"/>
                <w:highlight w:val="none"/>
                <w:lang w:val="en-US" w:eastAsia="zh-CN"/>
              </w:rPr>
              <w:t>书面承诺</w:t>
            </w:r>
            <w:r>
              <w:rPr>
                <w:rFonts w:cs="宋体" w:hint="eastAsia"/>
                <w:bCs/>
                <w:sz w:val="24"/>
                <w:szCs w:val="24"/>
                <w:highlight w:val="none"/>
                <w:lang w:val="en-US" w:eastAsia="zh-CN"/>
              </w:rPr>
              <w:t>和</w:t>
            </w:r>
            <w:r>
              <w:rPr>
                <w:rFonts w:ascii="宋体" w:cs="宋体" w:eastAsia="宋体" w:hAnsi="宋体" w:hint="eastAsia"/>
                <w:bCs/>
                <w:sz w:val="24"/>
                <w:szCs w:val="24"/>
                <w:highlight w:val="none"/>
                <w:lang w:val="en-US" w:eastAsia="zh-CN"/>
              </w:rPr>
              <w:t>“国家企业信用信息公示系统”网站查询结果网页截图，查询截图需显示公司基本信息、出资人或股东信息、主</w:t>
            </w:r>
            <w:r>
              <w:rPr>
                <w:rFonts w:ascii="宋体" w:cs="宋体" w:eastAsia="宋体" w:hAnsi="宋体" w:hint="eastAsia"/>
                <w:bCs/>
                <w:color w:val="auto"/>
                <w:sz w:val="24"/>
                <w:szCs w:val="24"/>
                <w:highlight w:val="none"/>
                <w:lang w:val="en-US" w:eastAsia="zh-CN"/>
              </w:rPr>
              <w:t>要人员信息</w:t>
            </w:r>
            <w:r>
              <w:rPr>
                <w:rFonts w:ascii="宋体" w:cs="宋体" w:eastAsia="宋体" w:hAnsi="宋体" w:hint="eastAsia"/>
                <w:color w:val="auto"/>
                <w:kern w:val="0"/>
                <w:sz w:val="24"/>
                <w:szCs w:val="24"/>
                <w:highlight w:val="none"/>
                <w:lang w:val="en-US" w:eastAsia="zh-CN"/>
              </w:rPr>
              <w:t>。</w:t>
            </w:r>
          </w:p>
        </w:tc>
      </w:tr>
      <w:tr w14:paraId="5AD108A8">
        <w:tblPrEx/>
        <w:trPr>
          <w:trHeight w:val="90" w:hRule="atLeast"/>
        </w:trPr>
        <w:tc>
          <w:tcPr>
            <w:tcW w:w="965" w:type="dxa"/>
            <w:vMerge w:val="restart"/>
            <w:tcBorders>
              <w:top w:val="single" w:sz="4" w:space="0" w:color="auto"/>
              <w:left w:val="single" w:sz="4" w:space="0" w:color="auto"/>
              <w:bottom w:val="single" w:sz="4" w:space="0" w:color="auto"/>
              <w:right w:val="single" w:sz="4" w:space="0" w:color="auto"/>
            </w:tcBorders>
            <w:vAlign w:val="center"/>
          </w:tcPr>
          <w:p w14:paraId="725F192D">
            <w:pPr>
              <w:pStyle w:val="style4105"/>
              <w:spacing w:before="10" w:lineRule="auto" w:line="360"/>
              <w:ind w:left="127"/>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2.1.3</w:t>
            </w:r>
          </w:p>
          <w:p w14:paraId="09215BC4">
            <w:pPr>
              <w:pStyle w:val="style4105"/>
              <w:spacing w:before="10" w:lineRule="auto" w:line="360"/>
              <w:ind w:left="127"/>
              <w:jc w:val="center"/>
              <w:rPr>
                <w:rFonts w:ascii="宋体" w:cs="宋体" w:eastAsia="宋体" w:hAnsi="宋体" w:hint="eastAsia"/>
                <w:color w:val="auto"/>
                <w:sz w:val="24"/>
                <w:szCs w:val="24"/>
                <w:highlight w:val="none"/>
              </w:rPr>
            </w:pP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477B923">
            <w:pPr>
              <w:pStyle w:val="style4105"/>
              <w:spacing w:before="10" w:lineRule="auto" w:line="360"/>
              <w:ind w:left="127" w:right="97"/>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响应性评审标准</w:t>
            </w:r>
          </w:p>
        </w:tc>
        <w:tc>
          <w:tcPr>
            <w:tcW w:w="2700" w:type="dxa"/>
            <w:tcBorders>
              <w:top w:val="single" w:sz="4" w:space="0" w:color="auto"/>
              <w:left w:val="single" w:sz="4" w:space="0" w:color="auto"/>
              <w:bottom w:val="single" w:sz="4" w:space="0" w:color="auto"/>
              <w:right w:val="single" w:sz="4" w:space="0" w:color="auto"/>
            </w:tcBorders>
            <w:vAlign w:val="center"/>
          </w:tcPr>
          <w:p w14:paraId="0152CDF0">
            <w:pPr>
              <w:pStyle w:val="style0"/>
              <w:spacing w:before="10"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磋商报价</w:t>
            </w:r>
          </w:p>
        </w:tc>
        <w:tc>
          <w:tcPr>
            <w:tcW w:w="5116" w:type="dxa"/>
            <w:tcBorders>
              <w:top w:val="single" w:sz="4" w:space="0" w:color="auto"/>
              <w:left w:val="single" w:sz="4" w:space="0" w:color="auto"/>
              <w:bottom w:val="single" w:sz="4" w:space="0" w:color="auto"/>
              <w:right w:val="single" w:sz="4" w:space="0" w:color="auto"/>
            </w:tcBorders>
            <w:vAlign w:val="center"/>
          </w:tcPr>
          <w:p w14:paraId="19A571D4">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只能有一个有效报价，且未超出该项目最高限价</w:t>
            </w:r>
          </w:p>
        </w:tc>
      </w:tr>
      <w:tr w14:paraId="6DE3B76B">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7B71184D">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654C09AF">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vAlign w:val="center"/>
          </w:tcPr>
          <w:p w14:paraId="689BB9A1">
            <w:pPr>
              <w:pStyle w:val="style0"/>
              <w:spacing w:before="10"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交货期</w:t>
            </w:r>
          </w:p>
        </w:tc>
        <w:tc>
          <w:tcPr>
            <w:tcW w:w="5116" w:type="dxa"/>
            <w:tcBorders>
              <w:top w:val="single" w:sz="4" w:space="0" w:color="auto"/>
              <w:left w:val="single" w:sz="4" w:space="0" w:color="auto"/>
              <w:bottom w:val="single" w:sz="4" w:space="0" w:color="auto"/>
              <w:right w:val="single" w:sz="4" w:space="0" w:color="auto"/>
            </w:tcBorders>
            <w:vAlign w:val="center"/>
          </w:tcPr>
          <w:p w14:paraId="29DB5995">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符合第二章 供应商须知前附表1.3.2项规定</w:t>
            </w:r>
          </w:p>
        </w:tc>
      </w:tr>
      <w:tr w14:paraId="47B52308">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19203A90">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4F4EC56C">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vAlign w:val="center"/>
          </w:tcPr>
          <w:p w14:paraId="2B5C2C9B">
            <w:pPr>
              <w:pStyle w:val="style0"/>
              <w:spacing w:before="10"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质量要求</w:t>
            </w:r>
          </w:p>
        </w:tc>
        <w:tc>
          <w:tcPr>
            <w:tcW w:w="5116" w:type="dxa"/>
            <w:tcBorders>
              <w:top w:val="single" w:sz="4" w:space="0" w:color="auto"/>
              <w:left w:val="single" w:sz="4" w:space="0" w:color="auto"/>
              <w:bottom w:val="single" w:sz="4" w:space="0" w:color="auto"/>
              <w:right w:val="single" w:sz="4" w:space="0" w:color="auto"/>
            </w:tcBorders>
            <w:vAlign w:val="center"/>
          </w:tcPr>
          <w:p w14:paraId="269BA005">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符合第二章 供应商须知前附表1.3.3项规定</w:t>
            </w:r>
          </w:p>
        </w:tc>
      </w:tr>
      <w:tr w14:paraId="330A6E6D">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55DB1AC5">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07ADE2BD">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vAlign w:val="center"/>
          </w:tcPr>
          <w:p w14:paraId="2E6EFC59">
            <w:pPr>
              <w:pStyle w:val="style0"/>
              <w:spacing w:before="10"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质量保证期</w:t>
            </w:r>
          </w:p>
        </w:tc>
        <w:tc>
          <w:tcPr>
            <w:tcW w:w="5116" w:type="dxa"/>
            <w:tcBorders>
              <w:top w:val="single" w:sz="4" w:space="0" w:color="auto"/>
              <w:left w:val="single" w:sz="4" w:space="0" w:color="auto"/>
              <w:bottom w:val="single" w:sz="4" w:space="0" w:color="auto"/>
              <w:right w:val="single" w:sz="4" w:space="0" w:color="auto"/>
            </w:tcBorders>
            <w:vAlign w:val="center"/>
          </w:tcPr>
          <w:p w14:paraId="756D49AB">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符合第二章 供应商须知前附表1.3.4项规定</w:t>
            </w:r>
          </w:p>
        </w:tc>
      </w:tr>
      <w:tr w14:paraId="687C7782">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7996D769">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7BF3ECE1">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5E8825B">
            <w:pPr>
              <w:pStyle w:val="style0"/>
              <w:spacing w:before="10" w:lineRule="auto" w:line="360"/>
              <w:jc w:val="center"/>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eastAsia="zh-CN"/>
              </w:rPr>
              <w:t>交货地点</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FA1C8D9">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val="en-US" w:bidi="ar-SA" w:eastAsia="zh-CN"/>
              </w:rPr>
            </w:pPr>
            <w:r>
              <w:rPr>
                <w:rFonts w:ascii="宋体" w:cs="宋体" w:eastAsia="宋体" w:hAnsi="宋体" w:hint="eastAsia"/>
                <w:color w:val="auto"/>
                <w:sz w:val="24"/>
                <w:szCs w:val="24"/>
                <w:highlight w:val="none"/>
                <w:lang w:eastAsia="zh-CN"/>
              </w:rPr>
              <w:t>符合第二章 供应商须知前附表1.</w:t>
            </w:r>
            <w:r>
              <w:rPr>
                <w:rFonts w:ascii="宋体" w:cs="宋体" w:eastAsia="宋体" w:hAnsi="宋体" w:hint="eastAsia"/>
                <w:color w:val="auto"/>
                <w:sz w:val="24"/>
                <w:szCs w:val="24"/>
                <w:highlight w:val="none"/>
                <w:lang w:val="en-US" w:eastAsia="zh-CN"/>
              </w:rPr>
              <w:t>3.5</w:t>
            </w:r>
            <w:r>
              <w:rPr>
                <w:rFonts w:ascii="宋体" w:cs="宋体" w:eastAsia="宋体" w:hAnsi="宋体" w:hint="eastAsia"/>
                <w:color w:val="auto"/>
                <w:sz w:val="24"/>
                <w:szCs w:val="24"/>
                <w:highlight w:val="none"/>
                <w:lang w:eastAsia="zh-CN"/>
              </w:rPr>
              <w:t>项规定</w:t>
            </w:r>
          </w:p>
        </w:tc>
      </w:tr>
      <w:tr w14:paraId="28104AE5">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7986D0B3">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5D0C410D">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vAlign w:val="center"/>
          </w:tcPr>
          <w:p w14:paraId="2810CA83">
            <w:pPr>
              <w:pStyle w:val="style0"/>
              <w:spacing w:before="10"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磋商有效期</w:t>
            </w:r>
          </w:p>
        </w:tc>
        <w:tc>
          <w:tcPr>
            <w:tcW w:w="5116" w:type="dxa"/>
            <w:tcBorders>
              <w:top w:val="single" w:sz="4" w:space="0" w:color="auto"/>
              <w:left w:val="single" w:sz="4" w:space="0" w:color="auto"/>
              <w:bottom w:val="single" w:sz="4" w:space="0" w:color="auto"/>
              <w:right w:val="single" w:sz="4" w:space="0" w:color="auto"/>
            </w:tcBorders>
            <w:vAlign w:val="center"/>
          </w:tcPr>
          <w:p w14:paraId="1CE70EA7">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符合第二章 供应商须知前附表3.</w:t>
            </w:r>
            <w:r>
              <w:rPr>
                <w:rFonts w:ascii="宋体" w:cs="宋体" w:eastAsia="宋体" w:hAnsi="宋体" w:hint="eastAsia"/>
                <w:color w:val="auto"/>
                <w:sz w:val="24"/>
                <w:szCs w:val="24"/>
                <w:highlight w:val="none"/>
                <w:lang w:val="en-US" w:eastAsia="zh-CN"/>
              </w:rPr>
              <w:t>4</w:t>
            </w:r>
            <w:r>
              <w:rPr>
                <w:rFonts w:ascii="宋体" w:cs="宋体" w:eastAsia="宋体" w:hAnsi="宋体" w:hint="eastAsia"/>
                <w:color w:val="auto"/>
                <w:sz w:val="24"/>
                <w:szCs w:val="24"/>
                <w:highlight w:val="none"/>
                <w:lang w:eastAsia="zh-CN"/>
              </w:rPr>
              <w:t>.1项规定</w:t>
            </w:r>
          </w:p>
        </w:tc>
      </w:tr>
      <w:tr w14:paraId="664AC422">
        <w:tblPrEx/>
        <w:trPr>
          <w:trHeight w:val="90" w:hRule="atLeast"/>
        </w:trPr>
        <w:tc>
          <w:tcPr>
            <w:tcW w:w="965" w:type="dxa"/>
            <w:vMerge w:val="continue"/>
            <w:tcBorders>
              <w:top w:val="single" w:sz="4" w:space="0" w:color="auto"/>
              <w:left w:val="single" w:sz="4" w:space="0" w:color="auto"/>
              <w:bottom w:val="single" w:sz="4" w:space="0" w:color="auto"/>
              <w:right w:val="single" w:sz="4" w:space="0" w:color="auto"/>
            </w:tcBorders>
            <w:vAlign w:val="center"/>
          </w:tcPr>
          <w:p w14:paraId="756F3EC6">
            <w:pPr>
              <w:pStyle w:val="style4105"/>
              <w:spacing w:before="10" w:lineRule="auto" w:line="360"/>
              <w:ind w:left="127"/>
              <w:jc w:val="center"/>
              <w:rPr>
                <w:rFonts w:ascii="宋体" w:cs="宋体" w:eastAsia="宋体" w:hAnsi="宋体" w:hint="eastAsia"/>
                <w:color w:val="auto"/>
                <w:sz w:val="24"/>
                <w:szCs w:val="24"/>
                <w:highlight w:val="none"/>
                <w:lang w:eastAsia="zh-CN"/>
              </w:rPr>
            </w:pPr>
          </w:p>
        </w:tc>
        <w:tc>
          <w:tcPr>
            <w:tcW w:w="937" w:type="dxa"/>
            <w:vMerge w:val="continue"/>
            <w:tcBorders>
              <w:top w:val="single" w:sz="4" w:space="0" w:color="auto"/>
              <w:left w:val="single" w:sz="4" w:space="0" w:color="auto"/>
              <w:bottom w:val="single" w:sz="4" w:space="0" w:color="auto"/>
              <w:right w:val="single" w:sz="4" w:space="0" w:color="auto"/>
            </w:tcBorders>
            <w:vAlign w:val="center"/>
          </w:tcPr>
          <w:p w14:paraId="0C728CED">
            <w:pPr>
              <w:pStyle w:val="style4105"/>
              <w:spacing w:before="10" w:lineRule="auto" w:line="360"/>
              <w:ind w:left="127" w:right="97"/>
              <w:jc w:val="center"/>
              <w:rPr>
                <w:rFonts w:ascii="宋体" w:cs="宋体" w:eastAsia="宋体" w:hAnsi="宋体" w:hint="eastAsia"/>
                <w:color w:val="auto"/>
                <w:sz w:val="24"/>
                <w:szCs w:val="24"/>
                <w:highlight w:val="none"/>
                <w:lang w:eastAsia="zh-CN"/>
              </w:rPr>
            </w:pPr>
          </w:p>
        </w:tc>
        <w:tc>
          <w:tcPr>
            <w:tcW w:w="2700" w:type="dxa"/>
            <w:tcBorders>
              <w:top w:val="single" w:sz="4" w:space="0" w:color="auto"/>
              <w:left w:val="single" w:sz="4" w:space="0" w:color="auto"/>
              <w:bottom w:val="single" w:sz="4" w:space="0" w:color="auto"/>
              <w:right w:val="single" w:sz="4" w:space="0" w:color="auto"/>
            </w:tcBorders>
            <w:vAlign w:val="center"/>
          </w:tcPr>
          <w:p w14:paraId="053EF6CD">
            <w:pPr>
              <w:pStyle w:val="style0"/>
              <w:spacing w:before="10"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其它实质性条款</w:t>
            </w:r>
          </w:p>
        </w:tc>
        <w:tc>
          <w:tcPr>
            <w:tcW w:w="5116" w:type="dxa"/>
            <w:tcBorders>
              <w:top w:val="single" w:sz="4" w:space="0" w:color="auto"/>
              <w:left w:val="single" w:sz="4" w:space="0" w:color="auto"/>
              <w:bottom w:val="single" w:sz="4" w:space="0" w:color="auto"/>
              <w:right w:val="single" w:sz="4" w:space="0" w:color="auto"/>
            </w:tcBorders>
            <w:vAlign w:val="center"/>
          </w:tcPr>
          <w:p w14:paraId="7CEBE40D">
            <w:pPr>
              <w:pStyle w:val="style0"/>
              <w:keepNext w:val="false"/>
              <w:keepLines w:val="false"/>
              <w:pageBreakBefore w:val="false"/>
              <w:widowControl w:val="false"/>
              <w:kinsoku/>
              <w:wordWrap/>
              <w:overflowPunct/>
              <w:topLinePunct w:val="false"/>
              <w:autoSpaceDE w:val="false"/>
              <w:autoSpaceDN w:val="false"/>
              <w:bidi w:val="false"/>
              <w:adjustRightInd/>
              <w:snapToGrid/>
              <w:spacing w:before="10" w:lineRule="auto" w:line="360"/>
              <w:ind w:left="110" w:leftChars="50" w:right="0" w:rightChars="0"/>
              <w:jc w:val="left"/>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符合竞争性磋商文件中规定的其它实质性条款</w:t>
            </w:r>
          </w:p>
        </w:tc>
      </w:tr>
    </w:tbl>
    <w:p w14:paraId="7F1DA51C">
      <w:pPr>
        <w:pStyle w:val="style0"/>
        <w:rPr>
          <w:rFonts w:ascii="宋体" w:cs="宋体" w:eastAsia="宋体" w:hAnsi="宋体" w:hint="eastAsia"/>
          <w:b/>
          <w:bCs/>
          <w:color w:val="auto"/>
          <w:sz w:val="32"/>
          <w:szCs w:val="32"/>
          <w:highlight w:val="none"/>
        </w:rPr>
      </w:pPr>
      <w:r>
        <w:rPr>
          <w:rFonts w:ascii="宋体" w:cs="宋体" w:eastAsia="宋体" w:hAnsi="宋体" w:hint="eastAsia"/>
          <w:b/>
          <w:bCs/>
          <w:color w:val="auto"/>
          <w:sz w:val="32"/>
          <w:szCs w:val="32"/>
          <w:highlight w:val="none"/>
        </w:rPr>
        <w:br w:type="page"/>
      </w:r>
    </w:p>
    <w:p w14:paraId="145D7FD3">
      <w:pPr>
        <w:pStyle w:val="style0"/>
        <w:numPr>
          <w:ilvl w:val="0"/>
          <w:numId w:val="0"/>
        </w:numPr>
        <w:spacing w:before="186" w:lineRule="auto" w:line="360"/>
        <w:ind w:right="144" w:rightChars="0"/>
        <w:jc w:val="center"/>
        <w:outlineLvl w:val="9"/>
        <w:rPr>
          <w:rFonts w:ascii="宋体" w:cs="宋体" w:eastAsia="宋体" w:hAnsi="宋体" w:hint="eastAsia"/>
          <w:b/>
          <w:bCs/>
          <w:color w:val="auto"/>
          <w:sz w:val="28"/>
          <w:szCs w:val="28"/>
          <w:highlight w:val="none"/>
          <w:lang w:val="en-US" w:eastAsia="zh-CN"/>
        </w:rPr>
      </w:pPr>
      <w:r>
        <w:rPr>
          <w:rFonts w:ascii="宋体" w:cs="宋体" w:eastAsia="宋体" w:hAnsi="宋体" w:hint="eastAsia"/>
          <w:b/>
          <w:bCs/>
          <w:color w:val="auto"/>
          <w:sz w:val="28"/>
          <w:szCs w:val="28"/>
          <w:lang w:val="en-US" w:bidi="ar-SA" w:eastAsia="zh-CN"/>
        </w:rPr>
        <w:t>二、</w:t>
      </w:r>
      <w:r>
        <w:rPr>
          <w:rFonts w:ascii="宋体" w:cs="宋体" w:eastAsia="宋体" w:hAnsi="宋体" w:hint="eastAsia"/>
          <w:b/>
          <w:bCs/>
          <w:color w:val="auto"/>
          <w:sz w:val="28"/>
          <w:szCs w:val="28"/>
          <w:highlight w:val="none"/>
          <w:lang w:val="en-US" w:eastAsia="zh-CN"/>
        </w:rPr>
        <w:t>评分标准</w:t>
      </w:r>
    </w:p>
    <w:tbl>
      <w:tblPr>
        <w:tblStyle w:val="style105"/>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850"/>
        <w:gridCol w:w="1129"/>
        <w:gridCol w:w="1328"/>
        <w:gridCol w:w="372"/>
        <w:gridCol w:w="1284"/>
        <w:gridCol w:w="1490"/>
        <w:gridCol w:w="2889"/>
      </w:tblGrid>
      <w:tr w14:paraId="74BDF81F">
        <w:trPr>
          <w:trHeight w:val="90" w:hRule="atLeast"/>
        </w:trPr>
        <w:tc>
          <w:tcPr>
            <w:tcW w:w="1979" w:type="dxa"/>
            <w:gridSpan w:val="2"/>
            <w:tcBorders>
              <w:top w:val="single" w:sz="4" w:space="0" w:color="auto"/>
              <w:left w:val="single" w:sz="4" w:space="0" w:color="auto"/>
              <w:bottom w:val="single" w:sz="4" w:space="0" w:color="auto"/>
              <w:right w:val="single" w:sz="4" w:space="0" w:color="auto"/>
            </w:tcBorders>
            <w:vAlign w:val="center"/>
          </w:tcPr>
          <w:p w14:paraId="30AFDB81">
            <w:pPr>
              <w:pStyle w:val="style0"/>
              <w:spacing w:lineRule="auto" w:line="360"/>
              <w:jc w:val="center"/>
              <w:rPr>
                <w:rFonts w:ascii="宋体" w:cs="宋体" w:eastAsia="宋体" w:hAnsi="宋体" w:hint="eastAsia"/>
                <w:b/>
                <w:color w:val="000000"/>
                <w:sz w:val="24"/>
                <w:szCs w:val="24"/>
                <w:highlight w:val="none"/>
              </w:rPr>
            </w:pPr>
            <w:r>
              <w:rPr>
                <w:rFonts w:ascii="宋体" w:cs="宋体" w:eastAsia="宋体" w:hAnsi="宋体" w:hint="eastAsia"/>
                <w:b/>
                <w:color w:val="000000"/>
                <w:sz w:val="24"/>
                <w:szCs w:val="24"/>
                <w:highlight w:val="none"/>
              </w:rPr>
              <w:t>条款号</w:t>
            </w:r>
          </w:p>
        </w:tc>
        <w:tc>
          <w:tcPr>
            <w:tcW w:w="2984" w:type="dxa"/>
            <w:gridSpan w:val="3"/>
            <w:tcBorders>
              <w:top w:val="single" w:sz="4" w:space="0" w:color="auto"/>
              <w:left w:val="single" w:sz="4" w:space="0" w:color="auto"/>
              <w:bottom w:val="single" w:sz="4" w:space="0" w:color="auto"/>
              <w:right w:val="single" w:sz="4" w:space="0" w:color="auto"/>
            </w:tcBorders>
            <w:vAlign w:val="center"/>
          </w:tcPr>
          <w:p w14:paraId="056AD099">
            <w:pPr>
              <w:pStyle w:val="style0"/>
              <w:spacing w:lineRule="auto" w:line="360"/>
              <w:jc w:val="center"/>
              <w:rPr>
                <w:rFonts w:ascii="宋体" w:cs="宋体" w:eastAsia="宋体" w:hAnsi="宋体" w:hint="eastAsia"/>
                <w:b/>
                <w:color w:val="000000"/>
                <w:sz w:val="24"/>
                <w:szCs w:val="24"/>
                <w:highlight w:val="none"/>
              </w:rPr>
            </w:pPr>
            <w:r>
              <w:rPr>
                <w:rFonts w:ascii="宋体" w:cs="宋体" w:eastAsia="宋体" w:hAnsi="宋体" w:hint="eastAsia"/>
                <w:b/>
                <w:color w:val="000000"/>
                <w:sz w:val="24"/>
                <w:szCs w:val="24"/>
                <w:highlight w:val="none"/>
              </w:rPr>
              <w:t>条款内容</w:t>
            </w:r>
          </w:p>
        </w:tc>
        <w:tc>
          <w:tcPr>
            <w:tcW w:w="4379" w:type="dxa"/>
            <w:gridSpan w:val="2"/>
            <w:tcBorders>
              <w:top w:val="single" w:sz="4" w:space="0" w:color="auto"/>
              <w:left w:val="single" w:sz="4" w:space="0" w:color="auto"/>
              <w:bottom w:val="single" w:sz="4" w:space="0" w:color="auto"/>
              <w:right w:val="single" w:sz="4" w:space="0" w:color="auto"/>
            </w:tcBorders>
            <w:vAlign w:val="center"/>
          </w:tcPr>
          <w:p w14:paraId="7E8A87CD">
            <w:pPr>
              <w:pStyle w:val="style0"/>
              <w:spacing w:lineRule="auto" w:line="360"/>
              <w:jc w:val="center"/>
              <w:rPr>
                <w:rFonts w:ascii="宋体" w:cs="宋体" w:eastAsia="宋体" w:hAnsi="宋体" w:hint="eastAsia"/>
                <w:b/>
                <w:color w:val="000000"/>
                <w:sz w:val="24"/>
                <w:szCs w:val="24"/>
                <w:highlight w:val="none"/>
              </w:rPr>
            </w:pPr>
            <w:r>
              <w:rPr>
                <w:rFonts w:ascii="宋体" w:cs="宋体" w:eastAsia="宋体" w:hAnsi="宋体" w:hint="eastAsia"/>
                <w:b/>
                <w:color w:val="000000"/>
                <w:sz w:val="24"/>
                <w:szCs w:val="24"/>
                <w:highlight w:val="none"/>
              </w:rPr>
              <w:t>编列内容</w:t>
            </w:r>
          </w:p>
        </w:tc>
      </w:tr>
      <w:tr w14:paraId="4FC8C45D">
        <w:tblPrEx/>
        <w:trPr>
          <w:trHeight w:val="90" w:hRule="atLeast"/>
        </w:trPr>
        <w:tc>
          <w:tcPr>
            <w:tcW w:w="1979" w:type="dxa"/>
            <w:gridSpan w:val="2"/>
            <w:tcBorders>
              <w:top w:val="nil"/>
              <w:left w:val="single" w:sz="4" w:space="0" w:color="auto"/>
              <w:bottom w:val="single" w:sz="4" w:space="0" w:color="auto"/>
              <w:right w:val="single" w:sz="4" w:space="0" w:color="auto"/>
            </w:tcBorders>
            <w:vAlign w:val="center"/>
          </w:tcPr>
          <w:p w14:paraId="585AB995">
            <w:pPr>
              <w:pStyle w:val="style0"/>
              <w:spacing w:lineRule="auto" w:line="360"/>
              <w:jc w:val="center"/>
              <w:rPr>
                <w:rFonts w:ascii="宋体" w:cs="宋体" w:eastAsia="宋体" w:hAnsi="宋体" w:hint="eastAsia"/>
                <w:color w:val="000000"/>
                <w:sz w:val="24"/>
                <w:szCs w:val="24"/>
                <w:highlight w:val="none"/>
              </w:rPr>
            </w:pPr>
            <w:r>
              <w:rPr>
                <w:rFonts w:ascii="宋体" w:cs="宋体" w:eastAsia="宋体" w:hAnsi="宋体" w:hint="eastAsia"/>
                <w:color w:val="000000"/>
                <w:sz w:val="24"/>
                <w:szCs w:val="24"/>
                <w:highlight w:val="none"/>
              </w:rPr>
              <w:t>3</w:t>
            </w:r>
          </w:p>
        </w:tc>
        <w:tc>
          <w:tcPr>
            <w:tcW w:w="2984" w:type="dxa"/>
            <w:gridSpan w:val="3"/>
            <w:tcBorders>
              <w:top w:val="single" w:sz="4" w:space="0" w:color="auto"/>
              <w:left w:val="single" w:sz="4" w:space="0" w:color="auto"/>
              <w:bottom w:val="single" w:sz="4" w:space="0" w:color="auto"/>
              <w:right w:val="single" w:sz="4" w:space="0" w:color="auto"/>
            </w:tcBorders>
            <w:vAlign w:val="center"/>
          </w:tcPr>
          <w:p w14:paraId="64E0EF19">
            <w:pPr>
              <w:pStyle w:val="style0"/>
              <w:spacing w:lineRule="auto" w:line="360"/>
              <w:jc w:val="center"/>
              <w:rPr>
                <w:rFonts w:ascii="宋体" w:cs="宋体" w:eastAsia="宋体" w:hAnsi="宋体" w:hint="eastAsia"/>
                <w:color w:val="000000"/>
                <w:sz w:val="24"/>
                <w:szCs w:val="24"/>
                <w:highlight w:val="none"/>
              </w:rPr>
            </w:pPr>
            <w:r>
              <w:rPr>
                <w:rFonts w:ascii="宋体" w:cs="宋体" w:eastAsia="宋体" w:hAnsi="宋体" w:hint="eastAsia"/>
                <w:color w:val="000000"/>
                <w:sz w:val="24"/>
                <w:szCs w:val="24"/>
                <w:highlight w:val="none"/>
              </w:rPr>
              <w:t>分值构成</w:t>
            </w:r>
          </w:p>
          <w:p w14:paraId="56FA9D1A">
            <w:pPr>
              <w:pStyle w:val="style0"/>
              <w:spacing w:lineRule="auto" w:line="360"/>
              <w:jc w:val="center"/>
              <w:rPr>
                <w:rFonts w:ascii="宋体" w:cs="宋体" w:eastAsia="宋体" w:hAnsi="宋体" w:hint="eastAsia"/>
                <w:color w:val="000000"/>
                <w:sz w:val="24"/>
                <w:szCs w:val="24"/>
                <w:highlight w:val="none"/>
              </w:rPr>
            </w:pPr>
            <w:r>
              <w:rPr>
                <w:rFonts w:ascii="宋体" w:cs="宋体" w:eastAsia="宋体" w:hAnsi="宋体" w:hint="eastAsia"/>
                <w:color w:val="000000"/>
                <w:sz w:val="24"/>
                <w:szCs w:val="24"/>
                <w:highlight w:val="none"/>
              </w:rPr>
              <w:t>(总分100分)</w:t>
            </w:r>
          </w:p>
        </w:tc>
        <w:tc>
          <w:tcPr>
            <w:tcW w:w="4379" w:type="dxa"/>
            <w:gridSpan w:val="2"/>
            <w:tcBorders>
              <w:top w:val="single" w:sz="4" w:space="0" w:color="auto"/>
              <w:left w:val="single" w:sz="4" w:space="0" w:color="auto"/>
              <w:bottom w:val="single" w:sz="4" w:space="0" w:color="auto"/>
              <w:right w:val="single" w:sz="4" w:space="0" w:color="auto"/>
            </w:tcBorders>
            <w:vAlign w:val="center"/>
          </w:tcPr>
          <w:p w14:paraId="75A8A186">
            <w:pPr>
              <w:pStyle w:val="style0"/>
              <w:spacing w:lineRule="auto" w:line="360"/>
              <w:rPr>
                <w:rFonts w:ascii="宋体" w:cs="宋体" w:eastAsia="宋体" w:hAnsi="宋体" w:hint="eastAsia"/>
                <w:color w:val="000000"/>
                <w:sz w:val="24"/>
                <w:szCs w:val="24"/>
                <w:highlight w:val="none"/>
              </w:rPr>
            </w:pPr>
            <w:r>
              <w:rPr>
                <w:rFonts w:ascii="宋体" w:cs="宋体" w:eastAsia="宋体" w:hAnsi="宋体" w:hint="eastAsia"/>
                <w:color w:val="000000"/>
                <w:sz w:val="24"/>
                <w:szCs w:val="24"/>
                <w:highlight w:val="none"/>
              </w:rPr>
              <w:t>投标报价：30分</w:t>
            </w:r>
          </w:p>
          <w:p w14:paraId="1B45F3B3">
            <w:pPr>
              <w:pStyle w:val="style0"/>
              <w:spacing w:lineRule="auto" w:line="360"/>
              <w:rPr>
                <w:rFonts w:ascii="宋体" w:cs="宋体" w:eastAsia="宋体" w:hAnsi="宋体" w:hint="eastAsia"/>
                <w:color w:val="000000"/>
                <w:sz w:val="24"/>
                <w:szCs w:val="24"/>
                <w:highlight w:val="none"/>
              </w:rPr>
            </w:pPr>
            <w:r>
              <w:rPr>
                <w:rFonts w:ascii="宋体" w:cs="宋体" w:eastAsia="宋体" w:hAnsi="宋体" w:hint="eastAsia"/>
                <w:color w:val="000000"/>
                <w:sz w:val="24"/>
                <w:szCs w:val="24"/>
                <w:highlight w:val="none"/>
              </w:rPr>
              <w:t>技术标部分：</w:t>
            </w:r>
            <w:r>
              <w:rPr>
                <w:rFonts w:ascii="宋体" w:cs="宋体" w:eastAsia="宋体" w:hAnsi="宋体" w:hint="eastAsia"/>
                <w:color w:val="000000"/>
                <w:sz w:val="24"/>
                <w:szCs w:val="24"/>
                <w:highlight w:val="none"/>
                <w:lang w:val="en-US" w:eastAsia="zh-CN"/>
              </w:rPr>
              <w:t>60</w:t>
            </w:r>
            <w:r>
              <w:rPr>
                <w:rFonts w:ascii="宋体" w:cs="宋体" w:eastAsia="宋体" w:hAnsi="宋体" w:hint="eastAsia"/>
                <w:color w:val="000000"/>
                <w:sz w:val="24"/>
                <w:szCs w:val="24"/>
                <w:highlight w:val="none"/>
              </w:rPr>
              <w:t>分</w:t>
            </w:r>
          </w:p>
          <w:p w14:paraId="0F8F12F1">
            <w:pPr>
              <w:pStyle w:val="style0"/>
              <w:spacing w:lineRule="auto" w:line="360"/>
              <w:rPr>
                <w:rFonts w:ascii="宋体" w:cs="宋体" w:eastAsia="宋体" w:hAnsi="宋体" w:hint="eastAsia"/>
                <w:color w:val="000000"/>
                <w:sz w:val="24"/>
                <w:szCs w:val="24"/>
                <w:highlight w:val="none"/>
              </w:rPr>
            </w:pPr>
            <w:r>
              <w:rPr>
                <w:rFonts w:ascii="宋体" w:cs="宋体" w:eastAsia="宋体" w:hAnsi="宋体" w:hint="eastAsia"/>
                <w:color w:val="000000"/>
                <w:sz w:val="24"/>
                <w:szCs w:val="24"/>
                <w:highlight w:val="none"/>
              </w:rPr>
              <w:t>商务标部分：</w:t>
            </w:r>
            <w:r>
              <w:rPr>
                <w:rFonts w:ascii="宋体" w:cs="宋体" w:eastAsia="宋体" w:hAnsi="宋体" w:hint="eastAsia"/>
                <w:color w:val="000000"/>
                <w:sz w:val="24"/>
                <w:szCs w:val="24"/>
                <w:highlight w:val="none"/>
                <w:lang w:val="en-US" w:eastAsia="zh-CN"/>
              </w:rPr>
              <w:t>10</w:t>
            </w:r>
            <w:r>
              <w:rPr>
                <w:rFonts w:ascii="宋体" w:cs="宋体" w:eastAsia="宋体" w:hAnsi="宋体" w:hint="eastAsia"/>
                <w:color w:val="000000"/>
                <w:sz w:val="24"/>
                <w:szCs w:val="24"/>
                <w:highlight w:val="none"/>
              </w:rPr>
              <w:t>分</w:t>
            </w:r>
          </w:p>
        </w:tc>
      </w:tr>
      <w:tr w14:paraId="7B0B1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hRule="atLeast"/>
        </w:trPr>
        <w:tc>
          <w:tcPr>
            <w:tcW w:w="850" w:type="dxa"/>
            <w:tcBorders/>
          </w:tcPr>
          <w:p w14:paraId="7EDC1989">
            <w:pPr>
              <w:pStyle w:val="style0"/>
              <w:spacing w:lineRule="auto" w:line="360"/>
              <w:jc w:val="center"/>
              <w:rPr>
                <w:rFonts w:ascii="宋体" w:cs="宋体" w:eastAsia="宋体" w:hAnsi="宋体" w:hint="eastAsia"/>
                <w:b/>
                <w:sz w:val="24"/>
                <w:szCs w:val="24"/>
                <w:highlight w:val="none"/>
              </w:rPr>
            </w:pPr>
          </w:p>
        </w:tc>
        <w:tc>
          <w:tcPr>
            <w:tcW w:w="2829" w:type="dxa"/>
            <w:gridSpan w:val="3"/>
            <w:tcBorders/>
            <w:vAlign w:val="center"/>
          </w:tcPr>
          <w:p w14:paraId="754673B7">
            <w:pPr>
              <w:pStyle w:val="style0"/>
              <w:spacing w:lineRule="auto" w:line="360"/>
              <w:jc w:val="center"/>
              <w:rPr>
                <w:rFonts w:ascii="宋体" w:cs="宋体" w:eastAsia="宋体" w:hAnsi="宋体" w:hint="eastAsia"/>
                <w:sz w:val="24"/>
                <w:szCs w:val="24"/>
                <w:highlight w:val="none"/>
              </w:rPr>
            </w:pPr>
            <w:r>
              <w:rPr>
                <w:rFonts w:ascii="宋体" w:cs="宋体" w:eastAsia="宋体" w:hAnsi="宋体" w:hint="eastAsia"/>
                <w:b/>
                <w:sz w:val="24"/>
                <w:szCs w:val="24"/>
                <w:highlight w:val="none"/>
              </w:rPr>
              <w:t>条款号</w:t>
            </w:r>
          </w:p>
        </w:tc>
        <w:tc>
          <w:tcPr>
            <w:tcW w:w="2774" w:type="dxa"/>
            <w:gridSpan w:val="2"/>
            <w:tcBorders/>
            <w:vAlign w:val="center"/>
          </w:tcPr>
          <w:p w14:paraId="4ECAA930">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评审因素</w:t>
            </w:r>
          </w:p>
        </w:tc>
        <w:tc>
          <w:tcPr>
            <w:tcW w:w="2889" w:type="dxa"/>
            <w:tcBorders/>
            <w:vAlign w:val="center"/>
          </w:tcPr>
          <w:p w14:paraId="212851B1">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评审标准</w:t>
            </w:r>
          </w:p>
        </w:tc>
      </w:tr>
      <w:tr w14:paraId="42D91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hRule="atLeast"/>
        </w:trPr>
        <w:tc>
          <w:tcPr>
            <w:tcW w:w="850" w:type="dxa"/>
            <w:tcBorders/>
            <w:vAlign w:val="center"/>
          </w:tcPr>
          <w:p w14:paraId="089FB7CE">
            <w:pPr>
              <w:pStyle w:val="style0"/>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3.1</w:t>
            </w:r>
          </w:p>
        </w:tc>
        <w:tc>
          <w:tcPr>
            <w:tcW w:w="1129" w:type="dxa"/>
            <w:tcBorders/>
            <w:vAlign w:val="center"/>
          </w:tcPr>
          <w:p w14:paraId="750F0024">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投标</w:t>
            </w:r>
          </w:p>
          <w:p w14:paraId="1AD1C00E">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 xml:space="preserve">报价  </w:t>
            </w:r>
          </w:p>
          <w:p w14:paraId="50141E1F">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（30分）</w:t>
            </w:r>
          </w:p>
        </w:tc>
        <w:tc>
          <w:tcPr>
            <w:tcW w:w="7363" w:type="dxa"/>
            <w:gridSpan w:val="5"/>
            <w:tcBorders/>
            <w:vAlign w:val="center"/>
          </w:tcPr>
          <w:p w14:paraId="4A83A272">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（1）评标基准价：综合评分法中的价格分统一采用低价优先法计算，即满足招标文件要求且投标报价</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lang w:val="en-US" w:eastAsia="zh-CN"/>
              </w:rPr>
              <w:t>总价）</w:t>
            </w:r>
            <w:r>
              <w:rPr>
                <w:rFonts w:ascii="宋体" w:cs="宋体" w:eastAsia="宋体" w:hAnsi="宋体" w:hint="eastAsia"/>
                <w:sz w:val="24"/>
                <w:szCs w:val="24"/>
                <w:highlight w:val="none"/>
              </w:rPr>
              <w:t>最低的为评标基准价。</w:t>
            </w:r>
          </w:p>
          <w:p w14:paraId="2FDED844">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（2）投标人报价</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lang w:val="en-US" w:eastAsia="zh-CN"/>
              </w:rPr>
              <w:t>总价）</w:t>
            </w:r>
            <w:r>
              <w:rPr>
                <w:rFonts w:ascii="宋体" w:cs="宋体" w:eastAsia="宋体" w:hAnsi="宋体" w:hint="eastAsia"/>
                <w:sz w:val="24"/>
                <w:szCs w:val="24"/>
                <w:highlight w:val="none"/>
              </w:rPr>
              <w:t>等于评标基准价的其价格分为满分30分。</w:t>
            </w:r>
          </w:p>
          <w:p w14:paraId="26AF1D08">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其他投标人的投标报价得分按照下列公式计算：</w:t>
            </w:r>
          </w:p>
          <w:p w14:paraId="12ED1731">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投标报价得分=（评标基准价/投标报价</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lang w:val="en-US" w:eastAsia="zh-CN"/>
              </w:rPr>
              <w:t>总价</w:t>
            </w:r>
            <w:r>
              <w:rPr>
                <w:rFonts w:ascii="宋体" w:cs="宋体" w:eastAsia="宋体" w:hAnsi="宋体" w:hint="eastAsia"/>
                <w:sz w:val="24"/>
                <w:szCs w:val="24"/>
                <w:highlight w:val="none"/>
              </w:rPr>
              <w:t>）×30%×100</w:t>
            </w:r>
          </w:p>
          <w:p w14:paraId="6D0E1DAE">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注：1、投标报价超过最高限价按无效投标处理。</w:t>
            </w:r>
          </w:p>
          <w:p w14:paraId="4B1AC3E7">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2、</w:t>
            </w:r>
            <w:r>
              <w:rPr>
                <w:rFonts w:ascii="宋体" w:cs="宋体" w:eastAsia="宋体" w:hAnsi="宋体" w:hint="eastAsia"/>
                <w:sz w:val="24"/>
                <w:szCs w:val="24"/>
                <w:highlight w:val="none"/>
              </w:rPr>
              <w:t>评审时给予小型或微型企业</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0%的价格扣除优惠，用扣除后的价格参与评审。供应商须提供中小企业声明函，否则不予认可。</w:t>
            </w:r>
          </w:p>
          <w:p w14:paraId="71862DEA">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3</w:t>
            </w:r>
            <w:r>
              <w:rPr>
                <w:rFonts w:ascii="宋体" w:cs="宋体" w:eastAsia="宋体" w:hAnsi="宋体" w:hint="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5083F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9" w:hRule="atLeast"/>
        </w:trPr>
        <w:tc>
          <w:tcPr>
            <w:tcW w:w="850" w:type="dxa"/>
            <w:vMerge w:val="restart"/>
            <w:tcBorders/>
            <w:vAlign w:val="center"/>
          </w:tcPr>
          <w:p w14:paraId="63409CC1">
            <w:pPr>
              <w:pStyle w:val="style0"/>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3.2</w:t>
            </w:r>
          </w:p>
        </w:tc>
        <w:tc>
          <w:tcPr>
            <w:tcW w:w="1129" w:type="dxa"/>
            <w:vMerge w:val="restart"/>
            <w:tcBorders/>
            <w:vAlign w:val="center"/>
          </w:tcPr>
          <w:p w14:paraId="03B15BEA">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技术标</w:t>
            </w:r>
          </w:p>
          <w:p w14:paraId="26244E2E">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部分</w:t>
            </w:r>
          </w:p>
          <w:p w14:paraId="039DCD80">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w:t>
            </w:r>
            <w:r>
              <w:rPr>
                <w:rFonts w:ascii="宋体" w:cs="宋体" w:eastAsia="宋体" w:hAnsi="宋体" w:hint="eastAsia"/>
                <w:b/>
                <w:sz w:val="24"/>
                <w:szCs w:val="24"/>
                <w:highlight w:val="none"/>
                <w:lang w:val="en-US" w:eastAsia="zh-CN"/>
              </w:rPr>
              <w:t>60</w:t>
            </w:r>
            <w:r>
              <w:rPr>
                <w:rFonts w:ascii="宋体" w:cs="宋体" w:eastAsia="宋体" w:hAnsi="宋体" w:hint="eastAsia"/>
                <w:b/>
                <w:sz w:val="24"/>
                <w:szCs w:val="24"/>
                <w:highlight w:val="none"/>
              </w:rPr>
              <w:t>分）</w:t>
            </w:r>
          </w:p>
        </w:tc>
        <w:tc>
          <w:tcPr>
            <w:tcW w:w="1328" w:type="dxa"/>
            <w:tcBorders/>
            <w:vAlign w:val="center"/>
          </w:tcPr>
          <w:p w14:paraId="5DA29854">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技术参数</w:t>
            </w:r>
          </w:p>
          <w:p w14:paraId="6974EBAD">
            <w:pPr>
              <w:pStyle w:val="style2"/>
              <w:spacing w:before="0" w:after="0" w:lineRule="auto" w:line="360"/>
              <w:jc w:val="center"/>
              <w:rPr>
                <w:rFonts w:ascii="宋体" w:cs="宋体" w:eastAsia="宋体" w:hAnsi="宋体" w:hint="eastAsia"/>
                <w:bCs w:val="false"/>
                <w:sz w:val="24"/>
                <w:szCs w:val="24"/>
                <w:highlight w:val="none"/>
              </w:rPr>
            </w:pPr>
            <w:r>
              <w:rPr>
                <w:rFonts w:ascii="宋体" w:cs="宋体" w:eastAsia="宋体" w:hAnsi="宋体" w:hint="eastAsia"/>
                <w:bCs w:val="false"/>
                <w:kern w:val="2"/>
                <w:sz w:val="24"/>
                <w:szCs w:val="24"/>
                <w:highlight w:val="none"/>
              </w:rPr>
              <w:t>（</w:t>
            </w:r>
            <w:r>
              <w:rPr>
                <w:rFonts w:ascii="宋体" w:cs="宋体" w:eastAsia="宋体" w:hAnsi="宋体" w:hint="eastAsia"/>
                <w:bCs w:val="false"/>
                <w:kern w:val="2"/>
                <w:sz w:val="24"/>
                <w:szCs w:val="24"/>
                <w:highlight w:val="none"/>
                <w:lang w:val="en-US" w:eastAsia="zh-CN"/>
              </w:rPr>
              <w:t>40</w:t>
            </w:r>
            <w:r>
              <w:rPr>
                <w:rFonts w:ascii="宋体" w:cs="宋体" w:eastAsia="宋体" w:hAnsi="宋体" w:hint="eastAsia"/>
                <w:bCs w:val="false"/>
                <w:kern w:val="2"/>
                <w:sz w:val="24"/>
                <w:szCs w:val="24"/>
                <w:highlight w:val="none"/>
              </w:rPr>
              <w:t>分）</w:t>
            </w:r>
          </w:p>
        </w:tc>
        <w:tc>
          <w:tcPr>
            <w:tcW w:w="6035" w:type="dxa"/>
            <w:gridSpan w:val="4"/>
            <w:tcBorders/>
            <w:vAlign w:val="center"/>
          </w:tcPr>
          <w:p w14:paraId="29904B0A">
            <w:pPr>
              <w:pStyle w:val="style0"/>
              <w:widowControl/>
              <w:spacing w:lineRule="auto" w:line="360"/>
              <w:jc w:val="left"/>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招标文件技术参数要求中标注★的技术指标为关键指标，每一条不满足扣2分；</w:t>
            </w:r>
          </w:p>
          <w:p w14:paraId="7EF52731">
            <w:pPr>
              <w:pStyle w:val="style0"/>
              <w:widowControl/>
              <w:spacing w:lineRule="auto" w:line="360"/>
              <w:jc w:val="left"/>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标注</w:t>
            </w:r>
            <w:r>
              <w:rPr>
                <w:rFonts w:ascii="宋体" w:cs="宋体" w:hAnsi="宋体" w:hint="eastAsia"/>
                <w:snapToGrid w:val="false"/>
                <w:kern w:val="0"/>
                <w:sz w:val="28"/>
                <w:szCs w:val="28"/>
                <w:lang w:val="en-US" w:eastAsia="zh-CN"/>
              </w:rPr>
              <w:t>*</w:t>
            </w:r>
            <w:r>
              <w:rPr>
                <w:rFonts w:ascii="宋体" w:cs="宋体" w:eastAsia="宋体" w:hAnsi="宋体" w:hint="eastAsia"/>
                <w:sz w:val="24"/>
                <w:szCs w:val="24"/>
                <w:highlight w:val="none"/>
                <w:lang w:val="en-US" w:eastAsia="zh-CN"/>
              </w:rPr>
              <w:t>的技术指标为</w:t>
            </w:r>
            <w:r>
              <w:rPr>
                <w:rFonts w:ascii="宋体" w:cs="宋体" w:hAnsi="宋体" w:hint="eastAsia"/>
                <w:snapToGrid w:val="false"/>
                <w:kern w:val="0"/>
                <w:sz w:val="28"/>
                <w:szCs w:val="28"/>
                <w:lang w:val="zh-CN"/>
              </w:rPr>
              <w:t>重要指标，</w:t>
            </w:r>
            <w:r>
              <w:rPr>
                <w:rFonts w:ascii="宋体" w:cs="宋体" w:eastAsia="宋体" w:hAnsi="宋体" w:hint="eastAsia"/>
                <w:sz w:val="24"/>
                <w:szCs w:val="24"/>
                <w:highlight w:val="none"/>
                <w:lang w:val="en-US" w:eastAsia="zh-CN"/>
              </w:rPr>
              <w:t>每一条不满足扣1分；非标注的技术指标为一般指标，每一条不满足扣0.5分，扣完为止。全部满足得满分40分。</w:t>
            </w:r>
          </w:p>
          <w:p w14:paraId="5DA114E2">
            <w:pPr>
              <w:pStyle w:val="style0"/>
              <w:widowControl/>
              <w:spacing w:lineRule="auto" w:line="360"/>
              <w:jc w:val="left"/>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评标委员会根据招标文件要求投标人提供的技术证明等文件，判断是否满足采购文件的要求。投标人必须按照招标文件的要求提供具有效力的详细描述所投产品性能特点的技术证明文件不仅限于检测报告、产品说明书、彩页等技术证明文件等，以证明技术参数及功能的有效性。未提供技术证明文件的视为此参数不满足，详见技术参数要求。</w:t>
            </w:r>
          </w:p>
          <w:p w14:paraId="553662CA">
            <w:pPr>
              <w:pStyle w:val="style0"/>
              <w:widowControl/>
              <w:spacing w:lineRule="auto" w:line="360"/>
              <w:ind w:firstLine="480" w:firstLineChars="200"/>
              <w:jc w:val="left"/>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w:t>
            </w:r>
            <w:r>
              <w:rPr>
                <w:rFonts w:ascii="宋体" w:cs="宋体" w:eastAsia="宋体" w:hAnsi="宋体" w:hint="eastAsia"/>
                <w:sz w:val="24"/>
                <w:szCs w:val="24"/>
                <w:highlight w:val="none"/>
              </w:rPr>
              <w:t>建议各投标人在投标文件中提供证明材料的页码，以便于评委直观高效地判断其参数偏离情况。</w:t>
            </w:r>
            <w:r>
              <w:rPr>
                <w:rFonts w:ascii="宋体" w:cs="宋体" w:eastAsia="宋体" w:hAnsi="宋体" w:hint="eastAsia"/>
                <w:iCs/>
                <w:sz w:val="24"/>
                <w:szCs w:val="24"/>
              </w:rPr>
              <w:t xml:space="preserve">                </w:t>
            </w:r>
          </w:p>
        </w:tc>
      </w:tr>
      <w:tr w14:paraId="77C6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5" w:hRule="atLeast"/>
        </w:trPr>
        <w:tc>
          <w:tcPr>
            <w:tcW w:w="850" w:type="dxa"/>
            <w:vMerge w:val="continue"/>
            <w:tcBorders/>
            <w:vAlign w:val="center"/>
          </w:tcPr>
          <w:p w14:paraId="11BEC5C8">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1D612C35">
            <w:pPr>
              <w:pStyle w:val="style0"/>
              <w:spacing w:lineRule="auto" w:line="360"/>
              <w:jc w:val="center"/>
              <w:rPr>
                <w:rFonts w:ascii="宋体" w:cs="宋体" w:eastAsia="宋体" w:hAnsi="宋体" w:hint="eastAsia"/>
                <w:b/>
                <w:sz w:val="24"/>
                <w:szCs w:val="24"/>
                <w:highlight w:val="none"/>
              </w:rPr>
            </w:pPr>
          </w:p>
        </w:tc>
        <w:tc>
          <w:tcPr>
            <w:tcW w:w="1328" w:type="dxa"/>
            <w:tcBorders/>
            <w:vAlign w:val="center"/>
          </w:tcPr>
          <w:p w14:paraId="72D467C2">
            <w:pPr>
              <w:pStyle w:val="style0"/>
              <w:spacing w:lineRule="auto" w:line="360"/>
              <w:jc w:val="center"/>
              <w:rPr>
                <w:rFonts w:ascii="宋体" w:cs="宋体" w:eastAsia="宋体" w:hAnsi="宋体" w:hint="eastAsia"/>
                <w:b/>
                <w:kern w:val="0"/>
                <w:sz w:val="24"/>
                <w:szCs w:val="24"/>
                <w:highlight w:val="none"/>
              </w:rPr>
            </w:pPr>
            <w:r>
              <w:rPr>
                <w:rFonts w:ascii="宋体" w:cs="宋体" w:eastAsia="宋体" w:hAnsi="宋体" w:hint="eastAsia"/>
                <w:b/>
                <w:kern w:val="0"/>
                <w:sz w:val="24"/>
                <w:szCs w:val="24"/>
                <w:highlight w:val="none"/>
              </w:rPr>
              <w:t>供货方案</w:t>
            </w:r>
          </w:p>
          <w:p w14:paraId="3B76C583">
            <w:pPr>
              <w:pStyle w:val="style0"/>
              <w:spacing w:lineRule="auto" w:line="360"/>
              <w:jc w:val="center"/>
              <w:rPr>
                <w:rFonts w:ascii="宋体" w:cs="宋体" w:eastAsia="宋体" w:hAnsi="宋体" w:hint="eastAsia"/>
                <w:b/>
                <w:kern w:val="0"/>
                <w:sz w:val="24"/>
                <w:szCs w:val="24"/>
                <w:highlight w:val="none"/>
              </w:rPr>
            </w:pPr>
            <w:r>
              <w:rPr>
                <w:rFonts w:ascii="宋体" w:cs="宋体" w:eastAsia="宋体" w:hAnsi="宋体" w:hint="eastAsia"/>
                <w:b/>
                <w:kern w:val="0"/>
                <w:sz w:val="24"/>
                <w:szCs w:val="24"/>
                <w:highlight w:val="none"/>
              </w:rPr>
              <w:t>（</w:t>
            </w:r>
            <w:r>
              <w:rPr>
                <w:rFonts w:ascii="宋体" w:cs="宋体" w:eastAsia="宋体" w:hAnsi="宋体" w:hint="eastAsia"/>
                <w:b/>
                <w:kern w:val="0"/>
                <w:sz w:val="24"/>
                <w:szCs w:val="24"/>
                <w:highlight w:val="none"/>
                <w:lang w:val="en-US" w:eastAsia="zh-CN"/>
              </w:rPr>
              <w:t>5</w:t>
            </w:r>
            <w:r>
              <w:rPr>
                <w:rFonts w:ascii="宋体" w:cs="宋体" w:eastAsia="宋体" w:hAnsi="宋体" w:hint="eastAsia"/>
                <w:b/>
                <w:kern w:val="0"/>
                <w:sz w:val="24"/>
                <w:szCs w:val="24"/>
                <w:highlight w:val="none"/>
              </w:rPr>
              <w:t>分）</w:t>
            </w:r>
          </w:p>
          <w:p w14:paraId="5DFCBC1B">
            <w:pPr>
              <w:pStyle w:val="style0"/>
              <w:spacing w:lineRule="auto" w:line="360"/>
              <w:jc w:val="center"/>
              <w:rPr>
                <w:rFonts w:ascii="宋体" w:cs="宋体" w:eastAsia="宋体" w:hAnsi="宋体" w:hint="eastAsia"/>
                <w:b/>
                <w:color w:val="auto"/>
                <w:sz w:val="24"/>
                <w:szCs w:val="24"/>
                <w:highlight w:val="none"/>
              </w:rPr>
            </w:pPr>
          </w:p>
        </w:tc>
        <w:tc>
          <w:tcPr>
            <w:tcW w:w="6035" w:type="dxa"/>
            <w:gridSpan w:val="4"/>
            <w:tcBorders/>
            <w:vAlign w:val="center"/>
          </w:tcPr>
          <w:p w14:paraId="44888201">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内容详实，方案合理，考虑周全，切实可行，完全能够满足招标项目的需要，得</w:t>
            </w:r>
            <w:r>
              <w:rPr>
                <w:rFonts w:ascii="宋体" w:cs="宋体" w:eastAsia="宋体" w:hAnsi="宋体" w:hint="eastAsia"/>
                <w:sz w:val="24"/>
                <w:szCs w:val="24"/>
                <w:highlight w:val="none"/>
                <w:lang w:val="en-US" w:eastAsia="zh-CN"/>
              </w:rPr>
              <w:t>5</w:t>
            </w:r>
            <w:r>
              <w:rPr>
                <w:rFonts w:ascii="宋体" w:cs="宋体" w:eastAsia="宋体" w:hAnsi="宋体" w:hint="eastAsia"/>
                <w:sz w:val="24"/>
                <w:szCs w:val="24"/>
                <w:highlight w:val="none"/>
              </w:rPr>
              <w:t xml:space="preserve">分； </w:t>
            </w:r>
          </w:p>
          <w:p w14:paraId="2FCFAA12">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2、</w:t>
            </w:r>
            <w:r>
              <w:rPr>
                <w:rFonts w:ascii="宋体" w:cs="宋体" w:eastAsia="宋体" w:hAnsi="宋体" w:hint="eastAsia"/>
                <w:sz w:val="24"/>
                <w:szCs w:val="24"/>
                <w:highlight w:val="none"/>
              </w:rPr>
              <w:t>内容全面，方案基本合理，考虑基本周全，切实可行，虽然能够满足招标项目的需要，但有个别地方需要进一步完善的，得</w:t>
            </w:r>
            <w:r>
              <w:rPr>
                <w:rFonts w:ascii="宋体" w:cs="宋体" w:eastAsia="宋体" w:hAnsi="宋体" w:hint="eastAsia"/>
                <w:sz w:val="24"/>
                <w:szCs w:val="24"/>
                <w:highlight w:val="none"/>
                <w:lang w:val="en-US" w:eastAsia="zh-CN"/>
              </w:rPr>
              <w:t>3</w:t>
            </w:r>
            <w:r>
              <w:rPr>
                <w:rFonts w:ascii="宋体" w:cs="宋体" w:eastAsia="宋体" w:hAnsi="宋体" w:hint="eastAsia"/>
                <w:sz w:val="24"/>
                <w:szCs w:val="24"/>
                <w:highlight w:val="none"/>
              </w:rPr>
              <w:t>分；</w:t>
            </w:r>
          </w:p>
          <w:p w14:paraId="65A1FEE2">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3、</w:t>
            </w:r>
            <w:r>
              <w:rPr>
                <w:rFonts w:ascii="宋体" w:cs="宋体" w:eastAsia="宋体" w:hAnsi="宋体" w:hint="eastAsia"/>
                <w:sz w:val="24"/>
                <w:szCs w:val="24"/>
                <w:highlight w:val="none"/>
              </w:rPr>
              <w:t>内容粗略，方案基本合理，具有可操作性，考虑不周全，虽然能够基本满足招标项目的需要，但有很多方面需要进一步完善甚至重新考虑的，得</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 xml:space="preserve">分。 </w:t>
            </w:r>
          </w:p>
          <w:p w14:paraId="641506AA">
            <w:pPr>
              <w:pStyle w:val="style0"/>
              <w:numPr>
                <w:ilvl w:val="0"/>
                <w:numId w:val="0"/>
              </w:numPr>
              <w:spacing w:lineRule="auto" w:line="360"/>
              <w:ind w:left="0" w:leftChars="0" w:firstLine="0" w:firstLineChars="0"/>
              <w:rPr>
                <w:rFonts w:cs="宋体" w:hint="eastAsia"/>
                <w:color w:val="auto"/>
                <w:sz w:val="24"/>
                <w:szCs w:val="24"/>
                <w:highlight w:val="none"/>
                <w:lang w:val="en-US" w:eastAsia="zh-CN"/>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未提供者不得分。</w:t>
            </w:r>
          </w:p>
        </w:tc>
      </w:tr>
      <w:tr w14:paraId="59DCB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8" w:hRule="atLeast"/>
        </w:trPr>
        <w:tc>
          <w:tcPr>
            <w:tcW w:w="850" w:type="dxa"/>
            <w:vMerge w:val="continue"/>
            <w:tcBorders/>
            <w:vAlign w:val="center"/>
          </w:tcPr>
          <w:p w14:paraId="4C688803">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6C35335C">
            <w:pPr>
              <w:pStyle w:val="style0"/>
              <w:spacing w:lineRule="auto" w:line="360"/>
              <w:jc w:val="center"/>
              <w:rPr>
                <w:rFonts w:ascii="宋体" w:cs="宋体" w:eastAsia="宋体" w:hAnsi="宋体" w:hint="eastAsia"/>
                <w:b/>
                <w:sz w:val="24"/>
                <w:szCs w:val="24"/>
                <w:highlight w:val="none"/>
              </w:rPr>
            </w:pPr>
          </w:p>
        </w:tc>
        <w:tc>
          <w:tcPr>
            <w:tcW w:w="1328" w:type="dxa"/>
            <w:tcBorders/>
            <w:vAlign w:val="center"/>
          </w:tcPr>
          <w:p w14:paraId="6E1FB354">
            <w:pPr>
              <w:pStyle w:val="style0"/>
              <w:spacing w:lineRule="auto" w:line="360"/>
              <w:jc w:val="center"/>
              <w:rPr>
                <w:rFonts w:ascii="宋体" w:cs="宋体" w:eastAsia="宋体" w:hAnsi="宋体" w:hint="eastAsia"/>
                <w:b/>
                <w:kern w:val="0"/>
                <w:sz w:val="24"/>
                <w:szCs w:val="24"/>
                <w:highlight w:val="none"/>
              </w:rPr>
            </w:pPr>
            <w:r>
              <w:rPr>
                <w:rFonts w:ascii="宋体" w:cs="宋体" w:eastAsia="宋体" w:hAnsi="宋体" w:hint="eastAsia"/>
                <w:b/>
                <w:bCs/>
                <w:sz w:val="24"/>
                <w:szCs w:val="24"/>
              </w:rPr>
              <w:t>安</w:t>
            </w:r>
            <w:r>
              <w:rPr>
                <w:rFonts w:ascii="宋体" w:cs="宋体" w:eastAsia="宋体" w:hAnsi="宋体" w:hint="eastAsia"/>
                <w:b/>
                <w:kern w:val="0"/>
                <w:sz w:val="24"/>
                <w:szCs w:val="24"/>
                <w:highlight w:val="none"/>
              </w:rPr>
              <w:t>装、调试方案</w:t>
            </w:r>
          </w:p>
          <w:p w14:paraId="409C7D76">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kern w:val="0"/>
                <w:sz w:val="24"/>
                <w:szCs w:val="24"/>
                <w:highlight w:val="none"/>
              </w:rPr>
              <w:t>（</w:t>
            </w:r>
            <w:r>
              <w:rPr>
                <w:rFonts w:ascii="宋体" w:cs="宋体" w:eastAsia="宋体" w:hAnsi="宋体" w:hint="eastAsia"/>
                <w:b/>
                <w:kern w:val="0"/>
                <w:sz w:val="24"/>
                <w:szCs w:val="24"/>
                <w:highlight w:val="none"/>
                <w:lang w:val="en-US" w:eastAsia="zh-CN"/>
              </w:rPr>
              <w:t>5</w:t>
            </w:r>
            <w:r>
              <w:rPr>
                <w:rFonts w:ascii="宋体" w:cs="宋体" w:eastAsia="宋体" w:hAnsi="宋体" w:hint="eastAsia"/>
                <w:b/>
                <w:kern w:val="0"/>
                <w:sz w:val="24"/>
                <w:szCs w:val="24"/>
                <w:highlight w:val="none"/>
              </w:rPr>
              <w:t>分）</w:t>
            </w:r>
          </w:p>
        </w:tc>
        <w:tc>
          <w:tcPr>
            <w:tcW w:w="6035" w:type="dxa"/>
            <w:gridSpan w:val="4"/>
            <w:tcBorders/>
            <w:vAlign w:val="center"/>
          </w:tcPr>
          <w:p w14:paraId="145A86D2">
            <w:pPr>
              <w:pStyle w:val="style0"/>
              <w:spacing w:lineRule="auto" w:line="360"/>
              <w:rPr>
                <w:rFonts w:ascii="宋体" w:cs="宋体" w:eastAsia="宋体" w:hAnsi="宋体" w:hint="eastAsia"/>
                <w:sz w:val="24"/>
                <w:szCs w:val="24"/>
              </w:rPr>
            </w:pPr>
            <w:r>
              <w:rPr>
                <w:rFonts w:ascii="宋体" w:cs="宋体" w:eastAsia="宋体" w:hAnsi="宋体" w:hint="eastAsia"/>
                <w:sz w:val="24"/>
                <w:szCs w:val="24"/>
              </w:rPr>
              <w:t>评委对所有投标人针对本项目的安装、调试方案：</w:t>
            </w:r>
          </w:p>
          <w:p w14:paraId="4EA8E322">
            <w:pPr>
              <w:pStyle w:val="style82"/>
              <w:spacing w:lineRule="auto" w:line="360"/>
              <w:ind w:left="0" w:leftChars="0"/>
              <w:rPr>
                <w:rFonts w:ascii="宋体" w:cs="宋体" w:eastAsia="宋体" w:hAnsi="宋体" w:hint="eastAsia"/>
                <w:sz w:val="24"/>
                <w:szCs w:val="24"/>
              </w:rPr>
            </w:pPr>
            <w:r>
              <w:rPr>
                <w:rFonts w:ascii="宋体" w:cs="宋体" w:eastAsia="宋体" w:hAnsi="宋体" w:hint="eastAsia"/>
                <w:sz w:val="24"/>
                <w:szCs w:val="24"/>
              </w:rPr>
              <w:t>1、安装、调试方案完整详尽，思路清晰、内容全面、有条理的得</w:t>
            </w:r>
            <w:r>
              <w:rPr>
                <w:rFonts w:ascii="宋体" w:cs="宋体" w:eastAsia="宋体" w:hAnsi="宋体" w:hint="eastAsia"/>
                <w:sz w:val="24"/>
                <w:szCs w:val="24"/>
                <w:lang w:val="en-US" w:eastAsia="zh-CN"/>
              </w:rPr>
              <w:t>5</w:t>
            </w:r>
            <w:r>
              <w:rPr>
                <w:rFonts w:ascii="宋体" w:cs="宋体" w:eastAsia="宋体" w:hAnsi="宋体" w:hint="eastAsia"/>
                <w:sz w:val="24"/>
                <w:szCs w:val="24"/>
              </w:rPr>
              <w:t>分；</w:t>
            </w:r>
          </w:p>
          <w:p w14:paraId="2DA6C773">
            <w:pPr>
              <w:pStyle w:val="style82"/>
              <w:spacing w:lineRule="auto" w:line="360"/>
              <w:ind w:left="0" w:leftChars="0"/>
              <w:rPr>
                <w:rFonts w:ascii="宋体" w:cs="宋体" w:eastAsia="宋体" w:hAnsi="宋体" w:hint="eastAsia"/>
                <w:sz w:val="24"/>
                <w:szCs w:val="24"/>
              </w:rPr>
            </w:pPr>
            <w:r>
              <w:rPr>
                <w:rFonts w:ascii="宋体" w:cs="宋体" w:eastAsia="宋体" w:hAnsi="宋体" w:hint="eastAsia"/>
                <w:sz w:val="24"/>
                <w:szCs w:val="24"/>
              </w:rPr>
              <w:t>2、安装、调试方案思路一般、不全面的得</w:t>
            </w:r>
            <w:r>
              <w:rPr>
                <w:rFonts w:ascii="宋体" w:cs="宋体" w:eastAsia="宋体" w:hAnsi="宋体" w:hint="eastAsia"/>
                <w:sz w:val="24"/>
                <w:szCs w:val="24"/>
                <w:lang w:val="en-US" w:eastAsia="zh-CN"/>
              </w:rPr>
              <w:t>3</w:t>
            </w:r>
            <w:r>
              <w:rPr>
                <w:rFonts w:ascii="宋体" w:cs="宋体" w:eastAsia="宋体" w:hAnsi="宋体" w:hint="eastAsia"/>
                <w:sz w:val="24"/>
                <w:szCs w:val="24"/>
              </w:rPr>
              <w:t>分；</w:t>
            </w:r>
          </w:p>
          <w:p w14:paraId="64696998">
            <w:pPr>
              <w:pStyle w:val="style82"/>
              <w:spacing w:lineRule="auto" w:line="360"/>
              <w:ind w:left="0" w:leftChars="0"/>
              <w:rPr>
                <w:rFonts w:ascii="宋体" w:cs="宋体" w:eastAsia="宋体" w:hAnsi="宋体" w:hint="eastAsia"/>
                <w:sz w:val="24"/>
                <w:szCs w:val="24"/>
              </w:rPr>
            </w:pPr>
            <w:r>
              <w:rPr>
                <w:rFonts w:ascii="宋体" w:cs="宋体" w:eastAsia="宋体" w:hAnsi="宋体" w:hint="eastAsia"/>
                <w:sz w:val="24"/>
                <w:szCs w:val="24"/>
              </w:rPr>
              <w:t>3、仅有简单描述的得</w:t>
            </w:r>
            <w:r>
              <w:rPr>
                <w:rFonts w:ascii="宋体" w:cs="宋体" w:eastAsia="宋体" w:hAnsi="宋体" w:hint="eastAsia"/>
                <w:sz w:val="24"/>
                <w:szCs w:val="24"/>
                <w:lang w:val="en-US" w:eastAsia="zh-CN"/>
              </w:rPr>
              <w:t>1</w:t>
            </w:r>
            <w:r>
              <w:rPr>
                <w:rFonts w:ascii="宋体" w:cs="宋体" w:eastAsia="宋体" w:hAnsi="宋体" w:hint="eastAsia"/>
                <w:sz w:val="24"/>
                <w:szCs w:val="24"/>
              </w:rPr>
              <w:t xml:space="preserve"> 分；</w:t>
            </w:r>
          </w:p>
          <w:p w14:paraId="1F17372F">
            <w:pPr>
              <w:pStyle w:val="style82"/>
              <w:spacing w:lineRule="auto" w:line="360"/>
              <w:ind w:left="0" w:leftChars="0"/>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4、未提供者不得分。</w:t>
            </w:r>
          </w:p>
        </w:tc>
      </w:tr>
      <w:tr w14:paraId="46DFA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hRule="atLeast"/>
        </w:trPr>
        <w:tc>
          <w:tcPr>
            <w:tcW w:w="850" w:type="dxa"/>
            <w:vMerge w:val="continue"/>
            <w:tcBorders/>
            <w:vAlign w:val="center"/>
          </w:tcPr>
          <w:p w14:paraId="649FD28A">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55504565">
            <w:pPr>
              <w:pStyle w:val="style0"/>
              <w:spacing w:lineRule="auto" w:line="360"/>
              <w:jc w:val="center"/>
              <w:rPr>
                <w:rFonts w:ascii="宋体" w:cs="宋体" w:eastAsia="宋体" w:hAnsi="宋体" w:hint="eastAsia"/>
                <w:b/>
                <w:sz w:val="24"/>
                <w:szCs w:val="24"/>
                <w:highlight w:val="none"/>
              </w:rPr>
            </w:pPr>
          </w:p>
        </w:tc>
        <w:tc>
          <w:tcPr>
            <w:tcW w:w="1328" w:type="dxa"/>
            <w:tcBorders/>
            <w:vAlign w:val="center"/>
          </w:tcPr>
          <w:p w14:paraId="49D86C1B">
            <w:pPr>
              <w:pStyle w:val="style0"/>
              <w:spacing w:lineRule="auto" w:line="360"/>
              <w:jc w:val="center"/>
              <w:rPr>
                <w:rFonts w:ascii="宋体" w:cs="宋体" w:eastAsia="宋体" w:hAnsi="宋体" w:hint="eastAsia"/>
                <w:b/>
                <w:kern w:val="0"/>
                <w:sz w:val="24"/>
                <w:szCs w:val="24"/>
                <w:highlight w:val="none"/>
              </w:rPr>
            </w:pPr>
          </w:p>
          <w:p w14:paraId="47723BDE">
            <w:pPr>
              <w:pStyle w:val="style0"/>
              <w:spacing w:lineRule="auto" w:line="360"/>
              <w:jc w:val="center"/>
              <w:rPr>
                <w:rFonts w:ascii="宋体" w:cs="宋体" w:eastAsia="宋体" w:hAnsi="宋体" w:hint="eastAsia"/>
                <w:b/>
                <w:kern w:val="0"/>
                <w:sz w:val="24"/>
                <w:szCs w:val="24"/>
                <w:highlight w:val="none"/>
              </w:rPr>
            </w:pPr>
            <w:r>
              <w:rPr>
                <w:rFonts w:ascii="宋体" w:cs="宋体" w:eastAsia="宋体" w:hAnsi="宋体" w:hint="eastAsia"/>
                <w:b/>
                <w:kern w:val="0"/>
                <w:sz w:val="24"/>
                <w:szCs w:val="24"/>
                <w:highlight w:val="none"/>
              </w:rPr>
              <w:t>进度</w:t>
            </w:r>
            <w:r>
              <w:rPr>
                <w:rFonts w:ascii="宋体" w:cs="宋体" w:eastAsia="宋体" w:hAnsi="宋体" w:hint="eastAsia"/>
                <w:b/>
                <w:kern w:val="0"/>
                <w:sz w:val="24"/>
                <w:szCs w:val="24"/>
                <w:highlight w:val="none"/>
                <w:lang w:val="en-US" w:eastAsia="zh-CN"/>
              </w:rPr>
              <w:t>保障</w:t>
            </w:r>
            <w:r>
              <w:rPr>
                <w:rFonts w:ascii="宋体" w:cs="宋体" w:eastAsia="宋体" w:hAnsi="宋体" w:hint="eastAsia"/>
                <w:b/>
                <w:kern w:val="0"/>
                <w:sz w:val="24"/>
                <w:szCs w:val="24"/>
                <w:highlight w:val="none"/>
              </w:rPr>
              <w:t>措施</w:t>
            </w:r>
          </w:p>
          <w:p w14:paraId="16737DFC">
            <w:pPr>
              <w:pStyle w:val="style0"/>
              <w:spacing w:lineRule="auto" w:line="360"/>
              <w:jc w:val="center"/>
              <w:rPr>
                <w:rFonts w:ascii="宋体" w:cs="宋体" w:eastAsia="宋体" w:hAnsi="宋体" w:hint="eastAsia"/>
                <w:b/>
                <w:kern w:val="0"/>
                <w:sz w:val="24"/>
                <w:szCs w:val="24"/>
                <w:highlight w:val="none"/>
              </w:rPr>
            </w:pPr>
            <w:r>
              <w:rPr>
                <w:rFonts w:ascii="宋体" w:cs="宋体" w:eastAsia="宋体" w:hAnsi="宋体" w:hint="eastAsia"/>
                <w:b/>
                <w:kern w:val="0"/>
                <w:sz w:val="24"/>
                <w:szCs w:val="24"/>
                <w:highlight w:val="none"/>
              </w:rPr>
              <w:t>（</w:t>
            </w:r>
            <w:r>
              <w:rPr>
                <w:rFonts w:ascii="宋体" w:cs="宋体" w:eastAsia="宋体" w:hAnsi="宋体" w:hint="eastAsia"/>
                <w:b/>
                <w:kern w:val="0"/>
                <w:sz w:val="24"/>
                <w:szCs w:val="24"/>
                <w:highlight w:val="none"/>
                <w:lang w:val="en-US" w:eastAsia="zh-CN"/>
              </w:rPr>
              <w:t>5</w:t>
            </w:r>
            <w:r>
              <w:rPr>
                <w:rFonts w:ascii="宋体" w:cs="宋体" w:eastAsia="宋体" w:hAnsi="宋体" w:hint="eastAsia"/>
                <w:b/>
                <w:kern w:val="0"/>
                <w:sz w:val="24"/>
                <w:szCs w:val="24"/>
                <w:highlight w:val="none"/>
              </w:rPr>
              <w:t>分）</w:t>
            </w:r>
          </w:p>
        </w:tc>
        <w:tc>
          <w:tcPr>
            <w:tcW w:w="6035" w:type="dxa"/>
            <w:gridSpan w:val="4"/>
            <w:tcBorders/>
            <w:vAlign w:val="center"/>
          </w:tcPr>
          <w:p w14:paraId="737B2CFF">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1、进度保障</w:t>
            </w:r>
            <w:r>
              <w:rPr>
                <w:rFonts w:ascii="宋体" w:cs="宋体" w:eastAsia="宋体" w:hAnsi="宋体" w:hint="eastAsia"/>
                <w:sz w:val="24"/>
                <w:szCs w:val="24"/>
                <w:highlight w:val="none"/>
              </w:rPr>
              <w:t>措施全面详实，合理、可行性强，完全能够满足采购项目要求的得</w:t>
            </w:r>
            <w:r>
              <w:rPr>
                <w:rFonts w:ascii="宋体" w:cs="宋体" w:eastAsia="宋体" w:hAnsi="宋体" w:hint="eastAsia"/>
                <w:sz w:val="24"/>
                <w:szCs w:val="24"/>
                <w:highlight w:val="none"/>
                <w:lang w:val="en-US" w:eastAsia="zh-CN"/>
              </w:rPr>
              <w:t>5</w:t>
            </w:r>
            <w:r>
              <w:rPr>
                <w:rFonts w:ascii="宋体" w:cs="宋体" w:eastAsia="宋体" w:hAnsi="宋体" w:hint="eastAsia"/>
                <w:sz w:val="24"/>
                <w:szCs w:val="24"/>
                <w:highlight w:val="none"/>
              </w:rPr>
              <w:t xml:space="preserve">分； </w:t>
            </w:r>
          </w:p>
          <w:p w14:paraId="1E8E20D1">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2、进度保障</w:t>
            </w:r>
            <w:r>
              <w:rPr>
                <w:rFonts w:ascii="宋体" w:cs="宋体" w:eastAsia="宋体" w:hAnsi="宋体" w:hint="eastAsia"/>
                <w:sz w:val="24"/>
                <w:szCs w:val="24"/>
                <w:highlight w:val="none"/>
              </w:rPr>
              <w:t>措施描述较为完整，基本合理、可行，基本满足采购项目要求的得</w:t>
            </w:r>
            <w:r>
              <w:rPr>
                <w:rFonts w:ascii="宋体" w:cs="宋体" w:eastAsia="宋体" w:hAnsi="宋体" w:hint="eastAsia"/>
                <w:sz w:val="24"/>
                <w:szCs w:val="24"/>
                <w:highlight w:val="none"/>
                <w:lang w:val="en-US" w:eastAsia="zh-CN"/>
              </w:rPr>
              <w:t>3</w:t>
            </w:r>
            <w:r>
              <w:rPr>
                <w:rFonts w:ascii="宋体" w:cs="宋体" w:eastAsia="宋体" w:hAnsi="宋体" w:hint="eastAsia"/>
                <w:sz w:val="24"/>
                <w:szCs w:val="24"/>
                <w:highlight w:val="none"/>
              </w:rPr>
              <w:t xml:space="preserve">分； </w:t>
            </w:r>
          </w:p>
          <w:p w14:paraId="70AC1E9A">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3、进度保障</w:t>
            </w:r>
            <w:r>
              <w:rPr>
                <w:rFonts w:ascii="宋体" w:cs="宋体" w:eastAsia="宋体" w:hAnsi="宋体" w:hint="eastAsia"/>
                <w:sz w:val="24"/>
                <w:szCs w:val="24"/>
                <w:highlight w:val="none"/>
              </w:rPr>
              <w:t>措施描述粗略，合理性差，可行性差，虽然能够基本满足采购项目的需要，但还有很多地方需要进一步完善的得</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 xml:space="preserve">分； </w:t>
            </w:r>
          </w:p>
          <w:p w14:paraId="32E7FAC8">
            <w:pPr>
              <w:pStyle w:val="style0"/>
              <w:numPr>
                <w:ilvl w:val="0"/>
                <w:numId w:val="0"/>
              </w:numPr>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未提供者不得分。</w:t>
            </w:r>
          </w:p>
        </w:tc>
      </w:tr>
      <w:tr w14:paraId="12C08B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hRule="atLeast"/>
        </w:trPr>
        <w:tc>
          <w:tcPr>
            <w:tcW w:w="850" w:type="dxa"/>
            <w:vMerge w:val="continue"/>
            <w:tcBorders/>
            <w:vAlign w:val="center"/>
          </w:tcPr>
          <w:p w14:paraId="4D958407">
            <w:pPr>
              <w:pStyle w:val="style0"/>
              <w:spacing w:lineRule="auto" w:line="360"/>
              <w:jc w:val="center"/>
              <w:rPr>
                <w:rFonts w:ascii="宋体" w:cs="宋体" w:eastAsia="宋体" w:hAnsi="宋体" w:hint="eastAsia"/>
                <w:sz w:val="24"/>
                <w:szCs w:val="24"/>
                <w:highlight w:val="none"/>
              </w:rPr>
            </w:pPr>
          </w:p>
          <w:p w14:paraId="3A079C16">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1BC44609">
            <w:pPr>
              <w:pStyle w:val="style0"/>
              <w:spacing w:lineRule="auto" w:line="360"/>
              <w:jc w:val="center"/>
              <w:rPr>
                <w:rFonts w:ascii="宋体" w:cs="宋体" w:eastAsia="宋体" w:hAnsi="宋体" w:hint="eastAsia"/>
                <w:b/>
                <w:sz w:val="24"/>
                <w:szCs w:val="24"/>
                <w:highlight w:val="none"/>
              </w:rPr>
            </w:pPr>
          </w:p>
        </w:tc>
        <w:tc>
          <w:tcPr>
            <w:tcW w:w="1328" w:type="dxa"/>
            <w:tcBorders/>
            <w:vAlign w:val="center"/>
          </w:tcPr>
          <w:p w14:paraId="1C8CD6FB">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质量保证措施</w:t>
            </w:r>
          </w:p>
          <w:p w14:paraId="0270DDA9">
            <w:pPr>
              <w:pStyle w:val="style0"/>
              <w:spacing w:lineRule="auto" w:line="360"/>
              <w:jc w:val="center"/>
              <w:rPr>
                <w:rFonts w:ascii="宋体" w:cs="宋体" w:eastAsia="宋体" w:hAnsi="宋体" w:hint="eastAsia"/>
                <w:b/>
                <w:sz w:val="24"/>
                <w:szCs w:val="24"/>
                <w:highlight w:val="none"/>
              </w:rPr>
            </w:pPr>
            <w:r>
              <w:rPr>
                <w:rFonts w:ascii="宋体" w:cs="宋体" w:eastAsia="宋体" w:hAnsi="宋体" w:hint="eastAsia"/>
                <w:b/>
                <w:sz w:val="24"/>
                <w:szCs w:val="24"/>
                <w:highlight w:val="none"/>
              </w:rPr>
              <w:t>（</w:t>
            </w:r>
            <w:r>
              <w:rPr>
                <w:rFonts w:ascii="宋体" w:cs="宋体" w:eastAsia="宋体" w:hAnsi="宋体" w:hint="eastAsia"/>
                <w:b/>
                <w:sz w:val="24"/>
                <w:szCs w:val="24"/>
                <w:highlight w:val="none"/>
                <w:lang w:val="en-US" w:eastAsia="zh-CN"/>
              </w:rPr>
              <w:t>5</w:t>
            </w:r>
            <w:r>
              <w:rPr>
                <w:rFonts w:ascii="宋体" w:cs="宋体" w:eastAsia="宋体" w:hAnsi="宋体" w:hint="eastAsia"/>
                <w:b/>
                <w:sz w:val="24"/>
                <w:szCs w:val="24"/>
                <w:highlight w:val="none"/>
              </w:rPr>
              <w:t>分）</w:t>
            </w:r>
          </w:p>
        </w:tc>
        <w:tc>
          <w:tcPr>
            <w:tcW w:w="6035" w:type="dxa"/>
            <w:gridSpan w:val="4"/>
            <w:tcBorders/>
            <w:vAlign w:val="center"/>
          </w:tcPr>
          <w:p w14:paraId="773817AD">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根据</w:t>
            </w:r>
            <w:r>
              <w:rPr>
                <w:rFonts w:ascii="宋体" w:cs="宋体" w:eastAsia="宋体" w:hAnsi="宋体" w:hint="eastAsia"/>
                <w:sz w:val="24"/>
                <w:szCs w:val="24"/>
                <w:highlight w:val="none"/>
                <w:lang w:val="en-US" w:eastAsia="zh-CN"/>
              </w:rPr>
              <w:t>投标人</w:t>
            </w:r>
            <w:r>
              <w:rPr>
                <w:rFonts w:ascii="宋体" w:cs="宋体" w:eastAsia="宋体" w:hAnsi="宋体" w:hint="eastAsia"/>
                <w:sz w:val="24"/>
                <w:szCs w:val="24"/>
                <w:highlight w:val="none"/>
              </w:rPr>
              <w:t xml:space="preserve">的质量保障措施（包括常见质量管理体系、质量问题的控制方案、产品检验及包装质量等保障措施方案）进行评审： </w:t>
            </w:r>
          </w:p>
          <w:p w14:paraId="259A345E">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1、质量保证措施合理</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详尽</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切实</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可行性强，完全能够满足项目需要得</w:t>
            </w:r>
            <w:r>
              <w:rPr>
                <w:rFonts w:ascii="宋体" w:cs="宋体" w:eastAsia="宋体" w:hAnsi="宋体" w:hint="eastAsia"/>
                <w:sz w:val="24"/>
                <w:szCs w:val="24"/>
                <w:highlight w:val="none"/>
                <w:lang w:val="en-US" w:eastAsia="zh-CN"/>
              </w:rPr>
              <w:t>5</w:t>
            </w:r>
            <w:r>
              <w:rPr>
                <w:rFonts w:ascii="宋体" w:cs="宋体" w:eastAsia="宋体" w:hAnsi="宋体" w:hint="eastAsia"/>
                <w:sz w:val="24"/>
                <w:szCs w:val="24"/>
                <w:highlight w:val="none"/>
              </w:rPr>
              <w:t>分；</w:t>
            </w:r>
          </w:p>
          <w:p w14:paraId="2A7C43CE">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2、质量保证措施描述较为合理</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较为详尽</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基本可行，基本满足项目需要，但有个别地方需要进一步完善的</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得</w:t>
            </w:r>
            <w:r>
              <w:rPr>
                <w:rFonts w:ascii="宋体" w:cs="宋体" w:eastAsia="宋体" w:hAnsi="宋体" w:hint="eastAsia"/>
                <w:sz w:val="24"/>
                <w:szCs w:val="24"/>
                <w:highlight w:val="none"/>
                <w:lang w:val="en-US" w:eastAsia="zh-CN"/>
              </w:rPr>
              <w:t>3</w:t>
            </w:r>
            <w:r>
              <w:rPr>
                <w:rFonts w:ascii="宋体" w:cs="宋体" w:eastAsia="宋体" w:hAnsi="宋体" w:hint="eastAsia"/>
                <w:sz w:val="24"/>
                <w:szCs w:val="24"/>
                <w:highlight w:val="none"/>
              </w:rPr>
              <w:t>分；</w:t>
            </w:r>
          </w:p>
          <w:p w14:paraId="18C223A0">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3、质量保证措施描述粗略</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合理性</w:t>
            </w:r>
            <w:r>
              <w:rPr>
                <w:rFonts w:ascii="宋体" w:cs="宋体" w:eastAsia="宋体" w:hAnsi="宋体" w:hint="eastAsia"/>
                <w:sz w:val="24"/>
                <w:szCs w:val="24"/>
                <w:highlight w:val="none"/>
                <w:lang w:val="en-US" w:eastAsia="zh-CN"/>
              </w:rPr>
              <w:t>差</w:t>
            </w:r>
            <w:r>
              <w:rPr>
                <w:rFonts w:ascii="宋体" w:cs="宋体" w:eastAsia="宋体" w:hAnsi="宋体" w:hint="eastAsia"/>
                <w:sz w:val="24"/>
                <w:szCs w:val="24"/>
                <w:highlight w:val="none"/>
              </w:rPr>
              <w:t>、可行性差</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虽然能够基本满足项目需要，但还有很多地方需要进一步完善的，得</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分；</w:t>
            </w:r>
          </w:p>
          <w:bookmarkStart w:id="44" w:name="_GoBack"/>
          <w:bookmarkEnd w:id="44"/>
          <w:p w14:paraId="2B112309">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4、未提供者不得分。</w:t>
            </w:r>
          </w:p>
        </w:tc>
      </w:tr>
      <w:tr w14:paraId="74569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6" w:hRule="atLeast"/>
        </w:trPr>
        <w:tc>
          <w:tcPr>
            <w:tcW w:w="850" w:type="dxa"/>
            <w:vMerge w:val="restart"/>
            <w:tcBorders/>
            <w:vAlign w:val="center"/>
          </w:tcPr>
          <w:p w14:paraId="5B629D20">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b/>
                <w:bCs/>
                <w:sz w:val="24"/>
                <w:szCs w:val="24"/>
                <w:highlight w:val="none"/>
                <w:lang w:val="en-US" w:eastAsia="zh-CN"/>
              </w:rPr>
              <w:t>3.3</w:t>
            </w:r>
          </w:p>
        </w:tc>
        <w:tc>
          <w:tcPr>
            <w:tcW w:w="1129" w:type="dxa"/>
            <w:vMerge w:val="restart"/>
            <w:tcBorders/>
            <w:vAlign w:val="center"/>
          </w:tcPr>
          <w:p w14:paraId="2908B772">
            <w:pPr>
              <w:pStyle w:val="style0"/>
              <w:spacing w:lineRule="auto" w:line="360"/>
              <w:jc w:val="center"/>
              <w:rPr>
                <w:rFonts w:ascii="宋体" w:cs="宋体" w:eastAsia="宋体" w:hAnsi="宋体" w:hint="eastAsia"/>
                <w:b/>
                <w:sz w:val="24"/>
                <w:szCs w:val="24"/>
                <w:highlight w:val="none"/>
                <w:lang w:val="en-US" w:eastAsia="zh-CN"/>
              </w:rPr>
            </w:pPr>
            <w:r>
              <w:rPr>
                <w:rFonts w:ascii="宋体" w:cs="宋体" w:eastAsia="宋体" w:hAnsi="宋体" w:hint="eastAsia"/>
                <w:b/>
                <w:sz w:val="24"/>
                <w:szCs w:val="24"/>
                <w:highlight w:val="none"/>
                <w:lang w:val="en-US" w:eastAsia="zh-CN"/>
              </w:rPr>
              <w:t>商务标部分（10分）</w:t>
            </w:r>
          </w:p>
        </w:tc>
        <w:tc>
          <w:tcPr>
            <w:tcW w:w="1328" w:type="dxa"/>
            <w:tcBorders/>
            <w:vAlign w:val="center"/>
          </w:tcPr>
          <w:p w14:paraId="300272DC">
            <w:pPr>
              <w:pStyle w:val="style0"/>
              <w:spacing w:lineRule="auto" w:line="360"/>
              <w:jc w:val="center"/>
              <w:rPr>
                <w:rFonts w:ascii="宋体" w:cs="宋体" w:eastAsia="宋体" w:hAnsi="宋体" w:hint="eastAsia"/>
                <w:b/>
                <w:bCs/>
                <w:kern w:val="0"/>
                <w:sz w:val="24"/>
                <w:szCs w:val="24"/>
                <w:highlight w:val="none"/>
              </w:rPr>
            </w:pPr>
            <w:r>
              <w:rPr>
                <w:rFonts w:ascii="宋体" w:cs="宋体" w:eastAsia="宋体" w:hAnsi="宋体" w:hint="eastAsia"/>
                <w:b/>
                <w:bCs/>
                <w:kern w:val="0"/>
                <w:sz w:val="24"/>
                <w:szCs w:val="24"/>
                <w:highlight w:val="none"/>
              </w:rPr>
              <w:t>业绩</w:t>
            </w:r>
          </w:p>
          <w:p w14:paraId="6E9CE898">
            <w:pPr>
              <w:pStyle w:val="style0"/>
              <w:spacing w:lineRule="auto" w:line="360"/>
              <w:jc w:val="center"/>
              <w:rPr>
                <w:rFonts w:ascii="宋体" w:cs="宋体" w:eastAsia="宋体" w:hAnsi="宋体" w:hint="eastAsia"/>
                <w:b/>
                <w:bCs/>
                <w:sz w:val="24"/>
                <w:szCs w:val="24"/>
                <w:highlight w:val="none"/>
              </w:rPr>
            </w:pPr>
            <w:r>
              <w:rPr>
                <w:rFonts w:ascii="宋体" w:cs="宋体" w:eastAsia="宋体" w:hAnsi="宋体" w:hint="eastAsia"/>
                <w:b/>
                <w:sz w:val="24"/>
                <w:szCs w:val="24"/>
                <w:highlight w:val="none"/>
              </w:rPr>
              <w:t>（</w:t>
            </w:r>
            <w:r>
              <w:rPr>
                <w:rFonts w:ascii="宋体" w:cs="宋体" w:eastAsia="宋体" w:hAnsi="宋体" w:hint="eastAsia"/>
                <w:b/>
                <w:sz w:val="24"/>
                <w:szCs w:val="24"/>
                <w:highlight w:val="none"/>
                <w:lang w:val="en-US" w:eastAsia="zh-CN"/>
              </w:rPr>
              <w:t>3分）</w:t>
            </w:r>
          </w:p>
        </w:tc>
        <w:tc>
          <w:tcPr>
            <w:tcW w:w="6035" w:type="dxa"/>
            <w:gridSpan w:val="4"/>
            <w:tcBorders/>
            <w:vAlign w:val="center"/>
          </w:tcPr>
          <w:p w14:paraId="6820BDFA">
            <w:pPr>
              <w:pStyle w:val="style0"/>
              <w:spacing w:lineRule="auto" w:line="36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eastAsia="zh-CN"/>
              </w:rPr>
              <w:t>投标人</w:t>
            </w:r>
            <w:r>
              <w:rPr>
                <w:rFonts w:ascii="宋体" w:cs="宋体" w:eastAsia="宋体" w:hAnsi="宋体" w:hint="eastAsia"/>
                <w:color w:val="auto"/>
                <w:sz w:val="24"/>
                <w:szCs w:val="24"/>
                <w:highlight w:val="none"/>
              </w:rPr>
              <w:t>具有</w:t>
            </w:r>
            <w:r>
              <w:rPr>
                <w:rFonts w:ascii="宋体" w:cs="宋体" w:eastAsia="宋体" w:hAnsi="宋体" w:hint="eastAsia"/>
                <w:color w:val="auto"/>
                <w:sz w:val="24"/>
                <w:szCs w:val="24"/>
                <w:highlight w:val="none"/>
                <w:lang w:val="en-US" w:eastAsia="zh-CN"/>
              </w:rPr>
              <w:t>2022</w:t>
            </w:r>
            <w:r>
              <w:rPr>
                <w:rFonts w:ascii="宋体" w:cs="宋体" w:eastAsia="宋体" w:hAnsi="宋体" w:hint="eastAsia"/>
                <w:color w:val="auto"/>
                <w:sz w:val="24"/>
                <w:szCs w:val="24"/>
                <w:highlight w:val="none"/>
              </w:rPr>
              <w:t>年1月1日</w:t>
            </w:r>
            <w:r>
              <w:rPr>
                <w:rFonts w:ascii="宋体" w:cs="宋体" w:eastAsia="宋体" w:hAnsi="宋体" w:hint="eastAsia"/>
                <w:color w:val="auto"/>
                <w:sz w:val="24"/>
                <w:szCs w:val="24"/>
                <w:highlight w:val="none"/>
                <w:lang w:eastAsia="zh-CN"/>
              </w:rPr>
              <w:t>（以合同签订时间为准）</w:t>
            </w:r>
            <w:r>
              <w:rPr>
                <w:rFonts w:ascii="宋体" w:cs="宋体" w:eastAsia="宋体" w:hAnsi="宋体" w:hint="eastAsia"/>
                <w:color w:val="auto"/>
                <w:sz w:val="24"/>
                <w:szCs w:val="24"/>
                <w:highlight w:val="none"/>
              </w:rPr>
              <w:t>以来类似业绩的，每提供一份合同</w:t>
            </w:r>
            <w:r>
              <w:rPr>
                <w:rFonts w:ascii="宋体" w:cs="宋体" w:eastAsia="宋体" w:hAnsi="宋体" w:hint="eastAsia"/>
                <w:color w:val="auto"/>
                <w:sz w:val="24"/>
                <w:szCs w:val="24"/>
                <w:highlight w:val="none"/>
                <w:lang w:val="en-US" w:eastAsia="zh-CN"/>
              </w:rPr>
              <w:t>原件扫描件，</w:t>
            </w:r>
            <w:r>
              <w:rPr>
                <w:rFonts w:ascii="宋体" w:cs="宋体" w:eastAsia="宋体" w:hAnsi="宋体" w:hint="eastAsia"/>
                <w:color w:val="auto"/>
                <w:sz w:val="24"/>
                <w:szCs w:val="24"/>
                <w:highlight w:val="none"/>
              </w:rPr>
              <w:t>得</w:t>
            </w:r>
            <w:r>
              <w:rPr>
                <w:rFonts w:ascii="宋体" w:cs="宋体" w:eastAsia="宋体" w:hAnsi="宋体" w:hint="eastAsia"/>
                <w:color w:val="auto"/>
                <w:sz w:val="24"/>
                <w:szCs w:val="24"/>
                <w:highlight w:val="none"/>
                <w:lang w:val="en-US" w:eastAsia="zh-CN"/>
              </w:rPr>
              <w:t>1.5</w:t>
            </w:r>
            <w:r>
              <w:rPr>
                <w:rFonts w:ascii="宋体" w:cs="宋体" w:eastAsia="宋体" w:hAnsi="宋体" w:hint="eastAsia"/>
                <w:color w:val="auto"/>
                <w:sz w:val="24"/>
                <w:szCs w:val="24"/>
                <w:highlight w:val="none"/>
              </w:rPr>
              <w:t>分，最多得</w:t>
            </w:r>
            <w:r>
              <w:rPr>
                <w:rFonts w:ascii="宋体" w:cs="宋体" w:eastAsia="宋体" w:hAnsi="宋体" w:hint="eastAsia"/>
                <w:color w:val="auto"/>
                <w:sz w:val="24"/>
                <w:szCs w:val="24"/>
                <w:highlight w:val="none"/>
                <w:lang w:val="en-US" w:eastAsia="zh-CN"/>
              </w:rPr>
              <w:t>3</w:t>
            </w:r>
            <w:r>
              <w:rPr>
                <w:rFonts w:ascii="宋体" w:cs="宋体" w:eastAsia="宋体" w:hAnsi="宋体" w:hint="eastAsia"/>
                <w:color w:val="auto"/>
                <w:sz w:val="24"/>
                <w:szCs w:val="24"/>
                <w:highlight w:val="none"/>
              </w:rPr>
              <w:t>分</w:t>
            </w:r>
            <w:r>
              <w:rPr>
                <w:rFonts w:ascii="宋体" w:cs="宋体" w:eastAsia="宋体" w:hAnsi="宋体" w:hint="eastAsia"/>
                <w:color w:val="auto"/>
                <w:sz w:val="24"/>
                <w:szCs w:val="24"/>
                <w:highlight w:val="none"/>
                <w:lang w:eastAsia="zh-CN"/>
              </w:rPr>
              <w:t>，</w:t>
            </w:r>
            <w:r>
              <w:rPr>
                <w:rFonts w:ascii="宋体" w:cs="宋体" w:eastAsia="宋体" w:hAnsi="宋体" w:hint="eastAsia"/>
                <w:color w:val="auto"/>
                <w:sz w:val="24"/>
                <w:szCs w:val="24"/>
                <w:highlight w:val="none"/>
                <w:lang w:val="en-US" w:eastAsia="zh-CN"/>
              </w:rPr>
              <w:t>否则不得分。</w:t>
            </w:r>
          </w:p>
          <w:p w14:paraId="4840C2A9">
            <w:pPr>
              <w:pStyle w:val="style0"/>
              <w:spacing w:lineRule="auto" w:line="360"/>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注：类似业绩是指与本项目采购内容相似或相近业绩。</w:t>
            </w:r>
          </w:p>
        </w:tc>
      </w:tr>
      <w:tr w14:paraId="7615A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3" w:hRule="atLeast"/>
        </w:trPr>
        <w:tc>
          <w:tcPr>
            <w:tcW w:w="850" w:type="dxa"/>
            <w:vMerge w:val="continue"/>
            <w:tcBorders/>
            <w:vAlign w:val="center"/>
          </w:tcPr>
          <w:p w14:paraId="31C409D8">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0D945660">
            <w:pPr>
              <w:pStyle w:val="style0"/>
              <w:spacing w:lineRule="auto" w:line="360"/>
              <w:jc w:val="center"/>
              <w:rPr>
                <w:rFonts w:ascii="宋体" w:cs="宋体" w:eastAsia="宋体" w:hAnsi="宋体" w:hint="eastAsia"/>
                <w:b/>
                <w:sz w:val="24"/>
                <w:szCs w:val="24"/>
                <w:highlight w:val="none"/>
              </w:rPr>
            </w:pPr>
          </w:p>
        </w:tc>
        <w:tc>
          <w:tcPr>
            <w:tcW w:w="1328" w:type="dxa"/>
            <w:tcBorders/>
            <w:vAlign w:val="center"/>
          </w:tcPr>
          <w:p w14:paraId="76BDC60A">
            <w:pPr>
              <w:pStyle w:val="style0"/>
              <w:spacing w:lineRule="auto" w:line="360"/>
              <w:jc w:val="center"/>
              <w:rPr>
                <w:rFonts w:ascii="宋体" w:cs="宋体" w:eastAsia="宋体" w:hAnsi="宋体" w:hint="eastAsia"/>
                <w:b/>
                <w:bCs/>
                <w:kern w:val="0"/>
                <w:sz w:val="24"/>
                <w:szCs w:val="24"/>
                <w:highlight w:val="none"/>
                <w:lang w:val="en-US" w:eastAsia="zh-CN"/>
              </w:rPr>
            </w:pPr>
            <w:r>
              <w:rPr>
                <w:rFonts w:ascii="宋体" w:cs="宋体" w:eastAsia="宋体" w:hAnsi="宋体" w:hint="eastAsia"/>
                <w:b/>
                <w:bCs/>
                <w:kern w:val="0"/>
                <w:sz w:val="24"/>
                <w:szCs w:val="24"/>
                <w:highlight w:val="none"/>
                <w:lang w:val="en-US" w:eastAsia="zh-CN"/>
              </w:rPr>
              <w:t>落实绿色产品</w:t>
            </w:r>
          </w:p>
          <w:p w14:paraId="6B8494DE">
            <w:pPr>
              <w:pStyle w:val="style0"/>
              <w:spacing w:lineRule="auto" w:line="360"/>
              <w:jc w:val="center"/>
              <w:rPr>
                <w:rFonts w:ascii="宋体" w:cs="宋体" w:eastAsia="宋体" w:hAnsi="宋体" w:hint="eastAsia"/>
                <w:b/>
                <w:bCs/>
                <w:kern w:val="0"/>
                <w:sz w:val="24"/>
                <w:szCs w:val="24"/>
                <w:highlight w:val="none"/>
                <w:lang w:val="en-US" w:eastAsia="zh-CN"/>
              </w:rPr>
            </w:pPr>
            <w:r>
              <w:rPr>
                <w:rFonts w:ascii="宋体" w:cs="宋体" w:eastAsia="宋体" w:hAnsi="宋体" w:hint="eastAsia"/>
                <w:b/>
                <w:bCs/>
                <w:kern w:val="0"/>
                <w:sz w:val="24"/>
                <w:szCs w:val="24"/>
                <w:highlight w:val="none"/>
                <w:lang w:val="en-US" w:eastAsia="zh-CN"/>
              </w:rPr>
              <w:t>（2分）</w:t>
            </w:r>
          </w:p>
        </w:tc>
        <w:tc>
          <w:tcPr>
            <w:tcW w:w="6035" w:type="dxa"/>
            <w:gridSpan w:val="4"/>
            <w:tcBorders/>
            <w:vAlign w:val="center"/>
          </w:tcPr>
          <w:p w14:paraId="4A6FD5B3">
            <w:pPr>
              <w:pStyle w:val="style0"/>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投标人所投货物在节能产品政府采购品目清单内的</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强制采购产品</w:t>
            </w:r>
            <w:r>
              <w:rPr>
                <w:rFonts w:ascii="宋体" w:cs="宋体" w:eastAsia="宋体" w:hAnsi="宋体" w:hint="eastAsia"/>
                <w:sz w:val="24"/>
                <w:szCs w:val="24"/>
                <w:highlight w:val="none"/>
                <w:lang w:val="en-US" w:eastAsia="zh-CN"/>
              </w:rPr>
              <w:t>除外）</w:t>
            </w:r>
            <w:r>
              <w:rPr>
                <w:rFonts w:ascii="宋体" w:cs="宋体" w:eastAsia="宋体" w:hAnsi="宋体" w:hint="eastAsia"/>
                <w:sz w:val="24"/>
                <w:szCs w:val="24"/>
                <w:highlight w:val="none"/>
              </w:rPr>
              <w:t>，提供具有国家确定的认证机构出具的、处于有效期之内的节能产品认证证书原件扫描件的得</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分，如没有不得分。</w:t>
            </w:r>
          </w:p>
          <w:p w14:paraId="61350E8D">
            <w:pPr>
              <w:pStyle w:val="style0"/>
              <w:spacing w:lineRule="auto" w:line="360"/>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2、</w:t>
            </w:r>
            <w:r>
              <w:rPr>
                <w:rFonts w:ascii="宋体" w:cs="宋体" w:eastAsia="宋体" w:hAnsi="宋体" w:hint="eastAsia"/>
                <w:sz w:val="24"/>
                <w:szCs w:val="24"/>
                <w:highlight w:val="none"/>
              </w:rPr>
              <w:t>投标人所投货物在环境标志产品品目清单内的，提供具有国家确定的认证机构出具的、处于有效期之内的环境标志产品认证证书原件扫描件的得</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分，如没有不得分。</w:t>
            </w:r>
          </w:p>
        </w:tc>
      </w:tr>
      <w:tr w14:paraId="5BDEB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3" w:hRule="atLeast"/>
        </w:trPr>
        <w:tc>
          <w:tcPr>
            <w:tcW w:w="850" w:type="dxa"/>
            <w:vMerge w:val="continue"/>
            <w:tcBorders/>
            <w:vAlign w:val="center"/>
          </w:tcPr>
          <w:p w14:paraId="39BE5B36">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7957E355">
            <w:pPr>
              <w:pStyle w:val="style0"/>
              <w:spacing w:lineRule="auto" w:line="360"/>
              <w:jc w:val="center"/>
              <w:rPr>
                <w:rFonts w:ascii="宋体" w:cs="宋体" w:eastAsia="宋体" w:hAnsi="宋体" w:hint="eastAsia"/>
                <w:b/>
                <w:sz w:val="24"/>
                <w:szCs w:val="24"/>
                <w:highlight w:val="none"/>
              </w:rPr>
            </w:pPr>
          </w:p>
        </w:tc>
        <w:tc>
          <w:tcPr>
            <w:tcW w:w="1328" w:type="dxa"/>
            <w:tcBorders/>
            <w:vAlign w:val="center"/>
          </w:tcPr>
          <w:p w14:paraId="45C2D85A">
            <w:pPr>
              <w:pStyle w:val="style0"/>
              <w:spacing w:lineRule="auto" w:line="360"/>
              <w:jc w:val="center"/>
              <w:rPr>
                <w:rFonts w:ascii="宋体" w:cs="宋体" w:eastAsia="宋体" w:hAnsi="宋体" w:hint="eastAsia"/>
                <w:b/>
                <w:bCs/>
                <w:kern w:val="0"/>
                <w:sz w:val="24"/>
                <w:szCs w:val="24"/>
                <w:highlight w:val="none"/>
                <w:lang w:val="en-US" w:eastAsia="zh-CN"/>
              </w:rPr>
            </w:pPr>
            <w:r>
              <w:rPr>
                <w:rFonts w:ascii="宋体" w:cs="宋体" w:eastAsia="宋体" w:hAnsi="宋体" w:hint="eastAsia"/>
                <w:b/>
                <w:sz w:val="24"/>
                <w:szCs w:val="24"/>
                <w:highlight w:val="none"/>
              </w:rPr>
              <w:t>售后服务</w:t>
            </w:r>
            <w:r>
              <w:rPr>
                <w:rFonts w:ascii="宋体" w:cs="宋体" w:eastAsia="宋体" w:hAnsi="宋体" w:hint="eastAsia"/>
                <w:b/>
                <w:bCs/>
                <w:kern w:val="0"/>
                <w:sz w:val="24"/>
                <w:szCs w:val="24"/>
                <w:highlight w:val="none"/>
              </w:rPr>
              <w:t>（</w:t>
            </w:r>
            <w:r>
              <w:rPr>
                <w:rFonts w:ascii="宋体" w:cs="宋体" w:eastAsia="宋体" w:hAnsi="宋体" w:hint="eastAsia"/>
                <w:b/>
                <w:bCs/>
                <w:kern w:val="0"/>
                <w:sz w:val="24"/>
                <w:szCs w:val="24"/>
                <w:highlight w:val="none"/>
                <w:lang w:val="en-US" w:eastAsia="zh-CN"/>
              </w:rPr>
              <w:t>5</w:t>
            </w:r>
            <w:r>
              <w:rPr>
                <w:rFonts w:ascii="宋体" w:cs="宋体" w:eastAsia="宋体" w:hAnsi="宋体" w:hint="eastAsia"/>
                <w:b/>
                <w:bCs/>
                <w:kern w:val="0"/>
                <w:sz w:val="24"/>
                <w:szCs w:val="24"/>
                <w:highlight w:val="none"/>
              </w:rPr>
              <w:t>分）</w:t>
            </w:r>
          </w:p>
        </w:tc>
        <w:tc>
          <w:tcPr>
            <w:tcW w:w="6035" w:type="dxa"/>
            <w:gridSpan w:val="4"/>
            <w:tcBorders/>
            <w:vAlign w:val="center"/>
          </w:tcPr>
          <w:p w14:paraId="68DAC986">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kern w:val="2"/>
                <w:sz w:val="24"/>
                <w:szCs w:val="24"/>
                <w:lang w:val="en-US" w:bidi="ar-SA" w:eastAsia="zh-CN"/>
              </w:rPr>
              <w:t>1、</w:t>
            </w:r>
            <w:r>
              <w:rPr>
                <w:rFonts w:ascii="宋体" w:cs="宋体" w:eastAsia="宋体" w:hAnsi="宋体" w:hint="eastAsia"/>
                <w:sz w:val="24"/>
                <w:szCs w:val="24"/>
                <w:highlight w:val="none"/>
              </w:rPr>
              <w:t>综合考虑各方面需求，</w:t>
            </w:r>
            <w:r>
              <w:rPr>
                <w:rFonts w:ascii="宋体" w:cs="宋体" w:eastAsia="宋体" w:hAnsi="宋体" w:hint="eastAsia"/>
                <w:sz w:val="24"/>
                <w:szCs w:val="24"/>
                <w:highlight w:val="none"/>
                <w:lang w:val="en-US" w:eastAsia="zh-CN"/>
              </w:rPr>
              <w:t>投标人</w:t>
            </w:r>
            <w:r>
              <w:rPr>
                <w:rFonts w:ascii="宋体" w:cs="宋体" w:eastAsia="宋体" w:hAnsi="宋体" w:hint="eastAsia"/>
                <w:sz w:val="24"/>
                <w:szCs w:val="24"/>
                <w:highlight w:val="none"/>
              </w:rPr>
              <w:t>有完善的售后服务计划</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稳定的售后服务队伍，方案内容完整</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考虑全面周到，多样，响应及时，得</w:t>
            </w:r>
            <w:r>
              <w:rPr>
                <w:rFonts w:ascii="宋体" w:cs="宋体" w:eastAsia="宋体" w:hAnsi="宋体" w:hint="eastAsia"/>
                <w:sz w:val="24"/>
                <w:szCs w:val="24"/>
                <w:highlight w:val="none"/>
                <w:lang w:val="en-US" w:eastAsia="zh-CN"/>
              </w:rPr>
              <w:t>5</w:t>
            </w:r>
            <w:r>
              <w:rPr>
                <w:rFonts w:ascii="宋体" w:cs="宋体" w:eastAsia="宋体" w:hAnsi="宋体" w:hint="eastAsia"/>
                <w:sz w:val="24"/>
                <w:szCs w:val="24"/>
                <w:highlight w:val="none"/>
              </w:rPr>
              <w:t>分；</w:t>
            </w:r>
          </w:p>
          <w:p w14:paraId="3BA4A720">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kern w:val="2"/>
                <w:sz w:val="24"/>
                <w:szCs w:val="24"/>
                <w:lang w:val="en-US" w:bidi="ar-SA" w:eastAsia="zh-CN"/>
              </w:rPr>
              <w:t>2、</w:t>
            </w:r>
            <w:r>
              <w:rPr>
                <w:rFonts w:ascii="宋体" w:cs="宋体" w:eastAsia="宋体" w:hAnsi="宋体" w:hint="eastAsia"/>
                <w:sz w:val="24"/>
                <w:szCs w:val="24"/>
                <w:highlight w:val="none"/>
              </w:rPr>
              <w:t>综合考虑各方面需求，</w:t>
            </w:r>
            <w:r>
              <w:rPr>
                <w:rFonts w:ascii="宋体" w:cs="宋体" w:eastAsia="宋体" w:hAnsi="宋体" w:hint="eastAsia"/>
                <w:sz w:val="24"/>
                <w:szCs w:val="24"/>
                <w:highlight w:val="none"/>
                <w:lang w:val="en-US" w:eastAsia="zh-CN"/>
              </w:rPr>
              <w:t>投标人</w:t>
            </w:r>
            <w:r>
              <w:rPr>
                <w:rFonts w:ascii="宋体" w:cs="宋体" w:eastAsia="宋体" w:hAnsi="宋体" w:hint="eastAsia"/>
                <w:sz w:val="24"/>
                <w:szCs w:val="24"/>
                <w:highlight w:val="none"/>
              </w:rPr>
              <w:t>有</w:t>
            </w:r>
            <w:r>
              <w:rPr>
                <w:rFonts w:ascii="宋体" w:cs="宋体" w:eastAsia="宋体" w:hAnsi="宋体" w:hint="eastAsia"/>
                <w:sz w:val="24"/>
                <w:szCs w:val="24"/>
                <w:highlight w:val="none"/>
                <w:lang w:val="en-US" w:eastAsia="zh-CN"/>
              </w:rPr>
              <w:t>较为</w:t>
            </w:r>
            <w:r>
              <w:rPr>
                <w:rFonts w:ascii="宋体" w:cs="宋体" w:eastAsia="宋体" w:hAnsi="宋体" w:hint="eastAsia"/>
                <w:sz w:val="24"/>
                <w:szCs w:val="24"/>
                <w:highlight w:val="none"/>
              </w:rPr>
              <w:t>完善的售后服务计划</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稳定的售后服务队伍，方案内容较为完整、考虑基本全面，响应较为及时，得</w:t>
            </w:r>
            <w:r>
              <w:rPr>
                <w:rFonts w:ascii="宋体" w:cs="宋体" w:eastAsia="宋体" w:hAnsi="宋体" w:hint="eastAsia"/>
                <w:sz w:val="24"/>
                <w:szCs w:val="24"/>
                <w:highlight w:val="none"/>
                <w:lang w:val="en-US" w:eastAsia="zh-CN"/>
              </w:rPr>
              <w:t>3</w:t>
            </w:r>
            <w:r>
              <w:rPr>
                <w:rFonts w:ascii="宋体" w:cs="宋体" w:eastAsia="宋体" w:hAnsi="宋体" w:hint="eastAsia"/>
                <w:sz w:val="24"/>
                <w:szCs w:val="24"/>
                <w:highlight w:val="none"/>
              </w:rPr>
              <w:t>分；</w:t>
            </w:r>
          </w:p>
          <w:p w14:paraId="51746E9C">
            <w:pPr>
              <w:pStyle w:val="style0"/>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kern w:val="2"/>
                <w:sz w:val="24"/>
                <w:szCs w:val="24"/>
                <w:lang w:val="en-US" w:bidi="ar-SA" w:eastAsia="zh-CN"/>
              </w:rPr>
              <w:t>3、</w:t>
            </w:r>
            <w:r>
              <w:rPr>
                <w:rFonts w:ascii="宋体" w:cs="宋体" w:eastAsia="宋体" w:hAnsi="宋体" w:hint="eastAsia"/>
                <w:sz w:val="24"/>
                <w:szCs w:val="24"/>
                <w:highlight w:val="none"/>
                <w:lang w:val="en-US" w:eastAsia="zh-CN"/>
              </w:rPr>
              <w:t>投标人</w:t>
            </w:r>
            <w:r>
              <w:rPr>
                <w:rFonts w:ascii="宋体" w:cs="宋体" w:eastAsia="宋体" w:hAnsi="宋体" w:hint="eastAsia"/>
                <w:sz w:val="24"/>
                <w:szCs w:val="24"/>
                <w:highlight w:val="none"/>
              </w:rPr>
              <w:t>有</w:t>
            </w:r>
            <w:r>
              <w:rPr>
                <w:rFonts w:ascii="宋体" w:cs="宋体" w:eastAsia="宋体" w:hAnsi="宋体" w:hint="eastAsia"/>
                <w:sz w:val="24"/>
                <w:szCs w:val="24"/>
                <w:highlight w:val="none"/>
                <w:lang w:val="en-US" w:eastAsia="zh-CN"/>
              </w:rPr>
              <w:t>较为</w:t>
            </w:r>
            <w:r>
              <w:rPr>
                <w:rFonts w:ascii="宋体" w:cs="宋体" w:eastAsia="宋体" w:hAnsi="宋体" w:hint="eastAsia"/>
                <w:sz w:val="24"/>
                <w:szCs w:val="24"/>
                <w:highlight w:val="none"/>
              </w:rPr>
              <w:t>完善的售后服务计划</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稳定的售后服务队伍，服务方案内容不完整</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考虑不全面，响应不及时，得</w:t>
            </w:r>
            <w:r>
              <w:rPr>
                <w:rFonts w:ascii="宋体" w:cs="宋体" w:eastAsia="宋体" w:hAnsi="宋体" w:hint="eastAsia"/>
                <w:sz w:val="24"/>
                <w:szCs w:val="24"/>
                <w:highlight w:val="none"/>
                <w:lang w:val="en-US" w:eastAsia="zh-CN"/>
              </w:rPr>
              <w:t>1</w:t>
            </w:r>
            <w:r>
              <w:rPr>
                <w:rFonts w:ascii="宋体" w:cs="宋体" w:eastAsia="宋体" w:hAnsi="宋体" w:hint="eastAsia"/>
                <w:sz w:val="24"/>
                <w:szCs w:val="24"/>
                <w:highlight w:val="none"/>
              </w:rPr>
              <w:t>分；</w:t>
            </w:r>
          </w:p>
          <w:p w14:paraId="027D1DD1">
            <w:pPr>
              <w:pStyle w:val="style0"/>
              <w:spacing w:lineRule="auto" w:line="360"/>
              <w:rPr>
                <w:rFonts w:ascii="宋体" w:cs="宋体" w:eastAsia="宋体" w:hAnsi="宋体" w:hint="eastAsia"/>
                <w:sz w:val="24"/>
                <w:szCs w:val="24"/>
                <w:highlight w:val="none"/>
                <w:lang w:val="en-US" w:eastAsia="zh-CN"/>
              </w:rPr>
            </w:pPr>
            <w:r>
              <w:rPr>
                <w:rFonts w:ascii="宋体" w:cs="宋体" w:eastAsia="宋体" w:hAnsi="宋体" w:hint="eastAsia"/>
                <w:kern w:val="2"/>
                <w:sz w:val="24"/>
                <w:szCs w:val="24"/>
                <w:lang w:val="en-US" w:bidi="ar-SA" w:eastAsia="zh-CN"/>
              </w:rPr>
              <w:t>4、</w:t>
            </w:r>
            <w:r>
              <w:rPr>
                <w:rFonts w:ascii="宋体" w:cs="宋体" w:eastAsia="宋体" w:hAnsi="宋体" w:hint="eastAsia"/>
                <w:sz w:val="24"/>
                <w:szCs w:val="24"/>
                <w:highlight w:val="none"/>
              </w:rPr>
              <w:t>未提供者不得分。</w:t>
            </w:r>
          </w:p>
        </w:tc>
      </w:tr>
      <w:tr w14:paraId="7F00C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hRule="atLeast"/>
        </w:trPr>
        <w:tc>
          <w:tcPr>
            <w:tcW w:w="850" w:type="dxa"/>
            <w:vMerge w:val="continue"/>
            <w:tcBorders/>
            <w:vAlign w:val="center"/>
          </w:tcPr>
          <w:p w14:paraId="48057F52">
            <w:pPr>
              <w:pStyle w:val="style0"/>
              <w:spacing w:lineRule="auto" w:line="360"/>
              <w:jc w:val="center"/>
              <w:rPr>
                <w:rFonts w:ascii="宋体" w:cs="宋体" w:eastAsia="宋体" w:hAnsi="宋体" w:hint="eastAsia"/>
                <w:sz w:val="24"/>
                <w:szCs w:val="24"/>
                <w:highlight w:val="none"/>
              </w:rPr>
            </w:pPr>
          </w:p>
        </w:tc>
        <w:tc>
          <w:tcPr>
            <w:tcW w:w="1129" w:type="dxa"/>
            <w:vMerge w:val="continue"/>
            <w:tcBorders/>
            <w:vAlign w:val="center"/>
          </w:tcPr>
          <w:p w14:paraId="0E31E18E">
            <w:pPr>
              <w:pStyle w:val="style0"/>
              <w:spacing w:lineRule="auto" w:line="360"/>
              <w:jc w:val="center"/>
              <w:rPr>
                <w:rFonts w:ascii="宋体" w:cs="宋体" w:eastAsia="宋体" w:hAnsi="宋体" w:hint="eastAsia"/>
                <w:b/>
                <w:sz w:val="24"/>
                <w:szCs w:val="24"/>
                <w:highlight w:val="none"/>
              </w:rPr>
            </w:pPr>
          </w:p>
        </w:tc>
        <w:tc>
          <w:tcPr>
            <w:tcW w:w="7363" w:type="dxa"/>
            <w:gridSpan w:val="5"/>
            <w:tcBorders/>
            <w:vAlign w:val="center"/>
          </w:tcPr>
          <w:p w14:paraId="5D5F08EB">
            <w:pPr>
              <w:pStyle w:val="style0"/>
              <w:spacing w:lineRule="auto" w:line="360"/>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注：上述证明材料均需提供原件扫描件附于投标文件中。</w:t>
            </w:r>
          </w:p>
        </w:tc>
      </w:tr>
      <w:bookmarkStart w:id="45" w:name="_Toc27524"/>
    </w:tbl>
    <w:p w14:paraId="49332528">
      <w:pPr>
        <w:pStyle w:val="style0"/>
        <w:widowControl/>
        <w:wordWrap w:val="false"/>
        <w:spacing w:lineRule="auto" w:line="360"/>
        <w:ind w:firstLine="482" w:firstLineChars="200"/>
        <w:outlineLvl w:val="9"/>
        <w:rPr>
          <w:rFonts w:ascii="宋体" w:cs="宋体" w:eastAsia="宋体" w:hAnsi="宋体" w:hint="eastAsia"/>
          <w:b/>
          <w:color w:val="auto"/>
          <w:sz w:val="24"/>
          <w:szCs w:val="24"/>
          <w:highlight w:val="none"/>
          <w:lang w:eastAsia="zh-CN"/>
        </w:rPr>
      </w:pPr>
    </w:p>
    <w:p w14:paraId="5176B534">
      <w:pPr>
        <w:pStyle w:val="style0"/>
        <w:widowControl/>
        <w:wordWrap w:val="false"/>
        <w:spacing w:lineRule="auto" w:line="360"/>
        <w:ind w:firstLine="482" w:firstLineChars="200"/>
        <w:outlineLvl w:val="9"/>
        <w:rPr>
          <w:rFonts w:ascii="宋体" w:cs="宋体" w:eastAsia="宋体" w:hAnsi="宋体" w:hint="eastAsia"/>
          <w:color w:val="auto"/>
          <w:sz w:val="24"/>
          <w:szCs w:val="24"/>
          <w:highlight w:val="none"/>
          <w:lang w:eastAsia="zh-CN"/>
        </w:rPr>
      </w:pPr>
      <w:r>
        <w:rPr>
          <w:rFonts w:ascii="宋体" w:cs="宋体" w:eastAsia="宋体" w:hAnsi="宋体" w:hint="eastAsia"/>
          <w:b/>
          <w:color w:val="auto"/>
          <w:sz w:val="24"/>
          <w:szCs w:val="24"/>
          <w:highlight w:val="none"/>
          <w:lang w:eastAsia="zh-CN"/>
        </w:rPr>
        <w:t>三、得分的计算</w:t>
      </w:r>
      <w:bookmarkEnd w:id="45"/>
    </w:p>
    <w:p w14:paraId="210D2029">
      <w:pPr>
        <w:pStyle w:val="style0"/>
        <w:widowControl/>
        <w:wordWrap w:val="false"/>
        <w:spacing w:lineRule="auto" w:line="360"/>
        <w:ind w:firstLine="480" w:firstLineChars="20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磋商小组成员评分</w:t>
      </w:r>
      <w:r>
        <w:rPr>
          <w:rFonts w:ascii="宋体" w:cs="宋体" w:eastAsia="宋体" w:hAnsi="宋体" w:hint="eastAsia"/>
          <w:bCs/>
          <w:color w:val="auto"/>
          <w:sz w:val="24"/>
          <w:szCs w:val="24"/>
          <w:highlight w:val="none"/>
          <w:lang w:eastAsia="zh-CN"/>
        </w:rPr>
        <w:t>=</w:t>
      </w:r>
      <w:r>
        <w:rPr>
          <w:rFonts w:cs="宋体" w:hint="eastAsia"/>
          <w:bCs/>
          <w:color w:val="auto"/>
          <w:sz w:val="24"/>
          <w:szCs w:val="24"/>
          <w:highlight w:val="none"/>
          <w:lang w:val="en-US" w:eastAsia="zh-CN"/>
        </w:rPr>
        <w:t>经济标得分</w:t>
      </w:r>
      <w:r>
        <w:rPr>
          <w:rFonts w:ascii="宋体" w:cs="宋体" w:eastAsia="宋体" w:hAnsi="宋体" w:hint="eastAsia"/>
          <w:bCs/>
          <w:color w:val="auto"/>
          <w:sz w:val="24"/>
          <w:szCs w:val="24"/>
          <w:highlight w:val="none"/>
          <w:lang w:eastAsia="zh-CN"/>
        </w:rPr>
        <w:t>+技术</w:t>
      </w:r>
      <w:r>
        <w:rPr>
          <w:rFonts w:cs="宋体" w:hint="eastAsia"/>
          <w:bCs/>
          <w:color w:val="auto"/>
          <w:sz w:val="24"/>
          <w:szCs w:val="24"/>
          <w:highlight w:val="none"/>
          <w:lang w:val="en-US" w:eastAsia="zh-CN"/>
        </w:rPr>
        <w:t>标</w:t>
      </w:r>
      <w:r>
        <w:rPr>
          <w:rFonts w:ascii="宋体" w:cs="宋体" w:eastAsia="宋体" w:hAnsi="宋体" w:hint="eastAsia"/>
          <w:bCs/>
          <w:color w:val="auto"/>
          <w:sz w:val="24"/>
          <w:szCs w:val="24"/>
          <w:highlight w:val="none"/>
          <w:lang w:eastAsia="zh-CN"/>
        </w:rPr>
        <w:t>得分+综合</w:t>
      </w:r>
      <w:r>
        <w:rPr>
          <w:rFonts w:cs="宋体" w:hint="eastAsia"/>
          <w:bCs/>
          <w:color w:val="auto"/>
          <w:sz w:val="24"/>
          <w:szCs w:val="24"/>
          <w:highlight w:val="none"/>
          <w:lang w:val="en-US" w:eastAsia="zh-CN"/>
        </w:rPr>
        <w:t>标</w:t>
      </w:r>
      <w:r>
        <w:rPr>
          <w:rFonts w:ascii="宋体" w:cs="宋体" w:eastAsia="宋体" w:hAnsi="宋体" w:hint="eastAsia"/>
          <w:bCs/>
          <w:color w:val="auto"/>
          <w:sz w:val="24"/>
          <w:szCs w:val="24"/>
          <w:highlight w:val="none"/>
          <w:lang w:eastAsia="zh-CN"/>
        </w:rPr>
        <w:t>得分</w:t>
      </w:r>
    </w:p>
    <w:p w14:paraId="5B668AA6">
      <w:pPr>
        <w:pStyle w:val="style0"/>
        <w:widowControl/>
        <w:wordWrap w:val="false"/>
        <w:spacing w:lineRule="auto" w:line="360"/>
        <w:ind w:firstLine="480" w:firstLineChars="200"/>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eastAsia="zh-CN"/>
        </w:rPr>
        <w:t>评</w:t>
      </w:r>
      <w:r>
        <w:rPr>
          <w:rFonts w:ascii="宋体" w:cs="宋体" w:eastAsia="宋体" w:hAnsi="宋体" w:hint="eastAsia"/>
          <w:color w:val="auto"/>
          <w:sz w:val="24"/>
          <w:szCs w:val="24"/>
          <w:highlight w:val="none"/>
          <w:lang w:val="en-US" w:eastAsia="zh-CN"/>
        </w:rPr>
        <w:t>审</w:t>
      </w:r>
      <w:r>
        <w:rPr>
          <w:rFonts w:ascii="宋体" w:cs="宋体" w:eastAsia="宋体" w:hAnsi="宋体" w:hint="eastAsia"/>
          <w:color w:val="auto"/>
          <w:sz w:val="24"/>
          <w:szCs w:val="24"/>
          <w:highlight w:val="none"/>
          <w:lang w:eastAsia="zh-CN"/>
        </w:rPr>
        <w:t>最终得分=磋商小组所有成员合计评分/磋商小组组成人员数</w:t>
      </w:r>
    </w:p>
    <w:p w14:paraId="44DD1A40">
      <w:pPr>
        <w:pStyle w:val="style0"/>
        <w:spacing w:lineRule="auto" w:line="360"/>
        <w:jc w:val="both"/>
        <w:rPr>
          <w:rFonts w:ascii="宋体" w:cs="宋体" w:eastAsia="宋体" w:hAnsi="宋体" w:hint="eastAsia"/>
          <w:color w:val="auto"/>
          <w:sz w:val="24"/>
          <w:szCs w:val="24"/>
          <w:highlight w:val="none"/>
          <w:lang w:eastAsia="zh-CN"/>
        </w:rPr>
        <w:sectPr>
          <w:pgSz w:w="11910" w:h="16840" w:orient="portrait"/>
          <w:pgMar w:top="1440" w:right="1080" w:bottom="1440" w:left="1080" w:header="878" w:footer="1130" w:gutter="0"/>
          <w:pgNumType w:fmt="decimal"/>
          <w:cols w:space="720" w:num="1"/>
        </w:sectPr>
      </w:pPr>
      <w:r>
        <w:rPr>
          <w:rFonts w:ascii="宋体" w:cs="宋体" w:eastAsia="宋体" w:hAnsi="宋体" w:hint="eastAsia"/>
          <w:color w:val="auto"/>
          <w:sz w:val="24"/>
          <w:szCs w:val="24"/>
          <w:highlight w:val="none"/>
          <w:lang w:eastAsia="zh-CN"/>
        </w:rPr>
        <w:br w:type="page"/>
      </w:r>
    </w:p>
    <w:bookmarkStart w:id="46" w:name="1._评审方法"/>
    <w:bookmarkStart w:id="47" w:name="_Toc25753"/>
    <w:bookmarkStart w:id="48" w:name="_Toc10255"/>
    <w:bookmarkEnd w:id="46"/>
    <w:p w14:paraId="0F707835">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left="0" w:leftChars="0" w:firstLine="0" w:firstLineChars="0"/>
        <w:jc w:val="center"/>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val="en-US" w:eastAsia="zh-CN"/>
        </w:rPr>
        <w:t>1.</w:t>
      </w:r>
      <w:r>
        <w:rPr>
          <w:rFonts w:ascii="宋体" w:cs="宋体" w:eastAsia="宋体" w:hAnsi="宋体" w:hint="eastAsia"/>
          <w:b/>
          <w:bCs/>
          <w:color w:val="auto"/>
          <w:sz w:val="21"/>
          <w:szCs w:val="21"/>
          <w:highlight w:val="none"/>
          <w:lang w:eastAsia="zh-CN"/>
        </w:rPr>
        <w:t>评审方法</w:t>
      </w:r>
      <w:bookmarkEnd w:id="47"/>
      <w:bookmarkEnd w:id="48"/>
    </w:p>
    <w:p w14:paraId="4EC959B4">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本次评审采用综合评分法。</w:t>
      </w:r>
    </w:p>
    <w:p w14:paraId="55E2026E">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磋商小组对满足竞争性磋商文件实质性要求的响应文件，按照本章第 2.2 款规定的评审标准进行打分，并按得分由高到低顺序推荐成交候选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。综合评分相等的情况下，以磋商报价低的优先，磋商报价也相等的，优先采购技术</w:t>
      </w:r>
      <w:r>
        <w:rPr>
          <w:rFonts w:cs="宋体" w:hint="eastAsia"/>
          <w:color w:val="auto"/>
          <w:sz w:val="21"/>
          <w:szCs w:val="21"/>
          <w:highlight w:val="none"/>
          <w:lang w:val="en-US" w:eastAsia="zh-CN"/>
        </w:rPr>
        <w:t>标</w:t>
      </w:r>
      <w:r>
        <w:rPr>
          <w:rFonts w:ascii="宋体" w:cs="宋体" w:eastAsia="宋体" w:hAnsi="宋体" w:hint="eastAsia"/>
          <w:color w:val="auto"/>
          <w:sz w:val="21"/>
          <w:szCs w:val="21"/>
          <w:highlight w:val="none"/>
          <w:lang w:eastAsia="zh-CN"/>
        </w:rPr>
        <w:t>得分高的。技术</w:t>
      </w:r>
      <w:r>
        <w:rPr>
          <w:rFonts w:cs="宋体" w:hint="eastAsia"/>
          <w:color w:val="auto"/>
          <w:sz w:val="21"/>
          <w:szCs w:val="21"/>
          <w:highlight w:val="none"/>
          <w:lang w:val="en-US" w:eastAsia="zh-CN"/>
        </w:rPr>
        <w:t>标</w:t>
      </w:r>
      <w:r>
        <w:rPr>
          <w:rFonts w:ascii="宋体" w:cs="宋体" w:eastAsia="宋体" w:hAnsi="宋体" w:hint="eastAsia"/>
          <w:color w:val="auto"/>
          <w:sz w:val="21"/>
          <w:szCs w:val="21"/>
          <w:highlight w:val="none"/>
          <w:lang w:eastAsia="zh-CN"/>
        </w:rPr>
        <w:t>得分也相同时，优先采购节能环保产品合计金额占自身报价比例大的供应商。当比例也相同时，由采购人自行确定。</w:t>
      </w:r>
    </w:p>
    <w:p w14:paraId="5D427CD2">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left="0" w:leftChars="0" w:firstLine="0" w:firstLineChars="0"/>
        <w:jc w:val="center"/>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2.评审标准</w:t>
      </w:r>
    </w:p>
    <w:p w14:paraId="22C96E8E">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2.1初步评审标准</w:t>
      </w:r>
    </w:p>
    <w:p w14:paraId="6840869D">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2.1.1形式评审标准：见评审办法前附表。</w:t>
      </w:r>
    </w:p>
    <w:p w14:paraId="7D8255E4">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2.1.2资格评审标准：见评审办法前附表。</w:t>
      </w:r>
    </w:p>
    <w:p w14:paraId="52DCBFBC">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2.1.3响应性评审标准：见评审办法前附表。</w:t>
      </w:r>
    </w:p>
    <w:p w14:paraId="392B286D">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2.2评分标准</w:t>
      </w:r>
    </w:p>
    <w:p w14:paraId="125337F2">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2.2.1分值构成：见评审办法前附表。</w:t>
      </w:r>
    </w:p>
    <w:p w14:paraId="668C87BC">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2.2.2磋商报价部分：见评审办法前附表。</w:t>
      </w:r>
    </w:p>
    <w:p w14:paraId="427D4202">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2.2.3评审标准：见评审办法前附表。</w:t>
      </w:r>
    </w:p>
    <w:p w14:paraId="24B382C4">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left="0" w:leftChars="0" w:firstLine="0" w:firstLineChars="0"/>
        <w:jc w:val="center"/>
        <w:textAlignment w:val="auto"/>
        <w:rPr>
          <w:rFonts w:ascii="宋体" w:cs="宋体" w:eastAsia="宋体" w:hAnsi="宋体" w:hint="eastAsia"/>
          <w:b/>
          <w:bCs/>
          <w:color w:val="auto"/>
          <w:sz w:val="21"/>
          <w:szCs w:val="21"/>
          <w:highlight w:val="none"/>
          <w:lang w:eastAsia="zh-CN"/>
        </w:rPr>
      </w:pPr>
      <w:r>
        <w:rPr>
          <w:rFonts w:ascii="宋体" w:cs="宋体" w:eastAsia="宋体" w:hAnsi="宋体" w:hint="eastAsia"/>
          <w:b/>
          <w:bCs/>
          <w:color w:val="auto"/>
          <w:sz w:val="21"/>
          <w:szCs w:val="21"/>
          <w:highlight w:val="none"/>
          <w:lang w:eastAsia="zh-CN"/>
        </w:rPr>
        <w:t>3.评审程序</w:t>
      </w:r>
    </w:p>
    <w:p w14:paraId="6D0AE080">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3.1符合性审查</w:t>
      </w:r>
    </w:p>
    <w:p w14:paraId="67812DD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无效响应；通过符合性审查的供应商数量不足 3 家的，不得作进一步的比较和评价。</w:t>
      </w:r>
    </w:p>
    <w:p w14:paraId="23BD93F4">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3.1.2采用竞争性磋商采购方式采购的政府购买服务项目（含政府和社会资本合作项目），在采购过程中通过符合性审查的供应商（社会资本）只有2家的，竞争性磋商采购活动可以继续进行。</w:t>
      </w:r>
    </w:p>
    <w:p w14:paraId="75BF500F">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3.1.3如发现下列情况之一的，其响应做废标处理：</w:t>
      </w:r>
    </w:p>
    <w:p w14:paraId="7ADE4148">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（1）响应文件制作机器码一致的；</w:t>
      </w:r>
    </w:p>
    <w:p w14:paraId="3DBC582F">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（2）供应商的报价超过了磋商文件中规定的预算金额或者最高限价的；</w:t>
      </w:r>
    </w:p>
    <w:p w14:paraId="0416D30F">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（3）未通过初步评审的。</w:t>
      </w:r>
    </w:p>
    <w:p w14:paraId="5D62C49B">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3.2资格审查</w:t>
      </w:r>
    </w:p>
    <w:p w14:paraId="7B1E91F1">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3.2.1磋商小组依据法律法规和磋商文件中规定的内容，对供应商的资格进行审查。未通过资格审查的供应商不能进入下一阶段评审；通过资格审查的供应商不足 3 家的，不得进入下一阶段评审，但本须知 3.2.2 条规定的情形除外。</w:t>
      </w:r>
    </w:p>
    <w:p w14:paraId="5B07EE55">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3.2.2采用竞争性磋商采购方式采购的政府购买服务项目（含政府和社会资本合作项目），在采购过程中通过资格审查的供应商（社会资本）只有2家的，竞争性磋商采购活动可以继续进行。</w:t>
      </w:r>
    </w:p>
    <w:p w14:paraId="7A0A3C9D">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3.2.3</w:t>
      </w:r>
      <w:r>
        <w:rPr>
          <w:rFonts w:ascii="宋体" w:cs="宋体" w:eastAsia="宋体" w:hAnsi="宋体" w:hint="eastAsia"/>
          <w:color w:val="auto"/>
          <w:sz w:val="21"/>
          <w:szCs w:val="21"/>
          <w:highlight w:val="none"/>
          <w:lang w:val="en-US" w:eastAsia="zh-CN"/>
        </w:rPr>
        <w:t>信誉（信用）</w:t>
      </w:r>
      <w:r>
        <w:rPr>
          <w:rFonts w:ascii="宋体" w:cs="宋体" w:eastAsia="宋体" w:hAnsi="宋体" w:hint="eastAsia"/>
          <w:color w:val="auto"/>
          <w:sz w:val="21"/>
          <w:szCs w:val="21"/>
          <w:highlight w:val="none"/>
          <w:lang w:eastAsia="zh-CN"/>
        </w:rPr>
        <w:t>查询以采购人或代理机构在现场查询结果为准。</w:t>
      </w:r>
    </w:p>
    <w:p w14:paraId="56CAC60A">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（1）不良信用记录指：供应商在中国政府采购网（www.ccgp.gov.cn）被列入政府采购严重违法失信行为记录名单，在中国执行信息公开网（zxgk.court.gov.cn）被列入失信被执行人，</w:t>
      </w:r>
      <w:r>
        <w:rPr>
          <w:rFonts w:ascii="宋体" w:cs="宋体" w:eastAsia="宋体" w:hAnsi="宋体" w:hint="eastAsia"/>
          <w:color w:val="auto"/>
          <w:sz w:val="21"/>
          <w:szCs w:val="21"/>
          <w:highlight w:val="none"/>
          <w:lang w:val="en-US" w:eastAsia="zh-CN"/>
        </w:rPr>
        <w:t>在</w:t>
      </w:r>
      <w:r>
        <w:rPr>
          <w:rFonts w:ascii="宋体" w:cs="宋体" w:eastAsia="宋体" w:hAnsi="宋体" w:hint="eastAsia"/>
          <w:color w:val="auto"/>
          <w:sz w:val="21"/>
          <w:szCs w:val="21"/>
          <w:highlight w:val="none"/>
          <w:lang w:eastAsia="zh-CN"/>
        </w:rPr>
        <w:t>信用中国网站（www.creditchina.gov.cn）被列入重大税收违法失信主体。</w:t>
      </w:r>
    </w:p>
    <w:p w14:paraId="611DE4F9">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以联合体形式参加政府采购活动的，联合体任何成员存在以上不良信用记录的，联合体响应文件将被认定为无效响应。</w:t>
      </w:r>
    </w:p>
    <w:p w14:paraId="574959A3">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（2）查询及记录方式：采购代理机构经办人将查询网页打印并存档备查。供应商不良信用记录以采购人或采购代理机构查询结果为准。</w:t>
      </w:r>
    </w:p>
    <w:p w14:paraId="1E40A483">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在本磋商文件规定的查询时间之后，网站信息发生的任何变更均不再作为评审依据。</w:t>
      </w:r>
      <w:r>
        <w:rPr>
          <w:rFonts w:cs="宋体" w:hint="eastAsia"/>
          <w:color w:val="auto"/>
          <w:sz w:val="21"/>
          <w:szCs w:val="21"/>
          <w:highlight w:val="none"/>
          <w:lang w:eastAsia="zh-CN"/>
        </w:rPr>
        <w:t>供应商</w:t>
      </w:r>
      <w:r>
        <w:rPr>
          <w:rFonts w:ascii="宋体" w:cs="宋体" w:eastAsia="宋体" w:hAnsi="宋体" w:hint="eastAsia"/>
          <w:color w:val="auto"/>
          <w:sz w:val="21"/>
          <w:szCs w:val="21"/>
          <w:highlight w:val="none"/>
          <w:lang w:eastAsia="zh-CN"/>
        </w:rPr>
        <w:t>自行提供的与网站信息不一致的其他证明材料亦不作为资格审查依据。</w:t>
      </w:r>
    </w:p>
    <w:p w14:paraId="3C4D8934">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3.3磋商</w:t>
      </w:r>
    </w:p>
    <w:p w14:paraId="0C6968DF">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3.3.1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3E32562C">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3.3.2在磋商过程中，磋商小组可以根据磋商文件和磋商情况，经采购人代表确认后变动采购需求中的技术、服务要求以及合同草案条例等实质性内容。</w:t>
      </w:r>
    </w:p>
    <w:p w14:paraId="20766E85">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3.3.3对磋商文件作出实质性变动是磋商文件的有效组成部分，磋商小组将以书面形式同时通知所有参加磋商的供应商。</w:t>
      </w:r>
    </w:p>
    <w:p w14:paraId="2D0F45F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3.3.4供应商应当按照磋商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5CA4FC32">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3.4 最后报价</w:t>
      </w:r>
    </w:p>
    <w:p w14:paraId="4A2FE35A">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3.4.1磋商结束后，磋商小组将要求所有实质性响应的供应商在规定时间内提交最后报价，且提交最后报价的供应商不少于 3 家，本须知第3.2.2条规定的情形除外。</w:t>
      </w:r>
    </w:p>
    <w:p w14:paraId="0FE67609">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3.4.2最后报价是供应商响应文件的有效组成部分。</w:t>
      </w:r>
    </w:p>
    <w:p w14:paraId="03020C30">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3.4.3已提交响应文件的供应商，在提交最后报价之前，可以根据磋商情况退出磋商，退出磋商不视为撤回响应文件，退出磋商不影响退出磋商的供应商对已经递交的响应文件承担法律、法规和磋商文件中规定的相应责任。</w:t>
      </w:r>
    </w:p>
    <w:p w14:paraId="7D853BD5">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3.5.比较与评价</w:t>
      </w:r>
    </w:p>
    <w:p w14:paraId="58934216">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3.5.1磋商小组按本章第 2.2 款规定的量化因素和分值进行打分，并计算出综合评分得分。</w:t>
      </w:r>
    </w:p>
    <w:p w14:paraId="4D75032E">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3.5.2评分分值计算保留小数点后两位，小数点后第三位“四舍五入”。</w:t>
      </w:r>
    </w:p>
    <w:p w14:paraId="486B47D1">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3.5.3供应商的最终得分以全部小组成员打分的算术平均值为准，作为该供应商的最终得分。</w:t>
      </w:r>
    </w:p>
    <w:p w14:paraId="7EC8C92A">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3.5.4在磋商过程中，凡遇到磋商文件中无界定或界定不清、前后不一致使磋商小组意见有分歧且又难以协商一致的问题，均由磋商小组予以表决，获半数以上同意的即为通过，未获半数同意的即为否决。</w:t>
      </w:r>
    </w:p>
    <w:p w14:paraId="0AFA79C5">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3.6响应文件的澄清和补正</w:t>
      </w:r>
    </w:p>
    <w:p w14:paraId="4C8842BB">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3.6.1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5D059F12">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（1）供应商的澄清、说明或者补正应当由法定代表人（或非法人组织负责人）或其授权代表签字或者加盖公章。供应商为自然人的，应当由本人签字并附身份证明。</w:t>
      </w:r>
    </w:p>
    <w:p w14:paraId="1116DD06">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（2）供应商的澄清、说明或补正将作为响应文件的一部分。</w:t>
      </w:r>
    </w:p>
    <w:p w14:paraId="259BB290">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3.6.2响应文件报价出现前后不一致的，按照下列规定修正：</w:t>
      </w:r>
    </w:p>
    <w:p w14:paraId="3607A74C">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（1）响应文件中报价一览表内容与响应文件中相应内容不一致的，以报价一览表为准；</w:t>
      </w:r>
    </w:p>
    <w:p w14:paraId="387FE48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（2）大写金额和小写金额不一致的，以大写金额为准；</w:t>
      </w:r>
    </w:p>
    <w:p w14:paraId="2248C318">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（3）单价金额小数点或者百分比有明显错位的，以报价一览表的总价为准，并修改单价；</w:t>
      </w:r>
    </w:p>
    <w:p w14:paraId="4F26E98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（4）总价金额与按单价汇总金额不一致的，以单价金额计算结果为准。</w:t>
      </w:r>
    </w:p>
    <w:p w14:paraId="1344CB2D">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同时出现两种以上不一致的，按照前款规定的顺序修正。修正后的报价经供应商确认后产生约束力，供应商不确认的，其响应文件将被认定为无效响应。</w:t>
      </w:r>
    </w:p>
    <w:p w14:paraId="797E9728">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3.6.3磋商小组认为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5DD0166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3.7.成交候选供应商的推荐原则及标准</w:t>
      </w:r>
    </w:p>
    <w:p w14:paraId="26CDE5F0">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3.7.1磋商结束后，除了算数修正和落实政府采购政策需进行的价格扣除外，不对供应商的响应价格进行任何调整。评审结果按照得分由高至低的顺序排序。</w:t>
      </w:r>
    </w:p>
    <w:p w14:paraId="7D24FA8D">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3.7.2除第二章“供应商须知前附表”授权直接确定成交</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外，磋商小组按照得分由高到低的顺序推荐成交候选</w:t>
      </w:r>
      <w:r>
        <w:rPr>
          <w:rFonts w:ascii="宋体" w:cs="宋体" w:eastAsia="宋体" w:hAnsi="宋体" w:hint="eastAsia"/>
          <w:color w:val="auto"/>
          <w:sz w:val="21"/>
          <w:szCs w:val="21"/>
          <w:highlight w:val="none"/>
          <w:lang w:val="en-US" w:eastAsia="zh-CN"/>
        </w:rPr>
        <w:t>供应商</w:t>
      </w:r>
      <w:r>
        <w:rPr>
          <w:rFonts w:ascii="宋体" w:cs="宋体" w:eastAsia="宋体" w:hAnsi="宋体" w:hint="eastAsia"/>
          <w:color w:val="auto"/>
          <w:sz w:val="21"/>
          <w:szCs w:val="21"/>
          <w:highlight w:val="none"/>
          <w:lang w:eastAsia="zh-CN"/>
        </w:rPr>
        <w:t>。</w:t>
      </w:r>
    </w:p>
    <w:p w14:paraId="7AE05EFA">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3.7.3磋商小组完成评审后，应当向采购人提交书面评审报告。</w:t>
      </w:r>
    </w:p>
    <w:p w14:paraId="55DAFC8B">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3.7.4因推荐成交候选供应商名单产生其他问题，由磋商小组集体研究处理。</w:t>
      </w:r>
    </w:p>
    <w:p w14:paraId="4E9186F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4、同一品牌产品</w:t>
      </w:r>
    </w:p>
    <w:p w14:paraId="2BE661F7">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4.1提供相同品牌产品且通过资格审查、符合性审查的不同供应商，按一家供应商计算。</w:t>
      </w:r>
    </w:p>
    <w:p w14:paraId="38814166">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4.2如一个分包内只有一种产品，不同供应商所报产品为同一品牌的，按如下方式处理：本项目使用综合评分法，评审后得分最高的同品牌供应商获得成交供应商推荐资格；评审得分相同的，按本章第3.7.2 条“推荐成交候选供应商的原则”规定执行；未规定的采取随机抽取方式确定，其他同品牌供应商不作为成交候选供应商。</w:t>
      </w:r>
    </w:p>
    <w:p w14:paraId="7753C90E">
      <w:pPr>
        <w:pStyle w:val="style66"/>
        <w:keepNext w:val="false"/>
        <w:keepLines w:val="false"/>
        <w:pageBreakBefore w:val="false"/>
        <w:widowControl w:val="false"/>
        <w:kinsoku/>
        <w:wordWrap/>
        <w:overflowPunct/>
        <w:topLinePunct w:val="false"/>
        <w:autoSpaceDE w:val="false"/>
        <w:autoSpaceDN w:val="false"/>
        <w:bidi w:val="false"/>
        <w:adjustRightInd/>
        <w:snapToGrid/>
        <w:spacing w:before="11" w:lineRule="auto" w:line="348"/>
        <w:ind w:firstLine="420" w:firstLineChars="200"/>
        <w:textAlignment w:val="auto"/>
        <w:rPr>
          <w:rFonts w:ascii="宋体" w:cs="宋体" w:eastAsia="宋体" w:hAnsi="宋体" w:hint="eastAsia"/>
          <w:lang w:eastAsia="zh-CN"/>
        </w:rPr>
      </w:pPr>
      <w:r>
        <w:rPr>
          <w:rFonts w:ascii="宋体" w:cs="宋体" w:eastAsia="宋体" w:hAnsi="宋体" w:hint="eastAsia"/>
          <w:color w:val="auto"/>
          <w:sz w:val="21"/>
          <w:szCs w:val="21"/>
          <w:highlight w:val="none"/>
          <w:lang w:eastAsia="zh-CN"/>
        </w:rPr>
        <w:t>4.3如一个分包内包含多种产品的，采购人或采购代理机构将在磋商文件中载明核心产品，多家供应商提供的核心产品品牌相同的，按本章第 4.2 条规定处理。</w:t>
      </w:r>
      <w:r>
        <w:rPr>
          <w:rFonts w:ascii="宋体" w:cs="宋体" w:eastAsia="宋体" w:hAnsi="宋体" w:hint="eastAsia"/>
          <w:color w:val="auto"/>
          <w:sz w:val="24"/>
          <w:highlight w:val="none"/>
          <w:lang w:eastAsia="zh-CN"/>
        </w:rPr>
        <w:br w:type="page"/>
      </w:r>
    </w:p>
    <w:bookmarkStart w:id="49" w:name="_bookmark4"/>
    <w:bookmarkStart w:id="50" w:name="_Toc22610"/>
    <w:bookmarkEnd w:id="49"/>
    <w:p w14:paraId="4F5608C6">
      <w:pPr>
        <w:pStyle w:val="style0"/>
        <w:numPr>
          <w:ilvl w:val="0"/>
          <w:numId w:val="0"/>
        </w:numPr>
        <w:tabs>
          <w:tab w:val="left" w:leader="none" w:pos="4141"/>
        </w:tabs>
        <w:spacing w:before="62" w:lineRule="auto" w:line="360"/>
        <w:jc w:val="center"/>
        <w:outlineLvl w:val="0"/>
        <w:rPr>
          <w:rFonts w:ascii="宋体" w:cs="宋体" w:eastAsia="宋体" w:hAnsi="宋体" w:hint="eastAsia"/>
          <w:color w:val="auto"/>
          <w:sz w:val="21"/>
          <w:szCs w:val="21"/>
          <w:highlight w:val="none"/>
        </w:rPr>
      </w:pPr>
      <w:r>
        <w:rPr>
          <w:rFonts w:ascii="宋体" w:cs="宋体" w:eastAsia="宋体" w:hAnsi="宋体" w:hint="eastAsia"/>
          <w:b/>
          <w:color w:val="auto"/>
          <w:sz w:val="32"/>
          <w:szCs w:val="32"/>
          <w:highlight w:val="none"/>
          <w:lang w:val="en-US" w:eastAsia="zh-CN"/>
        </w:rPr>
        <w:t xml:space="preserve">第四章  </w:t>
      </w:r>
      <w:r>
        <w:rPr>
          <w:rFonts w:ascii="宋体" w:cs="宋体" w:eastAsia="宋体" w:hAnsi="宋体" w:hint="eastAsia"/>
          <w:b/>
          <w:color w:val="auto"/>
          <w:sz w:val="32"/>
          <w:szCs w:val="32"/>
          <w:highlight w:val="none"/>
        </w:rPr>
        <w:t>合同条款及格式</w:t>
      </w:r>
      <w:bookmarkEnd w:id="50"/>
    </w:p>
    <w:p w14:paraId="0C378A6D">
      <w:pPr>
        <w:pStyle w:val="style0"/>
        <w:shd w:val="clear" w:color="auto" w:fill="auto"/>
        <w:spacing w:lineRule="auto" w:line="360"/>
        <w:jc w:val="center"/>
        <w:rPr>
          <w:rFonts w:ascii="宋体" w:cs="宋体" w:eastAsia="宋体" w:hAnsi="宋体" w:hint="eastAsia"/>
          <w:b/>
          <w:sz w:val="24"/>
          <w:szCs w:val="24"/>
          <w:lang w:val="en-US" w:eastAsia="zh-CN"/>
        </w:rPr>
      </w:pPr>
      <w:r>
        <w:rPr>
          <w:rFonts w:ascii="宋体" w:cs="宋体" w:eastAsia="宋体" w:hAnsi="宋体" w:hint="eastAsia"/>
          <w:b/>
          <w:sz w:val="24"/>
          <w:szCs w:val="24"/>
          <w:lang w:val="en-US" w:eastAsia="zh-CN"/>
        </w:rPr>
        <w:t>（仅供参考，以实际签订合同为准）</w:t>
      </w:r>
    </w:p>
    <w:p w14:paraId="4CB73AC2">
      <w:pPr>
        <w:pStyle w:val="style0"/>
        <w:spacing w:lineRule="auto" w:line="360"/>
        <w:jc w:val="left"/>
        <w:rPr>
          <w:rFonts w:ascii="宋体" w:cs="宋体" w:eastAsia="宋体" w:hAnsi="宋体" w:hint="eastAsia"/>
          <w:sz w:val="21"/>
          <w:szCs w:val="21"/>
          <w:highlight w:val="none"/>
          <w:u w:val="single"/>
          <w:lang w:eastAsia="zh-CN"/>
        </w:rPr>
      </w:pPr>
      <w:r>
        <w:rPr>
          <w:rFonts w:ascii="宋体" w:cs="宋体" w:eastAsia="宋体" w:hAnsi="宋体" w:hint="eastAsia"/>
          <w:sz w:val="21"/>
          <w:szCs w:val="21"/>
          <w:highlight w:val="none"/>
          <w:u w:val="single"/>
        </w:rPr>
        <w:t>甲方：</w:t>
      </w:r>
    </w:p>
    <w:p w14:paraId="57B8062E">
      <w:pPr>
        <w:pStyle w:val="style0"/>
        <w:spacing w:lineRule="auto" w:line="360"/>
        <w:jc w:val="left"/>
        <w:rPr>
          <w:rFonts w:ascii="宋体" w:cs="宋体" w:eastAsia="宋体" w:hAnsi="宋体" w:hint="eastAsia"/>
          <w:sz w:val="21"/>
          <w:szCs w:val="21"/>
          <w:highlight w:val="none"/>
          <w:u w:val="single"/>
          <w:lang w:eastAsia="zh-CN"/>
        </w:rPr>
      </w:pPr>
      <w:r>
        <w:rPr>
          <w:rFonts w:ascii="宋体" w:cs="宋体" w:eastAsia="宋体" w:hAnsi="宋体" w:hint="eastAsia"/>
          <w:sz w:val="21"/>
          <w:szCs w:val="21"/>
          <w:highlight w:val="none"/>
          <w:u w:val="single"/>
        </w:rPr>
        <w:t>名称：</w:t>
      </w:r>
    </w:p>
    <w:p w14:paraId="6B2FDBA9">
      <w:pPr>
        <w:pStyle w:val="style0"/>
        <w:spacing w:lineRule="auto" w:line="360"/>
        <w:jc w:val="left"/>
        <w:rPr>
          <w:rFonts w:ascii="宋体" w:cs="宋体" w:eastAsia="宋体" w:hAnsi="宋体" w:hint="eastAsia"/>
          <w:sz w:val="21"/>
          <w:szCs w:val="21"/>
          <w:highlight w:val="none"/>
          <w:u w:val="single"/>
          <w:lang w:eastAsia="zh-CN"/>
        </w:rPr>
      </w:pPr>
      <w:r>
        <w:rPr>
          <w:rFonts w:ascii="宋体" w:cs="宋体" w:eastAsia="宋体" w:hAnsi="宋体" w:hint="eastAsia"/>
          <w:sz w:val="21"/>
          <w:szCs w:val="21"/>
          <w:highlight w:val="none"/>
          <w:u w:val="single"/>
        </w:rPr>
        <w:t>住所：</w:t>
      </w:r>
    </w:p>
    <w:p w14:paraId="0BE93069">
      <w:pPr>
        <w:pStyle w:val="style0"/>
        <w:spacing w:lineRule="auto" w:line="360"/>
        <w:jc w:val="left"/>
        <w:rPr>
          <w:rFonts w:ascii="宋体" w:cs="宋体" w:eastAsia="宋体" w:hAnsi="宋体" w:hint="eastAsia"/>
          <w:sz w:val="21"/>
          <w:szCs w:val="21"/>
          <w:highlight w:val="none"/>
          <w:u w:val="single"/>
          <w:lang w:eastAsia="zh-CN"/>
        </w:rPr>
      </w:pPr>
      <w:r>
        <w:rPr>
          <w:rFonts w:ascii="宋体" w:cs="宋体" w:eastAsia="宋体" w:hAnsi="宋体" w:hint="eastAsia"/>
          <w:sz w:val="21"/>
          <w:szCs w:val="21"/>
          <w:highlight w:val="none"/>
          <w:u w:val="single"/>
        </w:rPr>
        <w:t>乙方：</w:t>
      </w:r>
      <w:r>
        <w:rPr>
          <w:rFonts w:ascii="宋体" w:cs="宋体" w:eastAsia="宋体" w:hAnsi="宋体" w:hint="eastAsia"/>
          <w:sz w:val="21"/>
          <w:szCs w:val="21"/>
          <w:highlight w:val="none"/>
          <w:u w:val="single"/>
          <w:lang w:eastAsia="zh-CN"/>
        </w:rPr>
        <w:t>（中标人）</w:t>
      </w:r>
    </w:p>
    <w:p w14:paraId="18389A44">
      <w:pPr>
        <w:pStyle w:val="style0"/>
        <w:spacing w:lineRule="auto" w:line="360"/>
        <w:ind w:firstLine="422" w:firstLineChars="200"/>
        <w:jc w:val="left"/>
        <w:rPr>
          <w:rFonts w:ascii="宋体" w:cs="宋体" w:eastAsia="宋体" w:hAnsi="宋体" w:hint="eastAsia"/>
          <w:sz w:val="21"/>
          <w:szCs w:val="21"/>
          <w:highlight w:val="none"/>
        </w:rPr>
      </w:pPr>
      <w:r>
        <w:rPr>
          <w:rFonts w:ascii="宋体" w:cs="宋体" w:eastAsia="宋体" w:hAnsi="宋体" w:hint="eastAsia"/>
          <w:b/>
          <w:bCs/>
          <w:sz w:val="21"/>
          <w:szCs w:val="21"/>
          <w:highlight w:val="none"/>
        </w:rPr>
        <w:t>2.标的名称、数量</w:t>
      </w:r>
    </w:p>
    <w:tbl>
      <w:tblPr>
        <w:tblStyle w:val="style105"/>
        <w:tblW w:w="87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898"/>
        <w:gridCol w:w="3471"/>
        <w:gridCol w:w="1347"/>
        <w:gridCol w:w="877"/>
        <w:gridCol w:w="2184"/>
      </w:tblGrid>
      <w:tr w14:paraId="53519A96">
        <w:trPr>
          <w:trHeight w:val="647" w:hRule="exact"/>
        </w:trPr>
        <w:tc>
          <w:tcPr>
            <w:tcW w:w="898" w:type="dxa"/>
            <w:tcBorders/>
            <w:shd w:val="clear" w:color="auto" w:fill="ffffff"/>
            <w:vAlign w:val="center"/>
          </w:tcPr>
          <w:p w14:paraId="47F545F4">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r>
              <w:rPr>
                <w:rFonts w:ascii="宋体" w:cs="宋体" w:eastAsia="宋体" w:hAnsi="宋体" w:hint="eastAsia"/>
                <w:sz w:val="21"/>
                <w:szCs w:val="21"/>
                <w:highlight w:val="none"/>
                <w:lang w:eastAsia="zh-CN"/>
              </w:rPr>
              <w:t>序号</w:t>
            </w:r>
          </w:p>
        </w:tc>
        <w:tc>
          <w:tcPr>
            <w:tcW w:w="3471" w:type="dxa"/>
            <w:tcBorders/>
            <w:shd w:val="clear" w:color="auto" w:fill="ffffff"/>
            <w:vAlign w:val="center"/>
          </w:tcPr>
          <w:p w14:paraId="3BB8EBE7">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r>
              <w:rPr>
                <w:rFonts w:ascii="宋体" w:cs="宋体" w:eastAsia="宋体" w:hAnsi="宋体" w:hint="eastAsia"/>
                <w:sz w:val="21"/>
                <w:szCs w:val="21"/>
                <w:highlight w:val="none"/>
                <w:lang w:eastAsia="zh-CN"/>
              </w:rPr>
              <w:t>标的名称</w:t>
            </w:r>
          </w:p>
        </w:tc>
        <w:tc>
          <w:tcPr>
            <w:tcW w:w="1347" w:type="dxa"/>
            <w:tcBorders/>
            <w:shd w:val="clear" w:color="auto" w:fill="ffffff"/>
            <w:vAlign w:val="center"/>
          </w:tcPr>
          <w:p w14:paraId="5C3ECD5D">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r>
              <w:rPr>
                <w:rFonts w:ascii="宋体" w:cs="宋体" w:eastAsia="宋体" w:hAnsi="宋体" w:hint="eastAsia"/>
                <w:sz w:val="21"/>
                <w:szCs w:val="21"/>
                <w:highlight w:val="none"/>
                <w:lang w:eastAsia="zh-CN"/>
              </w:rPr>
              <w:t>数量</w:t>
            </w:r>
          </w:p>
        </w:tc>
        <w:tc>
          <w:tcPr>
            <w:tcW w:w="877" w:type="dxa"/>
            <w:tcBorders/>
            <w:shd w:val="clear" w:color="auto" w:fill="ffffff"/>
            <w:vAlign w:val="center"/>
          </w:tcPr>
          <w:p w14:paraId="5ACF9428">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r>
              <w:rPr>
                <w:rFonts w:ascii="宋体" w:cs="宋体" w:eastAsia="宋体" w:hAnsi="宋体" w:hint="eastAsia"/>
                <w:sz w:val="21"/>
                <w:szCs w:val="21"/>
                <w:highlight w:val="none"/>
                <w:lang w:eastAsia="zh-CN"/>
              </w:rPr>
              <w:t>单位</w:t>
            </w:r>
          </w:p>
        </w:tc>
        <w:tc>
          <w:tcPr>
            <w:tcW w:w="2184" w:type="dxa"/>
            <w:tcBorders/>
            <w:shd w:val="clear" w:color="auto" w:fill="ffffff"/>
            <w:vAlign w:val="center"/>
          </w:tcPr>
          <w:p w14:paraId="6DC6CA15">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r>
              <w:rPr>
                <w:rFonts w:ascii="宋体" w:cs="宋体" w:eastAsia="宋体" w:hAnsi="宋体" w:hint="eastAsia"/>
                <w:sz w:val="21"/>
                <w:szCs w:val="21"/>
                <w:highlight w:val="none"/>
                <w:lang w:val="en-US" w:eastAsia="zh-CN"/>
              </w:rPr>
              <w:t>规格型号</w:t>
            </w:r>
          </w:p>
        </w:tc>
      </w:tr>
      <w:tr w14:paraId="65D4AA0C">
        <w:tblPrEx/>
        <w:trPr>
          <w:trHeight w:val="987" w:hRule="exact"/>
        </w:trPr>
        <w:tc>
          <w:tcPr>
            <w:tcW w:w="898" w:type="dxa"/>
            <w:tcBorders/>
            <w:shd w:val="clear" w:color="auto" w:fill="ffffff"/>
            <w:vAlign w:val="center"/>
          </w:tcPr>
          <w:p w14:paraId="04AF98C5">
            <w:pPr>
              <w:pStyle w:val="style4153"/>
              <w:spacing w:lineRule="auto" w:line="360"/>
              <w:jc w:val="center"/>
              <w:rPr>
                <w:rFonts w:ascii="宋体" w:cs="宋体" w:eastAsia="宋体" w:hAnsi="宋体" w:hint="eastAsia"/>
                <w:sz w:val="21"/>
                <w:szCs w:val="21"/>
                <w:highlight w:val="none"/>
                <w:lang w:eastAsia="zh-CN"/>
              </w:rPr>
            </w:pPr>
            <w:r>
              <w:rPr>
                <w:rFonts w:ascii="宋体" w:cs="宋体" w:eastAsia="宋体" w:hAnsi="宋体" w:hint="eastAsia"/>
                <w:sz w:val="21"/>
                <w:szCs w:val="21"/>
                <w:highlight w:val="none"/>
                <w:lang w:val="en-US" w:eastAsia="zh-CN"/>
              </w:rPr>
              <w:t>1</w:t>
            </w:r>
          </w:p>
        </w:tc>
        <w:tc>
          <w:tcPr>
            <w:tcW w:w="3471" w:type="dxa"/>
            <w:tcBorders/>
            <w:shd w:val="clear" w:color="auto" w:fill="ffffff"/>
            <w:vAlign w:val="center"/>
          </w:tcPr>
          <w:p w14:paraId="7C0A3BBE">
            <w:pPr>
              <w:pStyle w:val="style4153"/>
              <w:spacing w:lineRule="auto" w:line="360"/>
              <w:jc w:val="center"/>
              <w:rPr>
                <w:rFonts w:ascii="宋体" w:cs="宋体" w:eastAsia="宋体" w:hAnsi="宋体" w:hint="eastAsia"/>
                <w:sz w:val="21"/>
                <w:szCs w:val="21"/>
                <w:highlight w:val="none"/>
                <w:lang w:val="en-US" w:eastAsia="zh-CN"/>
              </w:rPr>
            </w:pPr>
          </w:p>
        </w:tc>
        <w:tc>
          <w:tcPr>
            <w:tcW w:w="1347" w:type="dxa"/>
            <w:tcBorders/>
            <w:shd w:val="clear" w:color="auto" w:fill="ffffff"/>
            <w:vAlign w:val="center"/>
          </w:tcPr>
          <w:p w14:paraId="0252AFBA">
            <w:pPr>
              <w:pStyle w:val="style4153"/>
              <w:spacing w:lineRule="auto" w:line="360"/>
              <w:jc w:val="center"/>
              <w:rPr>
                <w:rFonts w:ascii="宋体" w:cs="宋体" w:eastAsia="宋体" w:hAnsi="宋体" w:hint="eastAsia"/>
                <w:sz w:val="21"/>
                <w:szCs w:val="21"/>
                <w:highlight w:val="none"/>
                <w:lang w:eastAsia="zh-CN"/>
              </w:rPr>
            </w:pPr>
          </w:p>
        </w:tc>
        <w:tc>
          <w:tcPr>
            <w:tcW w:w="877" w:type="dxa"/>
            <w:tcBorders/>
            <w:shd w:val="clear" w:color="auto" w:fill="ffffff"/>
            <w:vAlign w:val="center"/>
          </w:tcPr>
          <w:p w14:paraId="6B0CFDA1">
            <w:pPr>
              <w:pStyle w:val="style4153"/>
              <w:spacing w:lineRule="auto" w:line="360"/>
              <w:jc w:val="center"/>
              <w:rPr>
                <w:rFonts w:ascii="宋体" w:cs="宋体" w:eastAsia="宋体" w:hAnsi="宋体" w:hint="eastAsia"/>
                <w:sz w:val="21"/>
                <w:szCs w:val="21"/>
                <w:highlight w:val="none"/>
                <w:lang w:eastAsia="zh-CN"/>
              </w:rPr>
            </w:pPr>
          </w:p>
        </w:tc>
        <w:tc>
          <w:tcPr>
            <w:tcW w:w="2184" w:type="dxa"/>
            <w:tcBorders/>
            <w:shd w:val="clear" w:color="auto" w:fill="ffffff"/>
            <w:vAlign w:val="center"/>
          </w:tcPr>
          <w:p w14:paraId="429F9143">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p>
        </w:tc>
      </w:tr>
      <w:tr w14:paraId="6E386160">
        <w:tblPrEx/>
        <w:trPr>
          <w:trHeight w:val="987" w:hRule="exact"/>
        </w:trPr>
        <w:tc>
          <w:tcPr>
            <w:tcW w:w="898" w:type="dxa"/>
            <w:tcBorders/>
            <w:shd w:val="clear" w:color="auto" w:fill="ffffff"/>
            <w:vAlign w:val="center"/>
          </w:tcPr>
          <w:p w14:paraId="42B4F20A">
            <w:pPr>
              <w:pStyle w:val="style4153"/>
              <w:spacing w:lineRule="auto" w:line="360"/>
              <w:jc w:val="center"/>
              <w:rPr>
                <w:rFonts w:ascii="宋体" w:cs="宋体" w:eastAsia="宋体" w:hAnsi="宋体" w:hint="eastAsia"/>
                <w:sz w:val="21"/>
                <w:szCs w:val="21"/>
                <w:highlight w:val="none"/>
                <w:lang w:val="en-US" w:eastAsia="zh-CN"/>
              </w:rPr>
            </w:pPr>
            <w:r>
              <w:rPr>
                <w:rFonts w:ascii="宋体" w:cs="宋体" w:eastAsia="宋体" w:hAnsi="宋体" w:hint="eastAsia"/>
                <w:sz w:val="21"/>
                <w:szCs w:val="21"/>
                <w:highlight w:val="none"/>
                <w:lang w:val="en-US" w:eastAsia="zh-CN"/>
              </w:rPr>
              <w:t>...</w:t>
            </w:r>
          </w:p>
        </w:tc>
        <w:tc>
          <w:tcPr>
            <w:tcW w:w="3471" w:type="dxa"/>
            <w:tcBorders/>
            <w:shd w:val="clear" w:color="auto" w:fill="ffffff"/>
            <w:vAlign w:val="center"/>
          </w:tcPr>
          <w:p w14:paraId="63AD6DA3">
            <w:pPr>
              <w:pStyle w:val="style4153"/>
              <w:spacing w:lineRule="auto" w:line="360"/>
              <w:jc w:val="center"/>
              <w:rPr>
                <w:rFonts w:ascii="宋体" w:cs="宋体" w:eastAsia="宋体" w:hAnsi="宋体" w:hint="eastAsia"/>
                <w:sz w:val="21"/>
                <w:szCs w:val="21"/>
                <w:highlight w:val="none"/>
                <w:lang w:val="en-US" w:eastAsia="zh-CN"/>
              </w:rPr>
            </w:pPr>
          </w:p>
        </w:tc>
        <w:tc>
          <w:tcPr>
            <w:tcW w:w="1347" w:type="dxa"/>
            <w:tcBorders/>
            <w:shd w:val="clear" w:color="auto" w:fill="ffffff"/>
            <w:vAlign w:val="center"/>
          </w:tcPr>
          <w:p w14:paraId="18BA1C06">
            <w:pPr>
              <w:pStyle w:val="style4153"/>
              <w:spacing w:lineRule="auto" w:line="360"/>
              <w:jc w:val="center"/>
              <w:rPr>
                <w:rFonts w:ascii="宋体" w:cs="宋体" w:eastAsia="宋体" w:hAnsi="宋体" w:hint="eastAsia"/>
                <w:sz w:val="21"/>
                <w:szCs w:val="21"/>
                <w:highlight w:val="none"/>
                <w:lang w:val="en-US" w:eastAsia="zh-CN"/>
              </w:rPr>
            </w:pPr>
          </w:p>
        </w:tc>
        <w:tc>
          <w:tcPr>
            <w:tcW w:w="877" w:type="dxa"/>
            <w:tcBorders/>
            <w:shd w:val="clear" w:color="auto" w:fill="ffffff"/>
            <w:vAlign w:val="center"/>
          </w:tcPr>
          <w:p w14:paraId="3B27C18B">
            <w:pPr>
              <w:pStyle w:val="style4153"/>
              <w:spacing w:lineRule="auto" w:line="360"/>
              <w:jc w:val="center"/>
              <w:rPr>
                <w:rFonts w:ascii="宋体" w:cs="宋体" w:eastAsia="宋体" w:hAnsi="宋体" w:hint="eastAsia"/>
                <w:sz w:val="21"/>
                <w:szCs w:val="21"/>
                <w:highlight w:val="none"/>
                <w:lang w:val="en-US" w:eastAsia="zh-CN"/>
              </w:rPr>
            </w:pPr>
          </w:p>
        </w:tc>
        <w:tc>
          <w:tcPr>
            <w:tcW w:w="2184" w:type="dxa"/>
            <w:tcBorders/>
            <w:shd w:val="clear" w:color="auto" w:fill="ffffff"/>
            <w:vAlign w:val="center"/>
          </w:tcPr>
          <w:p w14:paraId="2ACD2BBC">
            <w:pPr>
              <w:pStyle w:val="style4153"/>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sz w:val="21"/>
                <w:szCs w:val="21"/>
                <w:highlight w:val="none"/>
                <w:lang w:eastAsia="zh-CN"/>
              </w:rPr>
            </w:pPr>
          </w:p>
        </w:tc>
      </w:tr>
    </w:tbl>
    <w:p w14:paraId="0D1FEAC3">
      <w:pPr>
        <w:pStyle w:val="style0"/>
        <w:spacing w:lineRule="auto" w:line="360"/>
        <w:ind w:left="669" w:leftChars="304"/>
        <w:jc w:val="left"/>
        <w:rPr>
          <w:rFonts w:ascii="宋体" w:cs="宋体" w:eastAsia="宋体" w:hAnsi="宋体" w:hint="eastAsia"/>
          <w:b/>
          <w:bCs/>
          <w:sz w:val="21"/>
          <w:szCs w:val="21"/>
          <w:highlight w:val="none"/>
          <w:lang w:eastAsia="zh-CN"/>
        </w:rPr>
      </w:pPr>
      <w:r>
        <w:rPr>
          <w:rFonts w:ascii="宋体" w:cs="宋体" w:eastAsia="宋体" w:hAnsi="宋体" w:hint="eastAsia"/>
          <w:b/>
          <w:bCs/>
          <w:sz w:val="21"/>
          <w:szCs w:val="21"/>
          <w:highlight w:val="none"/>
        </w:rPr>
        <w:t>3.履行时间（期限）、具体地点和方式</w:t>
      </w:r>
    </w:p>
    <w:p w14:paraId="18FBB43D">
      <w:pPr>
        <w:pStyle w:val="style0"/>
        <w:spacing w:lineRule="auto" w:line="360"/>
        <w:ind w:left="585" w:leftChars="266"/>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lang w:eastAsia="zh-CN"/>
        </w:rPr>
        <w:t>服务期限：合同签订后</w:t>
      </w:r>
      <w:r>
        <w:rPr>
          <w:rFonts w:ascii="宋体" w:cs="宋体" w:eastAsia="宋体" w:hAnsi="宋体" w:hint="eastAsia"/>
          <w:sz w:val="21"/>
          <w:szCs w:val="21"/>
          <w:highlight w:val="none"/>
          <w:u w:val="none"/>
          <w:lang w:val="en-US" w:eastAsia="zh-CN"/>
        </w:rPr>
        <w:t>30</w:t>
      </w:r>
      <w:r>
        <w:rPr>
          <w:rFonts w:ascii="宋体" w:cs="宋体" w:eastAsia="宋体" w:hAnsi="宋体" w:hint="eastAsia"/>
          <w:sz w:val="21"/>
          <w:szCs w:val="21"/>
          <w:highlight w:val="none"/>
          <w:u w:val="none"/>
          <w:lang w:eastAsia="zh-CN"/>
        </w:rPr>
        <w:t>日历天内交付使用</w:t>
      </w:r>
    </w:p>
    <w:p w14:paraId="16E77416">
      <w:pPr>
        <w:pStyle w:val="style0"/>
        <w:spacing w:lineRule="auto" w:line="360"/>
        <w:ind w:left="585" w:leftChars="266"/>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lang w:eastAsia="zh-CN"/>
        </w:rPr>
        <w:t>服务地点：采购人指定地点</w:t>
      </w:r>
    </w:p>
    <w:p w14:paraId="35C08C28">
      <w:pPr>
        <w:pStyle w:val="style0"/>
        <w:spacing w:lineRule="auto" w:line="360"/>
        <w:ind w:left="585" w:leftChars="266"/>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lang w:eastAsia="zh-CN"/>
        </w:rPr>
        <w:t>质量保证期：供应商提供自系统验收之日起3年的免费质保服务，免费为采购人提供技术培训服务。</w:t>
      </w:r>
    </w:p>
    <w:p w14:paraId="4A630A1F">
      <w:pPr>
        <w:pStyle w:val="style0"/>
        <w:spacing w:lineRule="auto" w:line="360"/>
        <w:ind w:left="585" w:leftChars="266"/>
        <w:jc w:val="left"/>
        <w:rPr>
          <w:rFonts w:ascii="宋体" w:cs="宋体" w:eastAsia="宋体" w:hAnsi="宋体" w:hint="eastAsia"/>
          <w:b/>
          <w:bCs/>
          <w:sz w:val="21"/>
          <w:szCs w:val="21"/>
          <w:highlight w:val="none"/>
          <w:lang w:eastAsia="zh-CN"/>
        </w:rPr>
      </w:pPr>
      <w:r>
        <w:rPr>
          <w:rFonts w:ascii="宋体" w:cs="宋体" w:eastAsia="宋体" w:hAnsi="宋体" w:hint="eastAsia"/>
          <w:b/>
          <w:bCs/>
          <w:sz w:val="21"/>
          <w:szCs w:val="21"/>
          <w:highlight w:val="none"/>
          <w:lang w:val="en-US" w:eastAsia="zh-CN"/>
        </w:rPr>
        <w:t>4</w:t>
      </w:r>
      <w:r>
        <w:rPr>
          <w:rFonts w:ascii="宋体" w:cs="宋体" w:eastAsia="宋体" w:hAnsi="宋体" w:hint="eastAsia"/>
          <w:b/>
          <w:bCs/>
          <w:sz w:val="21"/>
          <w:szCs w:val="21"/>
          <w:highlight w:val="none"/>
        </w:rPr>
        <w:t>.价款或者报酬</w:t>
      </w:r>
    </w:p>
    <w:p w14:paraId="79ED6B5B">
      <w:pPr>
        <w:pStyle w:val="style0"/>
        <w:spacing w:lineRule="auto" w:line="360"/>
        <w:ind w:left="669" w:leftChars="304"/>
        <w:jc w:val="left"/>
        <w:rPr>
          <w:rFonts w:ascii="宋体" w:cs="宋体" w:eastAsia="宋体" w:hAnsi="宋体" w:hint="eastAsia"/>
          <w:sz w:val="21"/>
          <w:szCs w:val="21"/>
          <w:highlight w:val="none"/>
          <w:u w:val="none"/>
          <w:lang w:val="en-US" w:eastAsia="zh-CN"/>
        </w:rPr>
      </w:pPr>
      <w:r>
        <w:rPr>
          <w:rFonts w:ascii="宋体" w:cs="宋体" w:eastAsia="宋体" w:hAnsi="宋体" w:hint="eastAsia"/>
          <w:sz w:val="21"/>
          <w:szCs w:val="21"/>
          <w:highlight w:val="none"/>
          <w:u w:val="none"/>
          <w:lang w:val="en-US" w:eastAsia="zh-CN"/>
        </w:rPr>
        <w:t>按照合同约定</w:t>
      </w:r>
    </w:p>
    <w:p w14:paraId="4615784E">
      <w:pPr>
        <w:pStyle w:val="style94"/>
        <w:snapToGrid w:val="false"/>
        <w:spacing w:before="0" w:beforeAutospacing="false" w:after="0" w:afterAutospacing="false" w:lineRule="auto" w:line="360"/>
        <w:ind w:left="587" w:leftChars="267"/>
        <w:jc w:val="both"/>
        <w:rPr>
          <w:rFonts w:ascii="宋体" w:cs="宋体" w:eastAsia="宋体" w:hAnsi="宋体" w:hint="eastAsia"/>
          <w:b/>
          <w:bCs/>
          <w:sz w:val="21"/>
          <w:szCs w:val="21"/>
          <w:highlight w:val="none"/>
        </w:rPr>
      </w:pPr>
      <w:r>
        <w:rPr>
          <w:rFonts w:ascii="宋体" w:cs="宋体" w:eastAsia="宋体" w:hAnsi="宋体" w:hint="eastAsia"/>
          <w:b/>
          <w:bCs/>
          <w:sz w:val="21"/>
          <w:szCs w:val="21"/>
          <w:highlight w:val="none"/>
          <w:lang w:val="en-US" w:eastAsia="zh-CN"/>
        </w:rPr>
        <w:t>5</w:t>
      </w:r>
      <w:r>
        <w:rPr>
          <w:rFonts w:ascii="宋体" w:cs="宋体" w:eastAsia="宋体" w:hAnsi="宋体" w:hint="eastAsia"/>
          <w:b/>
          <w:bCs/>
          <w:sz w:val="21"/>
          <w:szCs w:val="21"/>
          <w:highlight w:val="none"/>
        </w:rPr>
        <w:t>.付款进度安排、资金支付方式</w:t>
      </w:r>
    </w:p>
    <w:p w14:paraId="336BB050">
      <w:pPr>
        <w:pStyle w:val="style0"/>
        <w:spacing w:lineRule="auto" w:line="360"/>
        <w:ind w:left="585" w:leftChars="266" w:firstLine="210" w:firstLineChars="100"/>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lang w:eastAsia="zh-CN"/>
        </w:rPr>
        <w:t>付款条件：合同签订后，乙方（成交供应商）把合同金额5%的资金转到甲方（采购人）指定账户作为履约保证金，本项目验收合格后自动转为质保金，自项目验收合格之日起一年后无息退还给乙方。</w:t>
      </w:r>
    </w:p>
    <w:p w14:paraId="589E6076">
      <w:pPr>
        <w:pStyle w:val="style0"/>
        <w:spacing w:lineRule="auto" w:line="360"/>
        <w:ind w:left="585" w:leftChars="266"/>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lang w:eastAsia="zh-CN"/>
        </w:rPr>
        <w:t>服务、货物（设备）到达合同约定的服务地点并经甲、乙双方进行验收合格后，甲方向乙方支付合同总价款的100%</w:t>
      </w:r>
    </w:p>
    <w:p w14:paraId="0ABBD3B1">
      <w:pPr>
        <w:pStyle w:val="style0"/>
        <w:spacing w:lineRule="auto" w:line="360"/>
        <w:ind w:left="585" w:leftChars="266"/>
        <w:rPr>
          <w:rFonts w:ascii="宋体" w:cs="宋体" w:eastAsia="宋体" w:hAnsi="宋体" w:hint="eastAsia"/>
          <w:b/>
          <w:bCs/>
          <w:sz w:val="21"/>
          <w:szCs w:val="21"/>
          <w:highlight w:val="none"/>
          <w:lang w:eastAsia="zh-CN"/>
        </w:rPr>
      </w:pPr>
      <w:r>
        <w:rPr>
          <w:rFonts w:ascii="宋体" w:cs="宋体" w:eastAsia="宋体" w:hAnsi="宋体" w:hint="eastAsia"/>
          <w:b/>
          <w:bCs/>
          <w:sz w:val="21"/>
          <w:szCs w:val="21"/>
          <w:highlight w:val="none"/>
          <w:lang w:val="en-US" w:eastAsia="zh-CN"/>
        </w:rPr>
        <w:t>6</w:t>
      </w:r>
      <w:r>
        <w:rPr>
          <w:rFonts w:ascii="宋体" w:cs="宋体" w:eastAsia="宋体" w:hAnsi="宋体" w:hint="eastAsia"/>
          <w:b/>
          <w:bCs/>
          <w:sz w:val="21"/>
          <w:szCs w:val="21"/>
          <w:highlight w:val="none"/>
        </w:rPr>
        <w:t>.验收、交付标准</w:t>
      </w:r>
    </w:p>
    <w:p w14:paraId="51A2EB2F">
      <w:pPr>
        <w:pStyle w:val="style0"/>
        <w:spacing w:lineRule="auto" w:line="360"/>
        <w:ind w:left="585" w:leftChars="266" w:firstLine="210" w:firstLineChars="100"/>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lang w:eastAsia="zh-CN"/>
        </w:rPr>
        <w:t>质量要求：合格</w:t>
      </w:r>
    </w:p>
    <w:p w14:paraId="30227060">
      <w:pPr>
        <w:pStyle w:val="style0"/>
        <w:spacing w:lineRule="auto" w:line="360"/>
        <w:ind w:left="585" w:leftChars="266"/>
        <w:rPr>
          <w:rFonts w:ascii="宋体" w:cs="宋体" w:eastAsia="宋体" w:hAnsi="宋体" w:hint="eastAsia"/>
          <w:b/>
          <w:bCs/>
          <w:sz w:val="21"/>
          <w:szCs w:val="21"/>
          <w:highlight w:val="none"/>
          <w:lang w:eastAsia="zh-CN"/>
        </w:rPr>
      </w:pPr>
      <w:r>
        <w:rPr>
          <w:rFonts w:ascii="宋体" w:cs="宋体" w:eastAsia="宋体" w:hAnsi="宋体" w:hint="eastAsia"/>
          <w:b/>
          <w:bCs/>
          <w:sz w:val="21"/>
          <w:szCs w:val="21"/>
          <w:highlight w:val="none"/>
          <w:lang w:val="en-US" w:eastAsia="zh-CN"/>
        </w:rPr>
        <w:t>7</w:t>
      </w:r>
      <w:r>
        <w:rPr>
          <w:rFonts w:ascii="宋体" w:cs="宋体" w:eastAsia="宋体" w:hAnsi="宋体" w:hint="eastAsia"/>
          <w:b/>
          <w:bCs/>
          <w:sz w:val="21"/>
          <w:szCs w:val="21"/>
          <w:highlight w:val="none"/>
        </w:rPr>
        <w:t>.违约责任与解决争议的方法</w:t>
      </w:r>
    </w:p>
    <w:p w14:paraId="26E76CCA">
      <w:pPr>
        <w:pStyle w:val="style0"/>
        <w:spacing w:lineRule="auto" w:line="360"/>
        <w:ind w:left="585" w:leftChars="266"/>
        <w:rPr>
          <w:rFonts w:ascii="宋体" w:cs="宋体" w:eastAsia="宋体" w:hAnsi="宋体" w:hint="eastAsia"/>
          <w:b/>
          <w:sz w:val="21"/>
          <w:szCs w:val="21"/>
          <w:highlight w:val="none"/>
          <w:u w:val="single"/>
        </w:rPr>
      </w:pPr>
      <w:r>
        <w:rPr>
          <w:rFonts w:ascii="宋体" w:cs="宋体" w:eastAsia="宋体" w:hAnsi="宋体" w:hint="eastAsia"/>
          <w:b/>
          <w:bCs/>
          <w:sz w:val="21"/>
          <w:szCs w:val="21"/>
          <w:highlight w:val="none"/>
          <w:u w:val="single"/>
        </w:rPr>
        <w:t>违约责任</w:t>
      </w:r>
    </w:p>
    <w:p w14:paraId="512E1441">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1.供应商提供的</w:t>
      </w:r>
      <w:r>
        <w:rPr>
          <w:rFonts w:ascii="宋体" w:cs="宋体" w:eastAsia="宋体" w:hAnsi="宋体" w:hint="eastAsia"/>
          <w:sz w:val="21"/>
          <w:szCs w:val="21"/>
          <w:highlight w:val="none"/>
          <w:u w:val="none"/>
          <w:lang w:eastAsia="zh-CN"/>
        </w:rPr>
        <w:t>服务</w:t>
      </w:r>
      <w:r>
        <w:rPr>
          <w:rFonts w:ascii="宋体" w:cs="宋体" w:eastAsia="宋体" w:hAnsi="宋体" w:hint="eastAsia"/>
          <w:sz w:val="21"/>
          <w:szCs w:val="21"/>
          <w:highlight w:val="none"/>
          <w:u w:val="none"/>
        </w:rPr>
        <w:t>未达到采购文件规定要求，且对采购人造成损失的，由供应商承担一切责任，并赔偿所造成的损失。</w:t>
      </w:r>
    </w:p>
    <w:p w14:paraId="7DE0358F">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2.如果出现政府采购监督管理部门在处理投诉事项期间，书面通知甲方暂停采购活动的情形，或者询问或质疑事项可能影响中标结果的，导致甲方中止履行合同的情形，均不视为甲方违约。</w:t>
      </w:r>
    </w:p>
    <w:p w14:paraId="676837F8">
      <w:pPr>
        <w:pStyle w:val="style0"/>
        <w:spacing w:lineRule="auto" w:line="360"/>
        <w:ind w:firstLine="422" w:firstLineChars="200"/>
        <w:jc w:val="left"/>
        <w:rPr>
          <w:rFonts w:ascii="宋体" w:cs="宋体" w:eastAsia="宋体" w:hAnsi="宋体" w:hint="eastAsia"/>
          <w:b/>
          <w:bCs/>
          <w:sz w:val="21"/>
          <w:szCs w:val="21"/>
          <w:highlight w:val="none"/>
          <w:u w:val="single"/>
        </w:rPr>
      </w:pPr>
      <w:r>
        <w:rPr>
          <w:rFonts w:ascii="宋体" w:cs="宋体" w:eastAsia="宋体" w:hAnsi="宋体" w:hint="eastAsia"/>
          <w:b/>
          <w:bCs/>
          <w:sz w:val="21"/>
          <w:szCs w:val="21"/>
          <w:highlight w:val="none"/>
          <w:u w:val="single"/>
        </w:rPr>
        <w:t>合同争议的解决</w:t>
      </w:r>
    </w:p>
    <w:p w14:paraId="22A0BA64">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本合同履行过程中发生的任何争议，双方当事人均可通过和解或者调解解决；不愿和解、调解或者和解、调解不成的，可以选择下列第 1 种方式解决：</w:t>
      </w:r>
    </w:p>
    <w:p w14:paraId="40CC6C06">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1.将争议提交项目所在地仲裁委员会依申请仲裁时其现行有效的仲裁规则裁决；</w:t>
      </w:r>
    </w:p>
    <w:p w14:paraId="0B0FCFA1">
      <w:pPr>
        <w:pStyle w:val="style0"/>
        <w:spacing w:lineRule="auto" w:line="360"/>
        <w:ind w:firstLine="420" w:firstLineChars="200"/>
        <w:jc w:val="left"/>
        <w:rPr>
          <w:rFonts w:ascii="宋体" w:cs="宋体" w:eastAsia="宋体" w:hAnsi="宋体" w:hint="eastAsia"/>
          <w:sz w:val="21"/>
          <w:szCs w:val="21"/>
          <w:highlight w:val="none"/>
          <w:u w:val="single"/>
        </w:rPr>
      </w:pPr>
      <w:r>
        <w:rPr>
          <w:rFonts w:ascii="宋体" w:cs="宋体" w:eastAsia="宋体" w:hAnsi="宋体" w:hint="eastAsia"/>
          <w:sz w:val="21"/>
          <w:szCs w:val="21"/>
          <w:highlight w:val="none"/>
          <w:u w:val="none"/>
          <w:lang w:val="en-US" w:eastAsia="zh-CN"/>
        </w:rPr>
        <w:t>2</w:t>
      </w:r>
      <w:r>
        <w:rPr>
          <w:rFonts w:ascii="宋体" w:cs="宋体" w:eastAsia="宋体" w:hAnsi="宋体" w:hint="eastAsia"/>
          <w:sz w:val="21"/>
          <w:szCs w:val="21"/>
          <w:highlight w:val="none"/>
          <w:u w:val="none"/>
        </w:rPr>
        <w:t>.向项目所在地（被告住所地、合同履行地、合同签订地、原告住所地、标的物所在地等与争议有实际联系的具体地点中选出的人民法院名称）人民法院起诉。</w:t>
      </w:r>
    </w:p>
    <w:bookmarkStart w:id="51" w:name="_Toc9053"/>
    <w:bookmarkStart w:id="52" w:name="_Hlk87343346"/>
    <w:p w14:paraId="45DCA707">
      <w:pPr>
        <w:pStyle w:val="style0"/>
        <w:spacing w:lineRule="auto" w:line="360"/>
        <w:ind w:firstLine="422" w:firstLineChars="200"/>
        <w:jc w:val="left"/>
        <w:rPr>
          <w:rFonts w:ascii="宋体" w:cs="宋体" w:eastAsia="宋体" w:hAnsi="宋体" w:hint="eastAsia"/>
          <w:b/>
          <w:bCs/>
          <w:sz w:val="21"/>
          <w:szCs w:val="21"/>
          <w:highlight w:val="none"/>
          <w:u w:val="none"/>
        </w:rPr>
      </w:pPr>
      <w:r>
        <w:rPr>
          <w:rFonts w:ascii="宋体" w:cs="宋体" w:eastAsia="宋体" w:hAnsi="宋体" w:hint="eastAsia"/>
          <w:b/>
          <w:bCs/>
          <w:sz w:val="21"/>
          <w:szCs w:val="21"/>
          <w:highlight w:val="none"/>
          <w:u w:val="none"/>
        </w:rPr>
        <w:t>（四）履约验收方案</w:t>
      </w:r>
      <w:bookmarkEnd w:id="51"/>
    </w:p>
    <w:bookmarkEnd w:id="52"/>
    <w:p w14:paraId="0ADD0461">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（1）履约验收主体</w:t>
      </w:r>
    </w:p>
    <w:p w14:paraId="5C6979D8">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本项目的履约验收工作由</w:t>
      </w:r>
      <w:r>
        <w:rPr>
          <w:rFonts w:ascii="宋体" w:cs="宋体" w:eastAsia="宋体" w:hAnsi="宋体" w:hint="eastAsia"/>
          <w:sz w:val="21"/>
          <w:szCs w:val="21"/>
          <w:highlight w:val="none"/>
          <w:u w:val="none"/>
          <w:lang w:eastAsia="zh-CN"/>
        </w:rPr>
        <w:t>河南城建学院</w:t>
      </w:r>
      <w:r>
        <w:rPr>
          <w:rFonts w:ascii="宋体" w:cs="宋体" w:eastAsia="宋体" w:hAnsi="宋体" w:hint="eastAsia"/>
          <w:sz w:val="21"/>
          <w:szCs w:val="21"/>
          <w:highlight w:val="none"/>
          <w:u w:val="none"/>
        </w:rPr>
        <w:t>依法组织实施。合同履约验收工作应成立验收工作组专门负责，直接参与该项目政府采购活动的主要责任人不得作为验收工作的主要责任人。验收工作组应由采购单位领导牵头，成员不少于</w:t>
      </w:r>
      <w:r>
        <w:rPr>
          <w:rFonts w:ascii="宋体" w:cs="宋体" w:eastAsia="宋体" w:hAnsi="宋体" w:hint="eastAsia"/>
          <w:sz w:val="21"/>
          <w:szCs w:val="21"/>
          <w:highlight w:val="none"/>
          <w:u w:val="none"/>
          <w:lang w:val="en-US" w:eastAsia="zh-CN"/>
        </w:rPr>
        <w:t>二</w:t>
      </w:r>
      <w:r>
        <w:rPr>
          <w:rFonts w:ascii="宋体" w:cs="宋体" w:eastAsia="宋体" w:hAnsi="宋体" w:hint="eastAsia"/>
          <w:sz w:val="21"/>
          <w:szCs w:val="21"/>
          <w:highlight w:val="none"/>
          <w:u w:val="none"/>
        </w:rPr>
        <w:t>人。</w:t>
      </w:r>
    </w:p>
    <w:p w14:paraId="3474B808">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（2）履约验收时间</w:t>
      </w:r>
    </w:p>
    <w:p w14:paraId="26A9EC4C">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供应商履约完毕提出验收申请，由</w:t>
      </w:r>
      <w:r>
        <w:rPr>
          <w:rFonts w:ascii="宋体" w:cs="宋体" w:eastAsia="宋体" w:hAnsi="宋体" w:hint="eastAsia"/>
          <w:sz w:val="21"/>
          <w:szCs w:val="21"/>
          <w:highlight w:val="none"/>
          <w:u w:val="none"/>
          <w:lang w:eastAsia="zh-CN"/>
        </w:rPr>
        <w:t>河南城建学院</w:t>
      </w:r>
      <w:r>
        <w:rPr>
          <w:rFonts w:ascii="宋体" w:cs="宋体" w:eastAsia="宋体" w:hAnsi="宋体" w:hint="eastAsia"/>
          <w:sz w:val="21"/>
          <w:szCs w:val="21"/>
          <w:highlight w:val="none"/>
          <w:u w:val="none"/>
        </w:rPr>
        <w:t>在采购合同约定的期限内组织验收。</w:t>
      </w:r>
    </w:p>
    <w:p w14:paraId="54CA234B">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（3）履约验收方式</w:t>
      </w:r>
    </w:p>
    <w:p w14:paraId="0BA6EC55">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由</w:t>
      </w:r>
      <w:r>
        <w:rPr>
          <w:rFonts w:ascii="宋体" w:cs="宋体" w:eastAsia="宋体" w:hAnsi="宋体" w:hint="eastAsia"/>
          <w:sz w:val="21"/>
          <w:szCs w:val="21"/>
          <w:highlight w:val="none"/>
          <w:u w:val="none"/>
          <w:lang w:eastAsia="zh-CN"/>
        </w:rPr>
        <w:t>河南城建学院</w:t>
      </w:r>
      <w:r>
        <w:rPr>
          <w:rFonts w:ascii="宋体" w:cs="宋体" w:eastAsia="宋体" w:hAnsi="宋体" w:hint="eastAsia"/>
          <w:sz w:val="21"/>
          <w:szCs w:val="21"/>
          <w:highlight w:val="none"/>
          <w:u w:val="none"/>
        </w:rPr>
        <w:t>成立验收小组,按照采购合同的约定对供应商履约情况进行书面验收。验收结束后,应当出具验收书,列明各项标准的验收情况及项目总体评价,由验收双方共同签署。</w:t>
      </w:r>
    </w:p>
    <w:p w14:paraId="65401408">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（4）履约验收程序</w:t>
      </w:r>
    </w:p>
    <w:p w14:paraId="7C25AA99">
      <w:pPr>
        <w:pStyle w:val="style0"/>
        <w:spacing w:lineRule="auto" w:line="360"/>
        <w:ind w:firstLine="420" w:firstLineChars="200"/>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rPr>
        <w:t>1.供应商履约完毕提出验收申请</w:t>
      </w:r>
      <w:r>
        <w:rPr>
          <w:rFonts w:ascii="宋体" w:cs="宋体" w:eastAsia="宋体" w:hAnsi="宋体" w:hint="eastAsia"/>
          <w:sz w:val="21"/>
          <w:szCs w:val="21"/>
          <w:highlight w:val="none"/>
          <w:u w:val="none"/>
          <w:lang w:eastAsia="zh-CN"/>
        </w:rPr>
        <w:t>。</w:t>
      </w:r>
    </w:p>
    <w:p w14:paraId="2B906EB9">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lang w:val="en-US" w:eastAsia="zh-CN"/>
        </w:rPr>
        <w:t>2.采购人组织验收。</w:t>
      </w:r>
    </w:p>
    <w:p w14:paraId="04711FC3">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（5）履约验收内容</w:t>
      </w:r>
    </w:p>
    <w:p w14:paraId="16A8F6BC">
      <w:pPr>
        <w:pStyle w:val="style0"/>
        <w:spacing w:lineRule="auto" w:line="360"/>
        <w:ind w:firstLine="420" w:firstLineChars="200"/>
        <w:jc w:val="left"/>
        <w:rPr>
          <w:rFonts w:ascii="宋体" w:cs="宋体" w:eastAsia="宋体" w:hAnsi="宋体" w:hint="eastAsia"/>
          <w:sz w:val="21"/>
          <w:szCs w:val="21"/>
          <w:highlight w:val="none"/>
          <w:u w:val="none"/>
          <w:lang w:eastAsia="zh-CN"/>
        </w:rPr>
      </w:pPr>
      <w:r>
        <w:rPr>
          <w:rFonts w:ascii="宋体" w:cs="宋体" w:eastAsia="宋体" w:hAnsi="宋体" w:hint="eastAsia"/>
          <w:b w:val="false"/>
          <w:bCs w:val="false"/>
          <w:sz w:val="21"/>
          <w:szCs w:val="21"/>
          <w:highlight w:val="none"/>
          <w:u w:val="none"/>
        </w:rPr>
        <w:t>验收内容要包括每一项技术和商务要求的履约情况，按照采购文</w:t>
      </w:r>
      <w:r>
        <w:rPr>
          <w:rFonts w:ascii="宋体" w:cs="宋体" w:eastAsia="宋体" w:hAnsi="宋体" w:hint="eastAsia"/>
          <w:sz w:val="21"/>
          <w:szCs w:val="21"/>
          <w:highlight w:val="none"/>
          <w:u w:val="none"/>
        </w:rPr>
        <w:t>件、响应文件和政府采购合同的内容验收</w:t>
      </w:r>
      <w:r>
        <w:rPr>
          <w:rFonts w:ascii="宋体" w:cs="宋体" w:eastAsia="宋体" w:hAnsi="宋体" w:hint="eastAsia"/>
          <w:sz w:val="21"/>
          <w:szCs w:val="21"/>
          <w:highlight w:val="none"/>
          <w:u w:val="none"/>
          <w:lang w:eastAsia="zh-CN"/>
        </w:rPr>
        <w:t>。</w:t>
      </w:r>
    </w:p>
    <w:p w14:paraId="7825D8B8">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（6）履约验收验收标准</w:t>
      </w:r>
    </w:p>
    <w:p w14:paraId="5B3DEB81">
      <w:pPr>
        <w:pStyle w:val="style0"/>
        <w:spacing w:lineRule="auto" w:line="360"/>
        <w:ind w:firstLine="420" w:firstLineChars="200"/>
        <w:jc w:val="left"/>
        <w:rPr>
          <w:rFonts w:ascii="宋体" w:cs="宋体" w:eastAsia="宋体" w:hAnsi="宋体" w:hint="eastAsia"/>
          <w:sz w:val="21"/>
          <w:szCs w:val="21"/>
          <w:highlight w:val="none"/>
          <w:u w:val="none"/>
          <w:lang w:val="en-US" w:eastAsia="zh-CN"/>
        </w:rPr>
      </w:pPr>
      <w:r>
        <w:rPr>
          <w:rFonts w:ascii="宋体" w:cs="宋体" w:eastAsia="宋体" w:hAnsi="宋体" w:hint="eastAsia"/>
          <w:sz w:val="21"/>
          <w:szCs w:val="21"/>
          <w:highlight w:val="none"/>
          <w:u w:val="none"/>
          <w:lang w:val="en-US" w:eastAsia="zh-CN"/>
        </w:rPr>
        <w:t>符合国家现行规范和相关质量标准要求</w:t>
      </w:r>
    </w:p>
    <w:p w14:paraId="7B66C7D1">
      <w:pPr>
        <w:pStyle w:val="style0"/>
        <w:numPr>
          <w:ilvl w:val="0"/>
          <w:numId w:val="1"/>
        </w:numPr>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履约验收其他事项</w:t>
      </w:r>
    </w:p>
    <w:p w14:paraId="4774D4C5">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1、供应商提供的</w:t>
      </w:r>
      <w:r>
        <w:rPr>
          <w:rFonts w:ascii="宋体" w:cs="宋体" w:eastAsia="宋体" w:hAnsi="宋体" w:hint="eastAsia"/>
          <w:sz w:val="21"/>
          <w:szCs w:val="21"/>
          <w:highlight w:val="none"/>
          <w:u w:val="none"/>
          <w:lang w:eastAsia="zh-CN"/>
        </w:rPr>
        <w:t>服务</w:t>
      </w:r>
      <w:r>
        <w:rPr>
          <w:rFonts w:ascii="宋体" w:cs="宋体" w:eastAsia="宋体" w:hAnsi="宋体" w:hint="eastAsia"/>
          <w:sz w:val="21"/>
          <w:szCs w:val="21"/>
          <w:highlight w:val="none"/>
          <w:u w:val="none"/>
        </w:rPr>
        <w:t>未达到采购文件规定要求，且对采购人造成损失的，由供应商承担一切责任，并赔偿所造成的损失。</w:t>
      </w:r>
    </w:p>
    <w:p w14:paraId="7371466A">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2、采购人可以邀请参加本项目的其他供应商或者第三方机构参与验收，参与验收的供应商或者第三方机构的意见作为验收书的参考资料一并存档。</w:t>
      </w:r>
    </w:p>
    <w:bookmarkStart w:id="53" w:name="_Toc20314"/>
    <w:p w14:paraId="775AFB58">
      <w:pPr>
        <w:pStyle w:val="style0"/>
        <w:spacing w:lineRule="auto" w:line="360"/>
        <w:ind w:firstLine="422" w:firstLineChars="200"/>
        <w:jc w:val="left"/>
        <w:rPr>
          <w:rFonts w:ascii="宋体" w:cs="宋体" w:eastAsia="宋体" w:hAnsi="宋体" w:hint="eastAsia"/>
          <w:b/>
          <w:bCs/>
          <w:sz w:val="21"/>
          <w:szCs w:val="21"/>
          <w:highlight w:val="none"/>
          <w:u w:val="none"/>
        </w:rPr>
      </w:pPr>
      <w:r>
        <w:rPr>
          <w:rFonts w:ascii="宋体" w:cs="宋体" w:eastAsia="宋体" w:hAnsi="宋体" w:hint="eastAsia"/>
          <w:b/>
          <w:bCs/>
          <w:sz w:val="21"/>
          <w:szCs w:val="21"/>
          <w:highlight w:val="none"/>
          <w:u w:val="none"/>
        </w:rPr>
        <w:t>（五）风险管控措施</w:t>
      </w:r>
      <w:bookmarkEnd w:id="53"/>
    </w:p>
    <w:p w14:paraId="1370BFCE">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（1）国家政策变化应对措施</w:t>
      </w:r>
    </w:p>
    <w:p w14:paraId="17BCA7FB">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加强法规学习，根据项目需要，设置政策审核岗位，明确岗位职责、权限和责任主体，必要时咨询专业律师。</w:t>
      </w:r>
    </w:p>
    <w:p w14:paraId="1C8CE046">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（2）实施环境变化应对措施</w:t>
      </w:r>
    </w:p>
    <w:p w14:paraId="6B8A35EB">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在国家各项经济政策和产业政策的指导下，汇聚各方信息，引入第三方咨询机构和专家顾问，科学论证，合理确定项目采购需求和目标。</w:t>
      </w:r>
    </w:p>
    <w:p w14:paraId="2AFADC99">
      <w:pPr>
        <w:pStyle w:val="style0"/>
        <w:numPr>
          <w:ilvl w:val="0"/>
          <w:numId w:val="2"/>
        </w:numPr>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重大技术变化应对措施</w:t>
      </w:r>
    </w:p>
    <w:p w14:paraId="0F31A348">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进行重大技术变化分险分析，做好前期论证，做好替代方案。</w:t>
      </w:r>
    </w:p>
    <w:p w14:paraId="4BBC6DEB">
      <w:pPr>
        <w:pStyle w:val="style0"/>
        <w:numPr>
          <w:ilvl w:val="0"/>
          <w:numId w:val="2"/>
        </w:numPr>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 xml:space="preserve">预算项目调整应对措施 </w:t>
      </w:r>
    </w:p>
    <w:p w14:paraId="20755074">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项目需要进行预算调整时，采购人应重新进行市场测算，编制采购预算</w:t>
      </w:r>
      <w:r>
        <w:rPr>
          <w:rFonts w:ascii="宋体" w:cs="宋体" w:eastAsia="宋体" w:hAnsi="宋体" w:hint="eastAsia"/>
          <w:sz w:val="21"/>
          <w:szCs w:val="21"/>
          <w:highlight w:val="none"/>
          <w:u w:val="none"/>
          <w:lang w:eastAsia="zh-CN"/>
        </w:rPr>
        <w:t>，</w:t>
      </w:r>
      <w:r>
        <w:rPr>
          <w:rFonts w:ascii="宋体" w:cs="宋体" w:eastAsia="宋体" w:hAnsi="宋体" w:hint="eastAsia"/>
          <w:sz w:val="21"/>
          <w:szCs w:val="21"/>
          <w:highlight w:val="none"/>
          <w:u w:val="none"/>
        </w:rPr>
        <w:t>根据《预算法》《政府采购法》</w:t>
      </w:r>
      <w:r>
        <w:rPr>
          <w:rFonts w:ascii="宋体" w:cs="宋体" w:eastAsia="宋体" w:hAnsi="宋体" w:hint="eastAsia"/>
          <w:sz w:val="21"/>
          <w:szCs w:val="21"/>
          <w:highlight w:val="none"/>
          <w:u w:val="none"/>
          <w:lang w:eastAsia="zh-CN"/>
        </w:rPr>
        <w:t>等相关规定，</w:t>
      </w:r>
      <w:r>
        <w:rPr>
          <w:rFonts w:ascii="宋体" w:cs="宋体" w:eastAsia="宋体" w:hAnsi="宋体" w:hint="eastAsia"/>
          <w:sz w:val="21"/>
          <w:szCs w:val="21"/>
          <w:highlight w:val="none"/>
          <w:u w:val="none"/>
        </w:rPr>
        <w:t>重新向财政部门提出申请，根据最终审批的预算金额，重新进行采购。</w:t>
      </w:r>
    </w:p>
    <w:p w14:paraId="4362F53D">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（5）因质疑投诉影响采购进度应对措施</w:t>
      </w:r>
    </w:p>
    <w:bookmarkStart w:id="54" w:name="_Toc498029861"/>
    <w:p w14:paraId="046B1A6C">
      <w:pPr>
        <w:pStyle w:val="style0"/>
        <w:spacing w:lineRule="auto" w:line="360"/>
        <w:ind w:firstLine="420" w:firstLineChars="200"/>
        <w:jc w:val="left"/>
        <w:rPr>
          <w:rFonts w:ascii="宋体" w:cs="宋体" w:eastAsia="宋体" w:hAnsi="宋体" w:hint="eastAsia"/>
          <w:sz w:val="21"/>
          <w:szCs w:val="21"/>
          <w:highlight w:val="none"/>
          <w:u w:val="none"/>
          <w:lang w:eastAsia="zh-CN"/>
        </w:rPr>
      </w:pPr>
      <w:r>
        <w:rPr>
          <w:rFonts w:ascii="宋体" w:cs="宋体" w:eastAsia="宋体" w:hAnsi="宋体" w:hint="eastAsia"/>
          <w:sz w:val="21"/>
          <w:szCs w:val="21"/>
          <w:highlight w:val="none"/>
          <w:u w:val="none"/>
        </w:rPr>
        <w:t>1.明确工作规则，设立专职机构</w:t>
      </w:r>
      <w:bookmarkStart w:id="55" w:name="_Toc498029862"/>
      <w:bookmarkEnd w:id="54"/>
      <w:r>
        <w:rPr>
          <w:rFonts w:ascii="宋体" w:cs="宋体" w:eastAsia="宋体" w:hAnsi="宋体" w:hint="eastAsia"/>
          <w:sz w:val="21"/>
          <w:szCs w:val="21"/>
          <w:highlight w:val="none"/>
          <w:u w:val="none"/>
          <w:lang w:eastAsia="zh-CN"/>
        </w:rPr>
        <w:t>。</w:t>
      </w:r>
    </w:p>
    <w:bookmarkEnd w:id="55"/>
    <w:p w14:paraId="32FCB4B2">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2.质疑事项的处理必须以法律为准绳，事实为根据，做到对外耐心解释疑难，公平公证处理和解决问题；对内严格要求，及时仔细查找和堵塞漏洞，把问题解决在萌芽状态。</w:t>
      </w:r>
    </w:p>
    <w:p w14:paraId="1CD2C73C">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3.按程序进行操作。在做出正式书面答复前，根据实践经验。结合工作规范，一般按以下程序进行操作：一是就质疑事项调阅项目招标一系列资料（招标文件、评标报告、投标文件等）；二是与该项目负责人进行沟通，了解评标时的情况，请项目负责人就质疑内容从自身角度做出说明；三是与质疑人进行沟通；四是就质疑内容向该项目评标委员会的评委进行咨询，如有必要可咨询法律顾问或现场纪检监督人员；五是根据调查的结果起草回复函并报领导批准；六是在法律规定的时间内书面答复质疑。</w:t>
      </w:r>
    </w:p>
    <w:p w14:paraId="44667AEE">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4.质疑事项处理过程中，除坚持有理、有利、有节的原则外，在处理方法和处理手段上尽可能人性化，做到文明接待、热情和蔼、耐心细致、认真负责。在核查中，主办人员要同质疑人当面或电话进行充分沟通，就其质疑的内容进行交流，依据法律法规一起判断分析，为下一步进行正式处理打好基础。回复前，再一次与质疑人进行交流和沟通，将答复内容逐条地耐心解释，在沟通中争取获得质疑人的理解和认同，然后再发出回复函。对少数不良质疑的投标人，一方面严肃指出这种行为的危害和不当。进行遵纪守法教育；一方面不一捧子打死，给予其改正机会。对有效质疑需要变更预</w:t>
      </w:r>
      <w:r>
        <w:rPr>
          <w:rFonts w:ascii="宋体" w:cs="宋体" w:eastAsia="宋体" w:hAnsi="宋体" w:hint="eastAsia"/>
          <w:sz w:val="21"/>
          <w:szCs w:val="21"/>
          <w:highlight w:val="none"/>
          <w:u w:val="none"/>
          <w:lang w:eastAsia="zh-CN"/>
        </w:rPr>
        <w:t>中标人</w:t>
      </w:r>
      <w:r>
        <w:rPr>
          <w:rFonts w:ascii="宋体" w:cs="宋体" w:eastAsia="宋体" w:hAnsi="宋体" w:hint="eastAsia"/>
          <w:sz w:val="21"/>
          <w:szCs w:val="21"/>
          <w:highlight w:val="none"/>
          <w:u w:val="none"/>
        </w:rPr>
        <w:t>或者重新招标的事项，坚持按原则办事，有错必纠。</w:t>
      </w:r>
    </w:p>
    <w:p w14:paraId="1FBC45A1">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5.可以在采购文件中明确规定：供应商应在法定质疑期内一次性针对同一采购程序环节提出质疑，否则针对再次提出质疑将不予接收。（采购程序环节分为：采购公告、采购文件、采购过程、中标成交结果），对采购公告文件的质疑由采购人机代理机构答复，对中标成交结果的质疑可以让评审专家协助进行答复。</w:t>
      </w:r>
    </w:p>
    <w:p w14:paraId="1CA03C3F">
      <w:pPr>
        <w:pStyle w:val="style0"/>
        <w:spacing w:lineRule="auto" w:line="360"/>
        <w:ind w:left="63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（6）采购失败应对措施</w:t>
      </w:r>
    </w:p>
    <w:p w14:paraId="7CE3B4E2">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废标或终止采购活动后，除采购任务取消情形外，应当重新组织招标或采购。</w:t>
      </w:r>
    </w:p>
    <w:p w14:paraId="4CCC756F">
      <w:pPr>
        <w:pStyle w:val="style0"/>
        <w:numPr>
          <w:ilvl w:val="0"/>
          <w:numId w:val="0"/>
        </w:numPr>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lang w:val="en-US" w:eastAsia="zh-CN"/>
        </w:rPr>
        <w:t>1</w:t>
      </w:r>
      <w:r>
        <w:rPr>
          <w:rFonts w:ascii="宋体" w:cs="宋体" w:eastAsia="宋体" w:hAnsi="宋体" w:hint="eastAsia"/>
          <w:sz w:val="21"/>
          <w:szCs w:val="21"/>
          <w:highlight w:val="none"/>
          <w:u w:val="none"/>
        </w:rPr>
        <w:t>.重新组织招标或采购首先要考虑的是采购文件是否存在不合理条款（是直接导致评审后符合采购文件实质性要求的供应商不足3家或供应商投诉成功导致废标的主要原因）或者采购程序是否符合相关规定，采购文件存在不合理条款或者采购程序不符合相关规定时，采购人、采购代理机构应当改正后依法重新组织招标或采购。</w:t>
      </w:r>
    </w:p>
    <w:p w14:paraId="02817242">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lang w:val="en-US" w:eastAsia="zh-CN"/>
        </w:rPr>
        <w:t>2</w:t>
      </w:r>
      <w:r>
        <w:rPr>
          <w:rFonts w:ascii="宋体" w:cs="宋体" w:eastAsia="宋体" w:hAnsi="宋体" w:hint="eastAsia"/>
          <w:sz w:val="21"/>
          <w:szCs w:val="21"/>
          <w:highlight w:val="none"/>
          <w:u w:val="none"/>
        </w:rPr>
        <w:t>.特殊情况：</w:t>
      </w:r>
      <w:r>
        <w:rPr>
          <w:rFonts w:ascii="宋体" w:cs="宋体" w:eastAsia="宋体" w:hAnsi="宋体" w:hint="eastAsia"/>
          <w:sz w:val="21"/>
          <w:szCs w:val="21"/>
          <w:highlight w:val="none"/>
          <w:u w:val="none"/>
          <w:lang w:val="en-US" w:eastAsia="zh-CN"/>
        </w:rPr>
        <w:t>按照法律法规和磋商文件规定执行</w:t>
      </w:r>
      <w:r>
        <w:rPr>
          <w:rFonts w:ascii="宋体" w:cs="宋体" w:eastAsia="宋体" w:hAnsi="宋体" w:hint="eastAsia"/>
          <w:sz w:val="21"/>
          <w:szCs w:val="21"/>
          <w:highlight w:val="none"/>
          <w:u w:val="none"/>
        </w:rPr>
        <w:t>。</w:t>
      </w:r>
    </w:p>
    <w:p w14:paraId="0B976F33">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lang w:val="en-US" w:eastAsia="zh-CN"/>
        </w:rPr>
        <w:t>3</w:t>
      </w:r>
      <w:r>
        <w:rPr>
          <w:rFonts w:ascii="宋体" w:cs="宋体" w:eastAsia="宋体" w:hAnsi="宋体" w:hint="eastAsia"/>
          <w:sz w:val="21"/>
          <w:szCs w:val="21"/>
          <w:highlight w:val="none"/>
          <w:u w:val="none"/>
        </w:rPr>
        <w:t>.供应商报价均超过了采购预算，采购人不能支付，采购人应重新进行市场测算，编制采购预算。</w:t>
      </w:r>
    </w:p>
    <w:p w14:paraId="4D60AB01">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lang w:val="en-US" w:eastAsia="zh-CN"/>
        </w:rPr>
        <w:t>4</w:t>
      </w:r>
      <w:r>
        <w:rPr>
          <w:rFonts w:ascii="宋体" w:cs="宋体" w:eastAsia="宋体" w:hAnsi="宋体" w:hint="eastAsia"/>
          <w:sz w:val="21"/>
          <w:szCs w:val="21"/>
          <w:highlight w:val="none"/>
          <w:u w:val="none"/>
        </w:rPr>
        <w:t>.因情况变化，不再符合原采用的的采购方式适用情形，转变采购方式后重新进行招标或采购。</w:t>
      </w:r>
    </w:p>
    <w:p w14:paraId="24AC00DF">
      <w:pPr>
        <w:pStyle w:val="style0"/>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rPr>
        <w:t>（7）不按规定签订或者履行合同应对措施</w:t>
      </w:r>
    </w:p>
    <w:p w14:paraId="47660314">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1.按照法规规定在采购文件中收取投标保证金和履约保证金，或规定相关的惩罚措施，如索赔等。</w:t>
      </w:r>
    </w:p>
    <w:p w14:paraId="6E1197AF">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2.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无需向财政部门报批。采购人应当向财政部门报告供应商违规行为，财政部门应当按照政府采购法律法规规定追究有关供应商法律责任。政府采购活动或中标供应商不存在违法违规情形的，采购人可以根据采购项目的实际情况，综合考虑递补供应商的经济性和效率等因素，自主确定是否重新开展采购活动或确定下一候选人为中标或者成交供应商。</w:t>
      </w:r>
    </w:p>
    <w:p w14:paraId="169FA120">
      <w:pPr>
        <w:pStyle w:val="style0"/>
        <w:spacing w:lineRule="auto" w:line="360"/>
        <w:ind w:firstLine="420" w:firstLineChars="200"/>
        <w:jc w:val="left"/>
        <w:rPr>
          <w:rFonts w:ascii="宋体" w:cs="宋体" w:eastAsia="宋体" w:hAnsi="宋体" w:hint="eastAsia"/>
          <w:sz w:val="21"/>
          <w:szCs w:val="21"/>
          <w:highlight w:val="none"/>
          <w:u w:val="none"/>
        </w:rPr>
      </w:pPr>
      <w:r>
        <w:rPr>
          <w:rFonts w:ascii="宋体" w:cs="宋体" w:eastAsia="宋体" w:hAnsi="宋体" w:hint="eastAsia"/>
          <w:sz w:val="21"/>
          <w:szCs w:val="21"/>
          <w:highlight w:val="none"/>
          <w:u w:val="none"/>
        </w:rPr>
        <w:t>对于供应商履约验收不合格、双方解除合同的情况，应当按照合同法有关规定或者合同约定执行，原则上不得顺延确定中标或成交供应商。需要重新选定供应商的，应当重新开展采购活动。</w:t>
      </w:r>
    </w:p>
    <w:p w14:paraId="0C2F0321">
      <w:pPr>
        <w:pStyle w:val="style0"/>
        <w:numPr>
          <w:ilvl w:val="0"/>
          <w:numId w:val="0"/>
        </w:numPr>
        <w:spacing w:lineRule="auto" w:line="360"/>
        <w:ind w:firstLine="422" w:firstLineChars="200"/>
        <w:jc w:val="left"/>
        <w:rPr>
          <w:rFonts w:ascii="宋体" w:cs="宋体" w:eastAsia="宋体" w:hAnsi="宋体" w:hint="eastAsia"/>
          <w:b/>
          <w:bCs/>
          <w:sz w:val="21"/>
          <w:szCs w:val="21"/>
          <w:highlight w:val="none"/>
        </w:rPr>
      </w:pPr>
      <w:r>
        <w:rPr>
          <w:rFonts w:ascii="宋体" w:cs="宋体" w:eastAsia="宋体" w:hAnsi="宋体" w:hint="eastAsia"/>
          <w:b/>
          <w:bCs/>
          <w:sz w:val="21"/>
          <w:szCs w:val="21"/>
          <w:highlight w:val="none"/>
          <w:lang w:val="en-US" w:eastAsia="zh-CN"/>
        </w:rPr>
        <w:t>(8)</w:t>
      </w:r>
      <w:r>
        <w:rPr>
          <w:rFonts w:ascii="宋体" w:cs="宋体" w:eastAsia="宋体" w:hAnsi="宋体" w:hint="eastAsia"/>
          <w:b/>
          <w:bCs/>
          <w:sz w:val="21"/>
          <w:szCs w:val="21"/>
          <w:highlight w:val="none"/>
        </w:rPr>
        <w:t>出现损害国家利益和社会公共利益情形应对措施</w:t>
      </w:r>
    </w:p>
    <w:p w14:paraId="6E3F4C11">
      <w:pPr>
        <w:pStyle w:val="style0"/>
        <w:spacing w:lineRule="auto" w:line="360"/>
        <w:ind w:firstLine="420" w:firstLineChars="200"/>
        <w:jc w:val="left"/>
        <w:rPr>
          <w:rFonts w:ascii="宋体" w:cs="宋体" w:eastAsia="宋体" w:hAnsi="宋体" w:hint="eastAsia"/>
          <w:sz w:val="21"/>
          <w:szCs w:val="21"/>
          <w:highlight w:val="none"/>
          <w:u w:val="none"/>
          <w:lang w:val="en-US" w:eastAsia="zh-CN"/>
        </w:rPr>
      </w:pPr>
      <w:r>
        <w:rPr>
          <w:rFonts w:ascii="宋体" w:cs="宋体" w:eastAsia="宋体" w:hAnsi="宋体" w:hint="eastAsia"/>
          <w:sz w:val="21"/>
          <w:szCs w:val="21"/>
          <w:highlight w:val="none"/>
          <w:u w:val="none"/>
        </w:rPr>
        <w:t>应当将有关情况书面及时报告本级财政部门，维护国家利益和社会公共利益</w:t>
      </w:r>
      <w:r>
        <w:rPr>
          <w:rFonts w:ascii="宋体" w:cs="宋体" w:eastAsia="宋体" w:hAnsi="宋体" w:hint="eastAsia"/>
          <w:sz w:val="21"/>
          <w:szCs w:val="21"/>
          <w:highlight w:val="none"/>
          <w:u w:val="none"/>
          <w:lang w:eastAsia="zh-CN"/>
        </w:rPr>
        <w:t>。</w:t>
      </w:r>
    </w:p>
    <w:p w14:paraId="6754F8BF">
      <w:pPr>
        <w:pStyle w:val="style0"/>
        <w:spacing w:lineRule="auto" w:line="360"/>
        <w:rPr>
          <w:rFonts w:ascii="宋体" w:cs="宋体" w:eastAsia="宋体" w:hAnsi="宋体" w:hint="eastAsia"/>
          <w:sz w:val="21"/>
          <w:szCs w:val="21"/>
          <w:highlight w:val="none"/>
        </w:rPr>
      </w:pPr>
    </w:p>
    <w:p w14:paraId="6618898D">
      <w:pPr>
        <w:pStyle w:val="style4097"/>
        <w:spacing w:lineRule="auto" w:line="360"/>
        <w:rPr>
          <w:rFonts w:ascii="宋体" w:cs="宋体" w:eastAsia="宋体" w:hAnsi="宋体" w:hint="eastAsia"/>
          <w:color w:val="auto"/>
          <w:sz w:val="21"/>
          <w:szCs w:val="21"/>
          <w:highlight w:val="none"/>
        </w:rPr>
      </w:pPr>
    </w:p>
    <w:p w14:paraId="29CA8EF6">
      <w:pPr>
        <w:pStyle w:val="style4097"/>
        <w:spacing w:lineRule="auto" w:line="360"/>
        <w:rPr>
          <w:rFonts w:ascii="宋体" w:cs="宋体" w:eastAsia="宋体" w:hAnsi="宋体" w:hint="eastAsia"/>
          <w:color w:val="auto"/>
          <w:sz w:val="21"/>
          <w:szCs w:val="21"/>
          <w:highlight w:val="none"/>
        </w:rPr>
      </w:pPr>
    </w:p>
    <w:p w14:paraId="4F2698B0">
      <w:pPr>
        <w:pStyle w:val="style0"/>
        <w:spacing w:lineRule="auto" w:line="360"/>
        <w:ind w:firstLine="420" w:firstLineChars="200"/>
        <w:rPr>
          <w:rFonts w:ascii="宋体" w:cs="宋体" w:eastAsia="宋体" w:hAnsi="宋体" w:hint="eastAsia"/>
          <w:sz w:val="21"/>
          <w:szCs w:val="21"/>
          <w:highlight w:val="none"/>
        </w:rPr>
      </w:pPr>
      <w:r>
        <w:rPr>
          <w:rFonts w:ascii="宋体" w:cs="宋体" w:eastAsia="宋体" w:hAnsi="宋体" w:hint="eastAsia"/>
          <w:sz w:val="21"/>
          <w:szCs w:val="21"/>
          <w:highlight w:val="none"/>
        </w:rPr>
        <w:t>甲方（盖章） ：</w:t>
      </w:r>
      <w:r>
        <w:rPr>
          <w:rFonts w:ascii="宋体" w:cs="宋体" w:eastAsia="宋体" w:hAnsi="宋体" w:hint="eastAsia"/>
          <w:sz w:val="21"/>
          <w:szCs w:val="21"/>
          <w:highlight w:val="none"/>
        </w:rPr>
        <w:tab/>
      </w:r>
      <w:r>
        <w:rPr>
          <w:rFonts w:ascii="宋体" w:cs="宋体" w:eastAsia="宋体" w:hAnsi="宋体" w:hint="eastAsia"/>
          <w:sz w:val="21"/>
          <w:szCs w:val="21"/>
          <w:highlight w:val="none"/>
        </w:rPr>
        <w:t xml:space="preserve">                        乙方（盖章）：</w:t>
      </w:r>
    </w:p>
    <w:p w14:paraId="47134AF7">
      <w:pPr>
        <w:pStyle w:val="style0"/>
        <w:spacing w:lineRule="auto" w:line="360"/>
        <w:ind w:firstLine="420" w:firstLineChars="200"/>
        <w:rPr>
          <w:rFonts w:ascii="宋体" w:cs="宋体" w:eastAsia="宋体" w:hAnsi="宋体" w:hint="eastAsia"/>
          <w:sz w:val="21"/>
          <w:szCs w:val="21"/>
          <w:highlight w:val="none"/>
        </w:rPr>
      </w:pPr>
      <w:r>
        <w:rPr>
          <w:rFonts w:ascii="宋体" w:cs="宋体" w:eastAsia="宋体" w:hAnsi="宋体" w:hint="eastAsia"/>
          <w:sz w:val="21"/>
          <w:szCs w:val="21"/>
          <w:highlight w:val="none"/>
        </w:rPr>
        <w:t>授权人代表签字：__________________      授权人代表签字：___________________</w:t>
      </w:r>
    </w:p>
    <w:p w14:paraId="40326836">
      <w:pPr>
        <w:pStyle w:val="style0"/>
        <w:spacing w:lineRule="auto" w:line="360"/>
        <w:ind w:firstLine="420" w:firstLineChars="200"/>
        <w:rPr>
          <w:rFonts w:ascii="宋体" w:cs="宋体" w:eastAsia="宋体" w:hAnsi="宋体" w:hint="eastAsia"/>
          <w:sz w:val="21"/>
          <w:szCs w:val="21"/>
          <w:highlight w:val="none"/>
        </w:rPr>
      </w:pPr>
      <w:r>
        <w:rPr>
          <w:rFonts w:ascii="宋体" w:cs="宋体" w:eastAsia="宋体" w:hAnsi="宋体" w:hint="eastAsia"/>
          <w:sz w:val="21"/>
          <w:szCs w:val="21"/>
          <w:highlight w:val="none"/>
        </w:rPr>
        <w:t>日期：______年__月__日                  日期：______年__月__日</w:t>
      </w:r>
    </w:p>
    <w:p w14:paraId="7C40A8F8">
      <w:pPr>
        <w:pStyle w:val="style0"/>
        <w:spacing w:lineRule="auto" w:line="360"/>
        <w:ind w:firstLine="420" w:firstLineChars="200"/>
        <w:rPr>
          <w:rFonts w:ascii="宋体" w:cs="宋体" w:eastAsia="宋体" w:hAnsi="宋体" w:hint="eastAsia"/>
          <w:sz w:val="21"/>
          <w:szCs w:val="21"/>
          <w:highlight w:val="none"/>
        </w:rPr>
      </w:pPr>
      <w:r>
        <w:rPr>
          <w:rFonts w:ascii="宋体" w:cs="宋体" w:eastAsia="宋体" w:hAnsi="宋体" w:hint="eastAsia"/>
          <w:sz w:val="21"/>
          <w:szCs w:val="21"/>
          <w:highlight w:val="none"/>
        </w:rPr>
        <w:t>电话：__________________</w:t>
      </w:r>
      <w:r>
        <w:rPr>
          <w:rFonts w:ascii="宋体" w:cs="宋体" w:eastAsia="宋体" w:hAnsi="宋体" w:hint="eastAsia"/>
          <w:sz w:val="21"/>
          <w:szCs w:val="21"/>
          <w:highlight w:val="none"/>
        </w:rPr>
        <w:tab/>
      </w:r>
      <w:r>
        <w:rPr>
          <w:rFonts w:ascii="宋体" w:cs="宋体" w:eastAsia="宋体" w:hAnsi="宋体" w:hint="eastAsia"/>
          <w:sz w:val="21"/>
          <w:szCs w:val="21"/>
          <w:highlight w:val="none"/>
        </w:rPr>
        <w:t xml:space="preserve">            电话： __________________</w:t>
      </w:r>
    </w:p>
    <w:p w14:paraId="0C28373B">
      <w:pPr>
        <w:pStyle w:val="style0"/>
        <w:shd w:val="clear" w:color="auto" w:fill="auto"/>
        <w:spacing w:lineRule="auto" w:line="360"/>
        <w:rPr>
          <w:rFonts w:ascii="宋体" w:cs="宋体" w:eastAsia="宋体" w:hAnsi="宋体" w:hint="eastAsia"/>
          <w:color w:val="000000"/>
          <w:sz w:val="21"/>
          <w:szCs w:val="21"/>
          <w:highlight w:val="none"/>
        </w:rPr>
      </w:pPr>
    </w:p>
    <w:p w14:paraId="45BE8759">
      <w:pPr>
        <w:pStyle w:val="style0"/>
        <w:jc w:val="center"/>
        <w:rPr>
          <w:rFonts w:hint="eastAsia"/>
          <w:b/>
          <w:sz w:val="24"/>
          <w:szCs w:val="24"/>
          <w:lang w:eastAsia="zh-CN"/>
        </w:rPr>
        <w:sectPr>
          <w:headerReference w:type="default" r:id="rId11"/>
          <w:footerReference w:type="default" r:id="rId12"/>
          <w:pgSz w:w="11910" w:h="16840" w:orient="portrait"/>
          <w:pgMar w:top="1440" w:right="1080" w:bottom="1440" w:left="1080" w:header="878" w:footer="1130" w:gutter="0"/>
          <w:pgNumType w:fmt="decimal"/>
          <w:cols w:space="720" w:num="1"/>
        </w:sectPr>
      </w:pPr>
      <w:r>
        <w:rPr>
          <w:rFonts w:ascii="宋体" w:cs="宋体" w:eastAsia="宋体" w:hAnsi="宋体" w:hint="eastAsia"/>
          <w:b/>
          <w:bCs/>
          <w:color w:val="000000"/>
          <w:sz w:val="21"/>
          <w:szCs w:val="21"/>
          <w:highlight w:val="none"/>
        </w:rPr>
        <w:br w:type="page"/>
      </w:r>
    </w:p>
    <w:bookmarkStart w:id="56" w:name="_Toc17660"/>
    <w:p w14:paraId="2A697355">
      <w:pPr>
        <w:pStyle w:val="style0"/>
        <w:spacing w:before="61" w:lineRule="auto" w:line="360"/>
        <w:ind w:right="425"/>
        <w:jc w:val="center"/>
        <w:outlineLvl w:val="0"/>
        <w:rPr>
          <w:rFonts w:ascii="宋体" w:cs="宋体" w:eastAsia="宋体" w:hAnsi="宋体" w:hint="eastAsia"/>
          <w:b/>
          <w:color w:val="auto"/>
          <w:sz w:val="32"/>
          <w:szCs w:val="32"/>
          <w:highlight w:val="none"/>
          <w:lang w:eastAsia="zh-CN"/>
        </w:rPr>
      </w:pPr>
      <w:r>
        <w:rPr>
          <w:rFonts w:ascii="宋体" w:cs="宋体" w:eastAsia="宋体" w:hAnsi="宋体" w:hint="eastAsia"/>
          <w:b/>
          <w:color w:val="auto"/>
          <w:sz w:val="32"/>
          <w:szCs w:val="32"/>
          <w:highlight w:val="none"/>
          <w:lang w:eastAsia="zh-CN"/>
        </w:rPr>
        <w:t>第五章</w:t>
      </w:r>
      <w:r>
        <w:rPr>
          <w:rFonts w:ascii="宋体" w:cs="宋体" w:eastAsia="宋体" w:hAnsi="宋体" w:hint="eastAsia"/>
          <w:b/>
          <w:color w:val="auto"/>
          <w:sz w:val="32"/>
          <w:szCs w:val="32"/>
          <w:highlight w:val="none"/>
          <w:lang w:val="en-US" w:eastAsia="zh-CN"/>
        </w:rPr>
        <w:t xml:space="preserve">  </w:t>
      </w:r>
      <w:bookmarkEnd w:id="56"/>
      <w:r>
        <w:rPr>
          <w:rFonts w:ascii="宋体" w:cs="宋体" w:eastAsia="宋体" w:hAnsi="宋体" w:hint="eastAsia"/>
          <w:b/>
          <w:color w:val="auto"/>
          <w:sz w:val="32"/>
          <w:szCs w:val="32"/>
          <w:highlight w:val="none"/>
          <w:lang w:val="en-US" w:eastAsia="zh-CN"/>
        </w:rPr>
        <w:t>项目需求及技术要求</w:t>
      </w:r>
    </w:p>
    <w:p w14:paraId="19FE24DF">
      <w:pPr>
        <w:pStyle w:val="style3"/>
        <w:bidi w:val="false"/>
        <w:rPr>
          <w:rFonts w:hint="eastAsia"/>
          <w:sz w:val="28"/>
          <w:szCs w:val="28"/>
          <w:lang w:eastAsia="zh-CN"/>
        </w:rPr>
      </w:pPr>
      <w:r>
        <w:rPr>
          <w:rFonts w:hint="eastAsia"/>
          <w:sz w:val="28"/>
          <w:szCs w:val="28"/>
          <w:lang w:eastAsia="zh-CN"/>
        </w:rPr>
        <w:t>（</w:t>
      </w:r>
      <w:r>
        <w:rPr>
          <w:rFonts w:hint="eastAsia"/>
          <w:sz w:val="28"/>
          <w:szCs w:val="28"/>
          <w:lang w:val="en-US" w:eastAsia="zh-CN"/>
        </w:rPr>
        <w:t>艺术学院标段</w:t>
      </w:r>
      <w:r>
        <w:rPr>
          <w:rFonts w:hint="eastAsia"/>
          <w:sz w:val="28"/>
          <w:szCs w:val="28"/>
          <w:lang w:eastAsia="zh-CN"/>
        </w:rPr>
        <w:t>）</w:t>
      </w:r>
    </w:p>
    <w:p w14:paraId="7305145D">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textAlignment w:val="auto"/>
        <w:rPr>
          <w:rFonts w:hint="eastAsia"/>
          <w:b/>
          <w:bCs/>
          <w:sz w:val="28"/>
          <w:szCs w:val="28"/>
        </w:rPr>
      </w:pPr>
      <w:r>
        <w:rPr>
          <w:rFonts w:hint="eastAsia"/>
          <w:b/>
          <w:bCs/>
          <w:sz w:val="28"/>
          <w:szCs w:val="28"/>
          <w:lang w:val="en-US" w:eastAsia="zh-CN"/>
        </w:rPr>
        <w:t>（一）</w:t>
      </w:r>
      <w:r>
        <w:rPr>
          <w:rFonts w:hint="eastAsia"/>
          <w:b/>
          <w:bCs/>
          <w:sz w:val="28"/>
          <w:szCs w:val="28"/>
        </w:rPr>
        <w:t>货物</w:t>
      </w:r>
    </w:p>
    <w:tbl>
      <w:tblPr>
        <w:tblStyle w:val="style105"/>
        <w:tblW w:w="100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5"/>
        <w:gridCol w:w="1284"/>
        <w:gridCol w:w="708"/>
        <w:gridCol w:w="720"/>
        <w:gridCol w:w="5400"/>
        <w:gridCol w:w="1200"/>
      </w:tblGrid>
      <w:tr w14:paraId="375BCD56">
        <w:trPr>
          <w:trHeight w:val="884" w:hRule="atLeast"/>
        </w:trPr>
        <w:tc>
          <w:tcPr>
            <w:tcW w:w="735" w:type="dxa"/>
            <w:tcBorders/>
            <w:vAlign w:val="center"/>
          </w:tcPr>
          <w:p w14:paraId="4CC917FB">
            <w:pPr>
              <w:pStyle w:val="style0"/>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pacing w:val="-20"/>
                <w:sz w:val="24"/>
                <w:szCs w:val="24"/>
                <w:highlight w:val="none"/>
              </w:rPr>
              <w:t>序号</w:t>
            </w:r>
          </w:p>
        </w:tc>
        <w:tc>
          <w:tcPr>
            <w:tcW w:w="1284" w:type="dxa"/>
            <w:tcBorders/>
            <w:vAlign w:val="center"/>
          </w:tcPr>
          <w:p w14:paraId="08159255">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货物名称</w:t>
            </w:r>
          </w:p>
        </w:tc>
        <w:tc>
          <w:tcPr>
            <w:tcW w:w="708" w:type="dxa"/>
            <w:tcBorders/>
            <w:vAlign w:val="center"/>
          </w:tcPr>
          <w:p w14:paraId="276798D2">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单位</w:t>
            </w:r>
          </w:p>
        </w:tc>
        <w:tc>
          <w:tcPr>
            <w:tcW w:w="720" w:type="dxa"/>
            <w:tcBorders/>
            <w:vAlign w:val="center"/>
          </w:tcPr>
          <w:p w14:paraId="78AAAD94">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数量</w:t>
            </w:r>
          </w:p>
        </w:tc>
        <w:tc>
          <w:tcPr>
            <w:tcW w:w="5400" w:type="dxa"/>
            <w:tcBorders/>
            <w:vAlign w:val="center"/>
          </w:tcPr>
          <w:p w14:paraId="41DC7E1F">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主要规格（参数）</w:t>
            </w:r>
          </w:p>
        </w:tc>
        <w:tc>
          <w:tcPr>
            <w:tcW w:w="1200" w:type="dxa"/>
            <w:tcBorders/>
            <w:vAlign w:val="center"/>
          </w:tcPr>
          <w:p w14:paraId="04C72DFE">
            <w:pPr>
              <w:pStyle w:val="style0"/>
              <w:widowControl/>
              <w:snapToGrid w:val="false"/>
              <w:spacing w:lineRule="auto" w:line="360"/>
              <w:jc w:val="center"/>
              <w:rPr>
                <w:rFonts w:ascii="宋体" w:cs="宋体" w:eastAsia="宋体" w:hAnsi="宋体" w:hint="eastAsia"/>
                <w:spacing w:val="-20"/>
                <w:sz w:val="24"/>
                <w:szCs w:val="24"/>
                <w:highlight w:val="none"/>
              </w:rPr>
            </w:pPr>
            <w:r>
              <w:rPr>
                <w:rFonts w:ascii="宋体" w:cs="宋体" w:eastAsia="宋体" w:hAnsi="宋体" w:hint="eastAsia"/>
                <w:spacing w:val="-20"/>
                <w:sz w:val="24"/>
                <w:szCs w:val="24"/>
                <w:highlight w:val="none"/>
              </w:rPr>
              <w:t>是否为核心产品</w:t>
            </w:r>
          </w:p>
        </w:tc>
      </w:tr>
      <w:tr w14:paraId="50274ABC">
        <w:tblPrEx/>
        <w:trPr>
          <w:trHeight w:val="449" w:hRule="atLeast"/>
        </w:trPr>
        <w:tc>
          <w:tcPr>
            <w:tcW w:w="735" w:type="dxa"/>
            <w:tcBorders/>
            <w:vAlign w:val="center"/>
          </w:tcPr>
          <w:p w14:paraId="45AE4A68">
            <w:pPr>
              <w:pStyle w:val="style0"/>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1</w:t>
            </w:r>
          </w:p>
        </w:tc>
        <w:tc>
          <w:tcPr>
            <w:tcW w:w="1284" w:type="dxa"/>
            <w:tcBorders/>
            <w:vAlign w:val="center"/>
          </w:tcPr>
          <w:p w14:paraId="10D8716B">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台式工作站</w:t>
            </w:r>
          </w:p>
        </w:tc>
        <w:tc>
          <w:tcPr>
            <w:tcW w:w="708" w:type="dxa"/>
            <w:tcBorders/>
            <w:vAlign w:val="center"/>
          </w:tcPr>
          <w:p w14:paraId="66E4A759">
            <w:pPr>
              <w:pStyle w:val="style0"/>
              <w:widowControl/>
              <w:snapToGrid w:val="false"/>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台套</w:t>
            </w:r>
          </w:p>
        </w:tc>
        <w:tc>
          <w:tcPr>
            <w:tcW w:w="720" w:type="dxa"/>
            <w:tcBorders/>
            <w:vAlign w:val="center"/>
          </w:tcPr>
          <w:p w14:paraId="3EBC635F">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25</w:t>
            </w:r>
          </w:p>
        </w:tc>
        <w:tc>
          <w:tcPr>
            <w:tcW w:w="5400" w:type="dxa"/>
            <w:tcBorders/>
          </w:tcPr>
          <w:p w14:paraId="74B14F18">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★主板：≥支持Intel LGA 1700或AMD AM5处理器接口，</w:t>
            </w:r>
            <w:r>
              <w:rPr>
                <w:rFonts w:ascii="宋体" w:cs="宋体" w:eastAsia="宋体" w:hAnsi="宋体" w:hint="eastAsia"/>
                <w:color w:val="c00000"/>
                <w:sz w:val="24"/>
                <w:szCs w:val="24"/>
                <w:highlight w:val="none"/>
              </w:rPr>
              <w:t>芯片组需提供DMI通道数≥4，PCI-E通道数≥14</w:t>
            </w:r>
            <w:r>
              <w:rPr>
                <w:rFonts w:ascii="宋体" w:cs="宋体" w:eastAsia="宋体" w:hAnsi="宋体" w:hint="eastAsia"/>
                <w:sz w:val="24"/>
                <w:szCs w:val="24"/>
                <w:highlight w:val="none"/>
              </w:rPr>
              <w:t>全固态电容</w:t>
            </w:r>
          </w:p>
          <w:p w14:paraId="023DEFD6">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★处理器：≥14代酷睿i7级别处理器（或性能相当的AMD Ryzen 9 7900X及以上处理器），</w:t>
            </w:r>
            <w:r>
              <w:rPr>
                <w:rFonts w:ascii="宋体" w:cs="宋体" w:eastAsia="宋体" w:hAnsi="宋体" w:hint="eastAsia"/>
                <w:color w:val="c00000"/>
                <w:sz w:val="24"/>
                <w:szCs w:val="24"/>
                <w:highlight w:val="none"/>
              </w:rPr>
              <w:t>基础频率≥2.1GHz，</w:t>
            </w:r>
            <w:r>
              <w:rPr>
                <w:rFonts w:ascii="宋体" w:cs="宋体" w:eastAsia="宋体" w:hAnsi="宋体" w:hint="eastAsia"/>
                <w:color w:val="000000"/>
                <w:sz w:val="24"/>
                <w:szCs w:val="24"/>
                <w:highlight w:val="none"/>
              </w:rPr>
              <w:t>最大睿频≥5.4GHz，三级缓存≥33MB，二级缓存≥28MB，核心数量≥20核心，线程数≥28线程。</w:t>
            </w:r>
          </w:p>
          <w:p w14:paraId="07C03A84">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★内存：≥64G DDR5-5600MHz  4根内存插槽，支持XMP超频最大支持128GB内存 </w:t>
            </w:r>
          </w:p>
          <w:p w14:paraId="22FC402F">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硬盘：≥1T M.2 P3X4 SSD高速硬盘 + 2T HDD </w:t>
            </w:r>
          </w:p>
          <w:p w14:paraId="5B1819B3">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键鼠：≥原装USB抗菌键盘、抗菌鼠标，原装鼠标垫。</w:t>
            </w:r>
          </w:p>
          <w:p w14:paraId="5D306DBD">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★显卡：≥Blackwell架构独立显卡，显存≥12GB DDR7，位宽≥192-bit</w:t>
            </w:r>
            <w:r>
              <w:rPr>
                <w:rFonts w:ascii="宋体" w:cs="宋体" w:eastAsia="宋体" w:hAnsi="宋体" w:hint="eastAsia"/>
                <w:sz w:val="24"/>
                <w:szCs w:val="24"/>
                <w:highlight w:val="none"/>
                <w:lang w:eastAsia="zh-CN"/>
              </w:rPr>
              <w:t>，</w:t>
            </w:r>
            <w:r>
              <w:rPr>
                <w:rFonts w:ascii="宋体" w:cs="宋体" w:eastAsia="宋体" w:hAnsi="宋体" w:hint="default"/>
                <w:color w:val="c00000"/>
                <w:sz w:val="24"/>
                <w:szCs w:val="24"/>
                <w:highlight w:val="none"/>
                <w:lang w:val="en-US" w:eastAsia="zh-CN"/>
              </w:rPr>
              <w:t>CUDA核心数量≥6144</w:t>
            </w:r>
            <w:r>
              <w:rPr>
                <w:rFonts w:ascii="宋体" w:cs="宋体" w:eastAsia="宋体" w:hAnsi="宋体" w:hint="default"/>
                <w:sz w:val="24"/>
                <w:szCs w:val="24"/>
                <w:highlight w:val="none"/>
                <w:lang w:val="en-US" w:eastAsia="zh-CN"/>
              </w:rPr>
              <w:t>，</w:t>
            </w:r>
            <w:r>
              <w:rPr>
                <w:rFonts w:ascii="宋体" w:cs="宋体" w:eastAsia="宋体" w:hAnsi="宋体" w:hint="eastAsia"/>
                <w:sz w:val="24"/>
                <w:szCs w:val="24"/>
                <w:highlight w:val="none"/>
              </w:rPr>
              <w:t xml:space="preserve">F支持DX12 Ultimate API。 </w:t>
            </w:r>
          </w:p>
          <w:p w14:paraId="1E507D38">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★声卡：≥前2后3音频接口，支持7.1声道， 支持</w:t>
            </w:r>
            <w:r>
              <w:rPr>
                <w:rFonts w:ascii="宋体" w:cs="宋体" w:eastAsia="宋体" w:hAnsi="宋体" w:hint="eastAsia"/>
                <w:sz w:val="24"/>
                <w:szCs w:val="24"/>
                <w:highlight w:val="none"/>
                <w:lang w:val="en-US" w:eastAsia="zh-CN"/>
              </w:rPr>
              <w:t>智能</w:t>
            </w:r>
            <w:r>
              <w:rPr>
                <w:rFonts w:ascii="宋体" w:cs="宋体" w:eastAsia="宋体" w:hAnsi="宋体" w:hint="eastAsia"/>
                <w:sz w:val="24"/>
                <w:szCs w:val="24"/>
                <w:highlight w:val="none"/>
              </w:rPr>
              <w:t>降噪技术。</w:t>
            </w:r>
          </w:p>
          <w:p w14:paraId="4F9DF810">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网卡：≥千兆网卡</w:t>
            </w:r>
          </w:p>
          <w:p w14:paraId="40CF86DE">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★接口：≥10个原生USB接口（其中后置不少于4个USB3.2接口）</w:t>
            </w:r>
          </w:p>
          <w:p w14:paraId="60D091B8">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★扩展：≥1个PCIe® 4.0*16，≥2 个 PCIe® 3.0*1，≥2个 M.2接口，≥4个SATA 6Gb/s接口，≥2*PS/2 </w:t>
            </w:r>
          </w:p>
          <w:p w14:paraId="612B2EF2">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电源：≥500W高效节能电源</w:t>
            </w:r>
          </w:p>
          <w:p w14:paraId="3A6CCCC0">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系统：≥原厂预装WIN11</w:t>
            </w:r>
          </w:p>
          <w:p w14:paraId="27C81D4A">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机箱：≥27标准机箱 </w:t>
            </w:r>
          </w:p>
          <w:p w14:paraId="58C3EE06">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★显示器：≥27英寸，16:9，分辨率</w:t>
            </w:r>
            <w:r>
              <w:rPr>
                <w:rFonts w:ascii="宋体" w:cs="宋体" w:eastAsia="宋体" w:hAnsi="宋体" w:hint="eastAsia"/>
                <w:sz w:val="24"/>
                <w:szCs w:val="24"/>
                <w:highlight w:val="none"/>
                <w:lang w:val="en-US" w:eastAsia="zh-CN"/>
              </w:rPr>
              <w:t>4k，色域覆盖≥93% sRGB</w:t>
            </w:r>
          </w:p>
          <w:p w14:paraId="0879B020">
            <w:pPr>
              <w:pStyle w:val="style179"/>
              <w:numPr>
                <w:ilvl w:val="0"/>
                <w:numId w:val="3"/>
              </w:numPr>
              <w:spacing w:lineRule="auto" w:line="360"/>
              <w:ind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保修：≥三年原厂保修</w:t>
            </w:r>
          </w:p>
          <w:p w14:paraId="58EBC8F5">
            <w:pPr>
              <w:pStyle w:val="style179"/>
              <w:numPr>
                <w:ilvl w:val="0"/>
                <w:numId w:val="3"/>
              </w:numPr>
              <w:spacing w:lineRule="auto" w:line="360"/>
              <w:ind w:firstLineChars="0"/>
              <w:rPr>
                <w:rFonts w:ascii="宋体" w:cs="宋体" w:eastAsia="宋体" w:hAnsi="宋体" w:hint="eastAsia"/>
                <w:color w:val="000000"/>
                <w:sz w:val="24"/>
                <w:szCs w:val="24"/>
                <w:highlight w:val="none"/>
              </w:rPr>
            </w:pPr>
            <w:r>
              <w:rPr>
                <w:rFonts w:ascii="宋体" w:cs="宋体" w:eastAsia="宋体" w:hAnsi="宋体" w:hint="eastAsia"/>
                <w:sz w:val="24"/>
                <w:szCs w:val="24"/>
                <w:highlight w:val="none"/>
              </w:rPr>
              <w:t>功能软件：可自动显示本机主机序列号，方便报修和维护；可一键线上报修，支持人工客服，可查询维修进度；可一键诊断硬件故障；可显示CPU、风扇、内存、硬盘使用情况，并且可检查修复常见系统问题。</w:t>
            </w:r>
          </w:p>
        </w:tc>
        <w:tc>
          <w:tcPr>
            <w:tcW w:w="1200" w:type="dxa"/>
            <w:tcBorders/>
            <w:vAlign w:val="center"/>
          </w:tcPr>
          <w:p w14:paraId="74367F2C">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是</w:t>
            </w:r>
          </w:p>
        </w:tc>
      </w:tr>
      <w:tr w14:paraId="468118A3">
        <w:tblPrEx/>
        <w:trPr>
          <w:trHeight w:val="449" w:hRule="atLeast"/>
        </w:trPr>
        <w:tc>
          <w:tcPr>
            <w:tcW w:w="735" w:type="dxa"/>
            <w:tcBorders/>
            <w:vAlign w:val="center"/>
          </w:tcPr>
          <w:p w14:paraId="7CE4D0C7">
            <w:pPr>
              <w:pStyle w:val="style0"/>
              <w:snapToGrid w:val="false"/>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w:t>
            </w:r>
          </w:p>
        </w:tc>
        <w:tc>
          <w:tcPr>
            <w:tcW w:w="1284" w:type="dxa"/>
            <w:tcBorders/>
            <w:vAlign w:val="center"/>
          </w:tcPr>
          <w:p w14:paraId="0EF41216">
            <w:pPr>
              <w:pStyle w:val="style179"/>
              <w:spacing w:lineRule="auto" w:line="360"/>
              <w:ind w:firstLine="0" w:firstLineChars="0"/>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rPr>
              <w:t>机房管理</w:t>
            </w:r>
            <w:r>
              <w:rPr>
                <w:rFonts w:ascii="宋体" w:cs="宋体" w:eastAsia="宋体" w:hAnsi="宋体" w:hint="eastAsia"/>
                <w:sz w:val="24"/>
                <w:szCs w:val="24"/>
                <w:highlight w:val="none"/>
                <w:lang w:val="en-US" w:eastAsia="zh-CN"/>
              </w:rPr>
              <w:t>系统</w:t>
            </w:r>
          </w:p>
          <w:p w14:paraId="0BA97335">
            <w:pPr>
              <w:pStyle w:val="style0"/>
              <w:widowControl/>
              <w:snapToGrid w:val="false"/>
              <w:spacing w:lineRule="auto" w:line="360"/>
              <w:jc w:val="center"/>
              <w:rPr>
                <w:rFonts w:ascii="宋体" w:cs="宋体" w:eastAsia="宋体" w:hAnsi="宋体" w:hint="eastAsia"/>
                <w:sz w:val="24"/>
                <w:szCs w:val="24"/>
                <w:highlight w:val="none"/>
                <w:lang w:val="en-US" w:eastAsia="zh-CN"/>
              </w:rPr>
            </w:pPr>
          </w:p>
        </w:tc>
        <w:tc>
          <w:tcPr>
            <w:tcW w:w="708" w:type="dxa"/>
            <w:tcBorders/>
            <w:vAlign w:val="center"/>
          </w:tcPr>
          <w:p w14:paraId="57C56507">
            <w:pPr>
              <w:pStyle w:val="style0"/>
              <w:widowControl/>
              <w:snapToGrid w:val="false"/>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台套</w:t>
            </w:r>
          </w:p>
        </w:tc>
        <w:tc>
          <w:tcPr>
            <w:tcW w:w="720" w:type="dxa"/>
            <w:tcBorders/>
            <w:vAlign w:val="center"/>
          </w:tcPr>
          <w:p w14:paraId="2271C8D8">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25</w:t>
            </w:r>
          </w:p>
        </w:tc>
        <w:tc>
          <w:tcPr>
            <w:tcW w:w="5400" w:type="dxa"/>
            <w:tcBorders/>
          </w:tcPr>
          <w:p w14:paraId="4563EE94">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1.采用集中存储，分布运算的系统架构。支持跨架构和多类型终端的统一管理，可实现跨网段，跨VLan的不同组网方式交付，开机自动交付服务端上的操作系统桌面。</w:t>
            </w:r>
          </w:p>
          <w:p w14:paraId="52E1EAED">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2.★系统采用B/S架构，具备概况、新手精灵、镜像管理、桌面模板、终端管理、网络拓扑、端口管控、用户管理、日志管理、系统设置，软件授权，数据迁移。</w:t>
            </w:r>
          </w:p>
          <w:p w14:paraId="6DC32348">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3.★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 </w:t>
            </w:r>
          </w:p>
          <w:p w14:paraId="24352C25">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4.★方案支持并行分发与辅助分发两种方式。辅助分发时能自动寻找环境中的种子机并能在下发界面体现出来，从而快速部署系统。并行分发时可实现终端连上服务端后直接进入系统，系统后台自动完成部署任务。</w:t>
            </w:r>
          </w:p>
          <w:p w14:paraId="61F9A14B">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5.★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w:t>
            </w:r>
          </w:p>
          <w:p w14:paraId="6A399872">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6.★可禁止使用主板pxe引导方式启动客户端，采用独立编写的preboot启动插件，支持固定IP地址、服务端DHCP提供、外部环境DHCP提供、本地离线启动延续等四种启动方式。</w:t>
            </w:r>
          </w:p>
          <w:p w14:paraId="05112EE9">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7.★镜像系统更新后，终端重启后直接进入桌面，具有P2P部署终端系统的功能，在下发镜像数据过程中，可以在服务端随时设定停止离线或继续离线，并具有断线续传的功能，从而保证用户使用体验。</w:t>
            </w:r>
          </w:p>
          <w:p w14:paraId="0C510932">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8.系统具有远程控制功能，能够对终端进行远程开关机和重启操作。并能自定义远程控制命令。</w:t>
            </w:r>
          </w:p>
          <w:p w14:paraId="3DB844F2">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9.为便于机房管理，对终端可以设置多菜单条目启动，具备终端菜单条目隐藏功能，隐藏的菜单在终端启动时不显示。</w:t>
            </w:r>
          </w:p>
          <w:p w14:paraId="4062664A">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10.终端开机后可以提供多种桌面应用环境给用户选择，也可以由管理员在服务端指定桌面环境给特定的终端； </w:t>
            </w:r>
          </w:p>
          <w:p w14:paraId="21EC19AC">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11.支持将服务端系统镜像设置为离线使用，最多天数可设定为180天，当每次离线启动时，终端开机画面提示用户剩余启动天数。在客户端程序信息界面也可看到用户剩余启动天数。</w:t>
            </w:r>
          </w:p>
          <w:p w14:paraId="1D4FC10F">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rPr>
              <w:t>12.方案支持无限制条件的增量传输功能，无论环境如何变化（还原/不还原模式相互切换），不影响后续环境增量传输，并能在服务端与终端共同体现出来本次是否为增量传输。</w:t>
            </w:r>
          </w:p>
          <w:p w14:paraId="5F7D862C">
            <w:pPr>
              <w:pStyle w:val="style179"/>
              <w:numPr>
                <w:ilvl w:val="0"/>
                <w:numId w:val="0"/>
              </w:numPr>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13.为保证系统兼容性和稳定性，要求管理</w:t>
            </w:r>
            <w:r>
              <w:rPr>
                <w:rFonts w:ascii="宋体" w:cs="宋体" w:eastAsia="宋体" w:hAnsi="宋体" w:hint="eastAsia"/>
                <w:sz w:val="24"/>
                <w:szCs w:val="24"/>
                <w:highlight w:val="none"/>
                <w:lang w:val="en-US" w:eastAsia="zh-CN"/>
              </w:rPr>
              <w:t>和设计</w:t>
            </w:r>
            <w:r>
              <w:rPr>
                <w:rFonts w:ascii="宋体" w:cs="宋体" w:eastAsia="宋体" w:hAnsi="宋体" w:hint="eastAsia"/>
                <w:sz w:val="24"/>
                <w:szCs w:val="24"/>
                <w:highlight w:val="none"/>
              </w:rPr>
              <w:t>软件</w:t>
            </w:r>
            <w:r>
              <w:rPr>
                <w:rFonts w:ascii="宋体" w:cs="宋体" w:eastAsia="宋体" w:hAnsi="宋体" w:hint="eastAsia"/>
                <w:sz w:val="24"/>
                <w:szCs w:val="24"/>
                <w:highlight w:val="none"/>
                <w:lang w:val="en-US" w:eastAsia="zh-CN"/>
              </w:rPr>
              <w:t>需要能兼容主流设备（并提供承诺函）</w:t>
            </w:r>
            <w:r>
              <w:rPr>
                <w:rFonts w:ascii="宋体" w:cs="宋体" w:eastAsia="宋体" w:hAnsi="宋体" w:hint="eastAsia"/>
                <w:sz w:val="24"/>
                <w:szCs w:val="24"/>
                <w:highlight w:val="none"/>
              </w:rPr>
              <w:t>；</w:t>
            </w:r>
          </w:p>
        </w:tc>
        <w:tc>
          <w:tcPr>
            <w:tcW w:w="1200" w:type="dxa"/>
            <w:tcBorders/>
            <w:vAlign w:val="center"/>
          </w:tcPr>
          <w:p w14:paraId="0812BD42">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是</w:t>
            </w:r>
          </w:p>
        </w:tc>
      </w:tr>
      <w:tr w14:paraId="0104543A">
        <w:tblPrEx/>
        <w:trPr>
          <w:trHeight w:val="463" w:hRule="atLeast"/>
        </w:trPr>
        <w:tc>
          <w:tcPr>
            <w:tcW w:w="735" w:type="dxa"/>
            <w:tcBorders/>
            <w:vAlign w:val="center"/>
          </w:tcPr>
          <w:p w14:paraId="442BFB3E">
            <w:pPr>
              <w:pStyle w:val="style0"/>
              <w:snapToGrid w:val="false"/>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3</w:t>
            </w:r>
          </w:p>
        </w:tc>
        <w:tc>
          <w:tcPr>
            <w:tcW w:w="1284" w:type="dxa"/>
            <w:tcBorders/>
            <w:vAlign w:val="center"/>
          </w:tcPr>
          <w:p w14:paraId="6121EC23">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系统网线线路</w:t>
            </w:r>
          </w:p>
        </w:tc>
        <w:tc>
          <w:tcPr>
            <w:tcW w:w="708" w:type="dxa"/>
            <w:tcBorders/>
            <w:vAlign w:val="center"/>
          </w:tcPr>
          <w:p w14:paraId="024EC87E">
            <w:pPr>
              <w:pStyle w:val="style0"/>
              <w:widowControl/>
              <w:snapToGrid w:val="false"/>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套</w:t>
            </w:r>
          </w:p>
        </w:tc>
        <w:tc>
          <w:tcPr>
            <w:tcW w:w="720" w:type="dxa"/>
            <w:tcBorders/>
            <w:vAlign w:val="center"/>
          </w:tcPr>
          <w:p w14:paraId="3BB68340">
            <w:pPr>
              <w:pStyle w:val="style0"/>
              <w:widowControl/>
              <w:snapToGrid w:val="false"/>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60</w:t>
            </w:r>
          </w:p>
        </w:tc>
        <w:tc>
          <w:tcPr>
            <w:tcW w:w="5400" w:type="dxa"/>
            <w:tcBorders/>
          </w:tcPr>
          <w:p w14:paraId="049681E1">
            <w:pPr>
              <w:pStyle w:val="style0"/>
              <w:widowControl/>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1 .</w:t>
            </w:r>
            <w:r>
              <w:rPr>
                <w:rFonts w:ascii="宋体" w:cs="宋体" w:eastAsia="宋体" w:hAnsi="宋体" w:hint="eastAsia"/>
                <w:sz w:val="24"/>
                <w:szCs w:val="24"/>
                <w:highlight w:val="none"/>
              </w:rPr>
              <w:t>★60套电脑重新敷设新线路并正常使用（</w:t>
            </w:r>
            <w:r>
              <w:rPr>
                <w:rFonts w:ascii="宋体" w:cs="宋体" w:eastAsia="宋体" w:hAnsi="宋体" w:hint="eastAsia"/>
                <w:sz w:val="24"/>
                <w:szCs w:val="24"/>
                <w:highlight w:val="none"/>
                <w:lang w:val="en-US" w:eastAsia="zh-CN"/>
              </w:rPr>
              <w:t>含10平方主电源线及6平方</w:t>
            </w:r>
            <w:r>
              <w:rPr>
                <w:rFonts w:ascii="宋体" w:cs="宋体" w:eastAsia="宋体" w:hAnsi="宋体" w:hint="eastAsia"/>
                <w:sz w:val="24"/>
                <w:szCs w:val="24"/>
                <w:highlight w:val="none"/>
              </w:rPr>
              <w:t>国标电源线、</w:t>
            </w:r>
            <w:r>
              <w:rPr>
                <w:rFonts w:ascii="宋体" w:cs="宋体" w:eastAsia="宋体" w:hAnsi="宋体" w:hint="eastAsia"/>
                <w:sz w:val="24"/>
                <w:szCs w:val="24"/>
                <w:highlight w:val="none"/>
                <w:lang w:val="en-US" w:eastAsia="zh-CN"/>
              </w:rPr>
              <w:t>超</w:t>
            </w:r>
            <w:r>
              <w:rPr>
                <w:rFonts w:ascii="宋体" w:cs="宋体" w:eastAsia="宋体" w:hAnsi="宋体" w:hint="eastAsia"/>
                <w:sz w:val="24"/>
                <w:szCs w:val="24"/>
                <w:highlight w:val="none"/>
              </w:rPr>
              <w:t>六类</w:t>
            </w:r>
            <w:r>
              <w:rPr>
                <w:rFonts w:ascii="宋体" w:cs="宋体" w:eastAsia="宋体" w:hAnsi="宋体" w:hint="eastAsia"/>
                <w:sz w:val="24"/>
                <w:szCs w:val="24"/>
                <w:highlight w:val="none"/>
                <w:lang w:val="en-US" w:eastAsia="zh-CN"/>
              </w:rPr>
              <w:t>屏蔽</w:t>
            </w:r>
            <w:r>
              <w:rPr>
                <w:rFonts w:ascii="宋体" w:cs="宋体" w:eastAsia="宋体" w:hAnsi="宋体" w:hint="eastAsia"/>
                <w:sz w:val="24"/>
                <w:szCs w:val="24"/>
                <w:highlight w:val="none"/>
              </w:rPr>
              <w:t>国标网线、插座、线槽等）。</w:t>
            </w:r>
          </w:p>
          <w:p w14:paraId="7853320E">
            <w:pPr>
              <w:pStyle w:val="style179"/>
              <w:spacing w:lineRule="auto" w:line="360"/>
              <w:ind w:left="0" w:leftChars="0" w:firstLine="0" w:firstLineChars="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2 .</w:t>
            </w:r>
            <w:r>
              <w:rPr>
                <w:rFonts w:ascii="宋体" w:cs="宋体" w:eastAsia="宋体" w:hAnsi="宋体" w:hint="eastAsia"/>
                <w:sz w:val="24"/>
                <w:szCs w:val="24"/>
                <w:highlight w:val="none"/>
              </w:rPr>
              <w:t>包含但不限于本项目所涉及的旧设备拆除及新线路改造所需的线材、管材、辅材</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lang w:val="en-US" w:eastAsia="zh-CN"/>
              </w:rPr>
              <w:t>环境整洁清运</w:t>
            </w:r>
            <w:r>
              <w:rPr>
                <w:rFonts w:ascii="宋体" w:cs="宋体" w:eastAsia="宋体" w:hAnsi="宋体" w:hint="eastAsia"/>
                <w:sz w:val="24"/>
                <w:szCs w:val="24"/>
                <w:highlight w:val="none"/>
              </w:rPr>
              <w:t>等</w:t>
            </w:r>
            <w:r>
              <w:rPr>
                <w:rFonts w:ascii="宋体" w:cs="宋体" w:eastAsia="宋体" w:hAnsi="宋体" w:hint="eastAsia"/>
                <w:sz w:val="24"/>
                <w:szCs w:val="24"/>
                <w:highlight w:val="none"/>
                <w:lang w:eastAsia="zh-CN"/>
              </w:rPr>
              <w:t>其他</w:t>
            </w:r>
            <w:r>
              <w:rPr>
                <w:rFonts w:ascii="宋体" w:cs="宋体" w:eastAsia="宋体" w:hAnsi="宋体" w:hint="eastAsia"/>
                <w:sz w:val="24"/>
                <w:szCs w:val="24"/>
                <w:highlight w:val="none"/>
              </w:rPr>
              <w:t>相关费用</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教室内所有电脑桌中间连接、桌椅加固</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lang w:val="en-US" w:eastAsia="zh-CN"/>
              </w:rPr>
              <w:t>键盘托</w:t>
            </w:r>
            <w:r>
              <w:rPr>
                <w:rFonts w:ascii="宋体" w:cs="宋体" w:eastAsia="宋体" w:hAnsi="宋体" w:hint="eastAsia"/>
                <w:sz w:val="24"/>
                <w:szCs w:val="24"/>
                <w:highlight w:val="none"/>
              </w:rPr>
              <w:t>处理</w:t>
            </w:r>
            <w:r>
              <w:rPr>
                <w:rFonts w:ascii="宋体" w:cs="宋体" w:eastAsia="宋体" w:hAnsi="宋体" w:hint="eastAsia"/>
                <w:sz w:val="24"/>
                <w:szCs w:val="24"/>
                <w:highlight w:val="none"/>
                <w:lang w:val="en-US" w:eastAsia="zh-CN"/>
              </w:rPr>
              <w:t>等</w:t>
            </w:r>
            <w:r>
              <w:rPr>
                <w:rFonts w:ascii="宋体" w:cs="宋体" w:eastAsia="宋体" w:hAnsi="宋体" w:hint="eastAsia"/>
                <w:sz w:val="24"/>
                <w:szCs w:val="24"/>
                <w:highlight w:val="none"/>
              </w:rPr>
              <w:t>。</w:t>
            </w:r>
          </w:p>
        </w:tc>
        <w:tc>
          <w:tcPr>
            <w:tcW w:w="1200" w:type="dxa"/>
            <w:tcBorders/>
            <w:vAlign w:val="center"/>
          </w:tcPr>
          <w:p w14:paraId="263D702B">
            <w:pPr>
              <w:pStyle w:val="style0"/>
              <w:widowControl/>
              <w:snapToGrid w:val="false"/>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是</w:t>
            </w:r>
          </w:p>
        </w:tc>
      </w:tr>
    </w:tbl>
    <w:p w14:paraId="436A6252">
      <w:pPr>
        <w:pStyle w:val="style0"/>
        <w:spacing w:lineRule="auto" w:line="360"/>
        <w:rPr>
          <w:rFonts w:ascii="宋体" w:cs="Times New Roman"/>
          <w:sz w:val="24"/>
        </w:rPr>
      </w:pPr>
    </w:p>
    <w:p w14:paraId="630E5CA6">
      <w:pPr>
        <w:pStyle w:val="style0"/>
        <w:widowControl/>
        <w:shd w:val="clear" w:color="auto" w:fill="ffffff"/>
        <w:spacing w:lineRule="auto" w:line="360"/>
        <w:ind w:firstLine="562" w:firstLineChars="200"/>
        <w:rPr>
          <w:rFonts w:ascii="黑体" w:cs="黑体" w:eastAsia="黑体" w:hAnsi="黑体" w:hint="eastAsia"/>
          <w:b/>
          <w:bCs/>
          <w:color w:val="333333"/>
          <w:kern w:val="0"/>
          <w:sz w:val="28"/>
          <w:szCs w:val="28"/>
        </w:rPr>
      </w:pPr>
      <w:r>
        <w:rPr>
          <w:rFonts w:ascii="黑体" w:cs="黑体" w:eastAsia="黑体" w:hAnsi="黑体" w:hint="eastAsia"/>
          <w:b/>
          <w:bCs/>
          <w:color w:val="333333"/>
          <w:kern w:val="0"/>
          <w:sz w:val="28"/>
          <w:szCs w:val="28"/>
        </w:rPr>
        <w:t>三、技术要求</w:t>
      </w:r>
    </w:p>
    <w:tbl>
      <w:tblPr>
        <w:tblStyle w:val="style105"/>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758"/>
        <w:gridCol w:w="1786"/>
        <w:gridCol w:w="1356"/>
        <w:gridCol w:w="1155"/>
        <w:gridCol w:w="4529"/>
      </w:tblGrid>
      <w:tr w14:paraId="6F41359C">
        <w:trPr>
          <w:trHeight w:val="451" w:hRule="atLeast"/>
          <w:jc w:val="center"/>
        </w:trPr>
        <w:tc>
          <w:tcPr>
            <w:tcW w:w="758" w:type="dxa"/>
            <w:tcBorders/>
            <w:shd w:val="clear" w:color="auto" w:fill="auto"/>
            <w:vAlign w:val="center"/>
          </w:tcPr>
          <w:p w14:paraId="316F9F8B">
            <w:pPr>
              <w:pStyle w:val="style0"/>
              <w:spacing w:lineRule="auto" w:line="360"/>
              <w:jc w:val="center"/>
              <w:rPr>
                <w:rFonts w:ascii="宋体" w:cs="宋体" w:eastAsia="宋体" w:hAnsi="宋体" w:hint="eastAsia"/>
                <w:b/>
                <w:bCs/>
                <w:sz w:val="24"/>
                <w:szCs w:val="24"/>
                <w:highlight w:val="none"/>
              </w:rPr>
            </w:pPr>
            <w:r>
              <w:rPr>
                <w:rFonts w:ascii="宋体" w:cs="宋体" w:eastAsia="宋体" w:hAnsi="宋体" w:hint="eastAsia"/>
                <w:b/>
                <w:bCs/>
                <w:sz w:val="24"/>
                <w:szCs w:val="24"/>
                <w:highlight w:val="none"/>
              </w:rPr>
              <w:t>序号</w:t>
            </w:r>
          </w:p>
        </w:tc>
        <w:tc>
          <w:tcPr>
            <w:tcW w:w="1786" w:type="dxa"/>
            <w:tcBorders/>
            <w:shd w:val="clear" w:color="auto" w:fill="auto"/>
            <w:vAlign w:val="center"/>
          </w:tcPr>
          <w:p w14:paraId="75D515B3">
            <w:pPr>
              <w:pStyle w:val="style0"/>
              <w:widowControl/>
              <w:spacing w:lineRule="auto" w:line="360"/>
              <w:jc w:val="center"/>
              <w:rPr>
                <w:rFonts w:ascii="宋体" w:cs="宋体" w:eastAsia="宋体" w:hAnsi="宋体" w:hint="eastAsia"/>
                <w:b/>
                <w:bCs/>
                <w:sz w:val="24"/>
                <w:szCs w:val="24"/>
                <w:highlight w:val="none"/>
              </w:rPr>
            </w:pPr>
            <w:r>
              <w:rPr>
                <w:rFonts w:ascii="宋体" w:cs="宋体" w:eastAsia="宋体" w:hAnsi="宋体" w:hint="eastAsia"/>
                <w:b/>
                <w:bCs/>
                <w:sz w:val="24"/>
                <w:szCs w:val="24"/>
                <w:highlight w:val="none"/>
              </w:rPr>
              <w:t>指标类别</w:t>
            </w:r>
          </w:p>
        </w:tc>
        <w:tc>
          <w:tcPr>
            <w:tcW w:w="1356" w:type="dxa"/>
            <w:tcBorders/>
            <w:shd w:val="clear" w:color="auto" w:fill="auto"/>
            <w:vAlign w:val="center"/>
          </w:tcPr>
          <w:p w14:paraId="7E86D890">
            <w:pPr>
              <w:pStyle w:val="style0"/>
              <w:widowControl/>
              <w:spacing w:lineRule="auto" w:line="360"/>
              <w:jc w:val="center"/>
              <w:rPr>
                <w:rFonts w:ascii="宋体" w:cs="宋体" w:eastAsia="宋体" w:hAnsi="宋体" w:hint="eastAsia"/>
                <w:b/>
                <w:bCs/>
                <w:sz w:val="24"/>
                <w:szCs w:val="24"/>
                <w:highlight w:val="none"/>
              </w:rPr>
            </w:pPr>
            <w:r>
              <w:rPr>
                <w:rFonts w:ascii="宋体" w:cs="宋体" w:eastAsia="宋体" w:hAnsi="宋体" w:hint="eastAsia"/>
                <w:b/>
                <w:bCs/>
                <w:sz w:val="24"/>
                <w:szCs w:val="24"/>
                <w:highlight w:val="none"/>
              </w:rPr>
              <w:t>指标项</w:t>
            </w:r>
          </w:p>
        </w:tc>
        <w:tc>
          <w:tcPr>
            <w:tcW w:w="1155" w:type="dxa"/>
            <w:tcBorders/>
            <w:shd w:val="clear" w:color="auto" w:fill="auto"/>
            <w:vAlign w:val="center"/>
          </w:tcPr>
          <w:p w14:paraId="3938C04D">
            <w:pPr>
              <w:pStyle w:val="style0"/>
              <w:widowControl/>
              <w:spacing w:lineRule="auto" w:line="360"/>
              <w:jc w:val="center"/>
              <w:rPr>
                <w:rFonts w:ascii="宋体" w:cs="宋体" w:eastAsia="宋体" w:hAnsi="宋体" w:hint="eastAsia"/>
                <w:b/>
                <w:bCs/>
                <w:sz w:val="24"/>
                <w:szCs w:val="24"/>
                <w:highlight w:val="none"/>
              </w:rPr>
            </w:pPr>
            <w:r>
              <w:rPr>
                <w:rFonts w:ascii="宋体" w:cs="宋体" w:eastAsia="宋体" w:hAnsi="宋体" w:hint="eastAsia"/>
                <w:b/>
                <w:bCs/>
                <w:sz w:val="24"/>
                <w:szCs w:val="24"/>
                <w:highlight w:val="none"/>
              </w:rPr>
              <w:t>重要性</w:t>
            </w:r>
          </w:p>
        </w:tc>
        <w:tc>
          <w:tcPr>
            <w:tcW w:w="4529" w:type="dxa"/>
            <w:tcBorders/>
            <w:shd w:val="clear" w:color="auto" w:fill="auto"/>
            <w:vAlign w:val="center"/>
          </w:tcPr>
          <w:p w14:paraId="1BAA4E45">
            <w:pPr>
              <w:pStyle w:val="style0"/>
              <w:widowControl/>
              <w:spacing w:lineRule="auto" w:line="360"/>
              <w:jc w:val="center"/>
              <w:rPr>
                <w:rFonts w:ascii="宋体" w:cs="宋体" w:eastAsia="宋体" w:hAnsi="宋体" w:hint="eastAsia"/>
                <w:b/>
                <w:bCs/>
                <w:sz w:val="24"/>
                <w:szCs w:val="24"/>
                <w:highlight w:val="none"/>
              </w:rPr>
            </w:pPr>
            <w:r>
              <w:rPr>
                <w:rFonts w:ascii="宋体" w:cs="宋体" w:eastAsia="宋体" w:hAnsi="宋体" w:hint="eastAsia"/>
                <w:b/>
                <w:bCs/>
                <w:sz w:val="24"/>
                <w:szCs w:val="24"/>
                <w:highlight w:val="none"/>
              </w:rPr>
              <w:t>指标要求</w:t>
            </w:r>
          </w:p>
        </w:tc>
      </w:tr>
      <w:tr w14:paraId="45EA536F">
        <w:tblPrEx/>
        <w:trPr>
          <w:trHeight w:val="451" w:hRule="atLeast"/>
          <w:jc w:val="center"/>
        </w:trPr>
        <w:tc>
          <w:tcPr>
            <w:tcW w:w="758" w:type="dxa"/>
            <w:tcBorders/>
            <w:shd w:val="clear" w:color="auto" w:fill="auto"/>
            <w:vAlign w:val="center"/>
          </w:tcPr>
          <w:p w14:paraId="49831394">
            <w:pPr>
              <w:pStyle w:val="style0"/>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rPr>
              <w:t>1</w:t>
            </w:r>
          </w:p>
        </w:tc>
        <w:tc>
          <w:tcPr>
            <w:tcW w:w="1786" w:type="dxa"/>
            <w:tcBorders/>
            <w:shd w:val="clear" w:color="auto" w:fill="auto"/>
            <w:vAlign w:val="center"/>
          </w:tcPr>
          <w:p w14:paraId="17F5DA26">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产品规格</w:t>
            </w:r>
          </w:p>
        </w:tc>
        <w:tc>
          <w:tcPr>
            <w:tcW w:w="1356" w:type="dxa"/>
            <w:tcBorders/>
            <w:shd w:val="clear" w:color="auto" w:fill="auto"/>
            <w:vAlign w:val="center"/>
          </w:tcPr>
          <w:p w14:paraId="5CE13F7C">
            <w:pPr>
              <w:pStyle w:val="style0"/>
              <w:widowControl/>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主板</w:t>
            </w:r>
          </w:p>
        </w:tc>
        <w:tc>
          <w:tcPr>
            <w:tcW w:w="1155" w:type="dxa"/>
            <w:tcBorders/>
            <w:shd w:val="clear" w:color="auto" w:fill="auto"/>
            <w:vAlign w:val="center"/>
          </w:tcPr>
          <w:p w14:paraId="7D0DE53D">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2FEF8F07">
            <w:pPr>
              <w:pStyle w:val="style0"/>
              <w:widowControl/>
              <w:spacing w:lineRule="auto" w:line="360"/>
              <w:jc w:val="both"/>
              <w:rPr>
                <w:rFonts w:ascii="宋体" w:cs="宋体" w:eastAsia="宋体" w:hAnsi="宋体" w:hint="eastAsia"/>
                <w:color w:val="auto"/>
                <w:sz w:val="24"/>
                <w:szCs w:val="24"/>
                <w:highlight w:val="none"/>
              </w:rPr>
            </w:pPr>
            <w:r>
              <w:rPr>
                <w:rFonts w:ascii="宋体" w:cs="宋体" w:eastAsia="宋体" w:hAnsi="宋体" w:hint="eastAsia"/>
                <w:color w:val="auto"/>
                <w:kern w:val="2"/>
                <w:sz w:val="24"/>
                <w:szCs w:val="24"/>
                <w:highlight w:val="none"/>
                <w:lang w:val="en-US" w:bidi="ar-SA" w:eastAsia="zh-CN"/>
              </w:rPr>
              <w:t>支持Intel LGA 1700或AMD AM5处理器接口</w:t>
            </w:r>
            <w:r>
              <w:rPr>
                <w:rFonts w:ascii="宋体" w:cs="宋体" w:hAnsi="宋体" w:hint="eastAsia"/>
                <w:color w:val="auto"/>
                <w:kern w:val="2"/>
                <w:sz w:val="24"/>
                <w:szCs w:val="24"/>
                <w:highlight w:val="none"/>
                <w:lang w:val="en-US" w:bidi="ar-SA" w:eastAsia="zh-CN"/>
              </w:rPr>
              <w:t>，</w:t>
            </w:r>
            <w:r>
              <w:rPr>
                <w:rFonts w:ascii="宋体" w:cs="宋体" w:eastAsia="宋体" w:hAnsi="宋体" w:hint="default"/>
                <w:b w:val="false"/>
                <w:bCs w:val="false"/>
                <w:i w:val="false"/>
                <w:iCs w:val="false"/>
                <w:color w:val="c00000"/>
                <w:sz w:val="24"/>
                <w:szCs w:val="24"/>
                <w:highlight w:val="none"/>
                <w:vertAlign w:val="baseline"/>
                <w:em w:val="none"/>
                <w:lang w:val="en-US" w:bidi="ar-SA" w:eastAsia="en-US"/>
              </w:rPr>
              <w:t>芯片组需提供DMI通道数≥4，PCI-E通道数≥14</w:t>
            </w:r>
            <w:r>
              <w:rPr>
                <w:rFonts w:ascii="宋体" w:cs="宋体" w:hAnsi="宋体" w:hint="eastAsia"/>
                <w:b w:val="false"/>
                <w:bCs w:val="false"/>
                <w:i w:val="false"/>
                <w:iCs w:val="false"/>
                <w:color w:val="c00000"/>
                <w:sz w:val="24"/>
                <w:szCs w:val="24"/>
                <w:highlight w:val="none"/>
                <w:vertAlign w:val="baseline"/>
                <w:em w:val="none"/>
                <w:lang w:val="en-US" w:bidi="ar-SA" w:eastAsia="zh-CN"/>
              </w:rPr>
              <w:t>，</w:t>
            </w:r>
            <w:r>
              <w:rPr>
                <w:rFonts w:ascii="宋体" w:cs="宋体" w:eastAsia="宋体" w:hAnsi="宋体" w:hint="default"/>
                <w:b w:val="false"/>
                <w:bCs w:val="false"/>
                <w:i w:val="false"/>
                <w:iCs w:val="false"/>
                <w:color w:val="auto"/>
                <w:sz w:val="24"/>
                <w:szCs w:val="24"/>
                <w:highlight w:val="none"/>
                <w:vertAlign w:val="baseline"/>
                <w:em w:val="none"/>
                <w:lang w:val="en-US" w:bidi="ar-SA" w:eastAsia="en-US"/>
              </w:rPr>
              <w:t>全固态电容</w:t>
            </w:r>
          </w:p>
        </w:tc>
      </w:tr>
      <w:tr w14:paraId="7D681C33">
        <w:tblPrEx/>
        <w:trPr>
          <w:trHeight w:val="451" w:hRule="atLeast"/>
          <w:jc w:val="center"/>
        </w:trPr>
        <w:tc>
          <w:tcPr>
            <w:tcW w:w="758" w:type="dxa"/>
            <w:tcBorders/>
            <w:shd w:val="clear" w:color="auto" w:fill="auto"/>
            <w:vAlign w:val="center"/>
          </w:tcPr>
          <w:p w14:paraId="1544E37A">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w:t>
            </w:r>
          </w:p>
        </w:tc>
        <w:tc>
          <w:tcPr>
            <w:tcW w:w="1786" w:type="dxa"/>
            <w:tcBorders/>
            <w:shd w:val="clear" w:color="auto" w:fill="auto"/>
            <w:vAlign w:val="center"/>
          </w:tcPr>
          <w:p w14:paraId="1EABB532">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产品规格</w:t>
            </w:r>
          </w:p>
        </w:tc>
        <w:tc>
          <w:tcPr>
            <w:tcW w:w="1356" w:type="dxa"/>
            <w:tcBorders/>
            <w:shd w:val="clear" w:color="auto" w:fill="auto"/>
            <w:vAlign w:val="center"/>
          </w:tcPr>
          <w:p w14:paraId="558F5F10">
            <w:pPr>
              <w:pStyle w:val="style0"/>
              <w:widowControl/>
              <w:spacing w:lineRule="auto" w:line="360"/>
              <w:jc w:val="center"/>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处理器</w:t>
            </w:r>
          </w:p>
        </w:tc>
        <w:tc>
          <w:tcPr>
            <w:tcW w:w="1155" w:type="dxa"/>
            <w:tcBorders/>
            <w:shd w:val="clear" w:color="auto" w:fill="auto"/>
            <w:vAlign w:val="center"/>
          </w:tcPr>
          <w:p w14:paraId="47348198">
            <w:pPr>
              <w:pStyle w:val="style0"/>
              <w:widowControl/>
              <w:spacing w:lineRule="auto" w:line="360"/>
              <w:jc w:val="center"/>
              <w:rPr>
                <w:rFonts w:ascii="宋体" w:cs="宋体" w:eastAsia="宋体" w:hAnsi="宋体" w:hint="eastAsia"/>
                <w:snapToGrid w:val="false"/>
                <w:color w:val="auto"/>
                <w:kern w:val="0"/>
                <w:sz w:val="24"/>
                <w:szCs w:val="24"/>
                <w:highlight w:val="none"/>
                <w:lang w:val="zh-CN"/>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0BDD9BAA">
            <w:pPr>
              <w:pStyle w:val="style179"/>
              <w:numPr>
                <w:ilvl w:val="0"/>
                <w:numId w:val="0"/>
              </w:numPr>
              <w:spacing w:lineRule="auto" w:line="360"/>
              <w:ind w:leftChars="0"/>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≥14代酷睿i7级别处理器（或性能相当的AMD Ryzen 9 7900X及以上处理器）</w:t>
            </w:r>
          </w:p>
          <w:p w14:paraId="BB7CE39C">
            <w:pPr>
              <w:pStyle w:val="style179"/>
              <w:numPr>
                <w:ilvl w:val="0"/>
                <w:numId w:val="0"/>
              </w:numPr>
              <w:spacing w:lineRule="auto" w:line="360"/>
              <w:ind w:leftChars="0"/>
              <w:rPr>
                <w:rFonts w:ascii="宋体" w:cs="宋体" w:eastAsia="宋体" w:hAnsi="宋体" w:hint="eastAsia"/>
                <w:color w:val="auto"/>
                <w:kern w:val="2"/>
                <w:sz w:val="24"/>
                <w:szCs w:val="24"/>
                <w:highlight w:val="none"/>
                <w:lang w:val="en-US" w:bidi="ar-SA" w:eastAsia="zh-CN"/>
              </w:rPr>
            </w:pPr>
            <w:r>
              <w:rPr>
                <w:rFonts w:ascii="宋体" w:cs="宋体" w:eastAsia="宋体" w:hAnsi="宋体" w:hint="default"/>
                <w:b w:val="false"/>
                <w:bCs w:val="false"/>
                <w:i w:val="false"/>
                <w:iCs w:val="false"/>
                <w:color w:val="c00000"/>
                <w:sz w:val="24"/>
                <w:szCs w:val="24"/>
                <w:highlight w:val="none"/>
                <w:vertAlign w:val="baseline"/>
                <w:em w:val="none"/>
                <w:lang w:val="en-US" w:bidi="ar-SA" w:eastAsia="en-US"/>
              </w:rPr>
              <w:t>基础频率≥2.1GHz，</w:t>
            </w:r>
            <w:r>
              <w:rPr>
                <w:rFonts w:ascii="宋体" w:cs="宋体" w:eastAsia="宋体" w:hAnsi="宋体" w:hint="default"/>
                <w:b w:val="false"/>
                <w:bCs w:val="false"/>
                <w:i w:val="false"/>
                <w:iCs w:val="false"/>
                <w:color w:val="000000"/>
                <w:sz w:val="24"/>
                <w:szCs w:val="24"/>
                <w:highlight w:val="none"/>
                <w:vertAlign w:val="baseline"/>
                <w:em w:val="none"/>
                <w:lang w:val="en-US" w:bidi="ar-SA" w:eastAsia="en-US"/>
              </w:rPr>
              <w:t>最大睿频≥5.4GHz，三级缓存≥33MB，二级缓存≥28MB，核心数量≥20核心，线程数≥28线程。</w:t>
            </w:r>
          </w:p>
        </w:tc>
      </w:tr>
      <w:tr w14:paraId="7DC36D72">
        <w:tblPrEx/>
        <w:trPr>
          <w:trHeight w:val="451" w:hRule="atLeast"/>
          <w:jc w:val="center"/>
        </w:trPr>
        <w:tc>
          <w:tcPr>
            <w:tcW w:w="758" w:type="dxa"/>
            <w:tcBorders/>
            <w:shd w:val="clear" w:color="auto" w:fill="auto"/>
            <w:vAlign w:val="center"/>
          </w:tcPr>
          <w:p w14:paraId="6D0063E1">
            <w:pPr>
              <w:pStyle w:val="style0"/>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3</w:t>
            </w:r>
          </w:p>
        </w:tc>
        <w:tc>
          <w:tcPr>
            <w:tcW w:w="1786" w:type="dxa"/>
            <w:tcBorders/>
            <w:shd w:val="clear" w:color="auto" w:fill="auto"/>
            <w:vAlign w:val="center"/>
          </w:tcPr>
          <w:p w14:paraId="2293D73E">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产品规格</w:t>
            </w:r>
          </w:p>
        </w:tc>
        <w:tc>
          <w:tcPr>
            <w:tcW w:w="1356" w:type="dxa"/>
            <w:tcBorders/>
            <w:shd w:val="clear" w:color="auto" w:fill="auto"/>
            <w:vAlign w:val="center"/>
          </w:tcPr>
          <w:p w14:paraId="67B9E835">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内存</w:t>
            </w:r>
          </w:p>
        </w:tc>
        <w:tc>
          <w:tcPr>
            <w:tcW w:w="1155" w:type="dxa"/>
            <w:tcBorders/>
            <w:shd w:val="clear" w:color="auto" w:fill="auto"/>
            <w:vAlign w:val="center"/>
          </w:tcPr>
          <w:p w14:paraId="4D34BAD0">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5C75C35A">
            <w:pPr>
              <w:pStyle w:val="style0"/>
              <w:widowControl/>
              <w:spacing w:lineRule="auto" w:line="360"/>
              <w:jc w:val="both"/>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 xml:space="preserve">≥64G DDR5-5600MHz  4根内存插槽，支持XMP超频最大支持128GB内存 </w:t>
            </w:r>
          </w:p>
        </w:tc>
      </w:tr>
      <w:tr w14:paraId="65F7414E">
        <w:tblPrEx/>
        <w:trPr>
          <w:trHeight w:val="451" w:hRule="atLeast"/>
          <w:jc w:val="center"/>
        </w:trPr>
        <w:tc>
          <w:tcPr>
            <w:tcW w:w="758" w:type="dxa"/>
            <w:tcBorders/>
            <w:shd w:val="clear" w:color="auto" w:fill="auto"/>
            <w:vAlign w:val="center"/>
          </w:tcPr>
          <w:p w14:paraId="245CF5D1">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4</w:t>
            </w:r>
          </w:p>
        </w:tc>
        <w:tc>
          <w:tcPr>
            <w:tcW w:w="1786" w:type="dxa"/>
            <w:tcBorders/>
            <w:shd w:val="clear" w:color="auto" w:fill="auto"/>
            <w:vAlign w:val="center"/>
          </w:tcPr>
          <w:p w14:paraId="54FF70FE">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产品规格</w:t>
            </w:r>
          </w:p>
        </w:tc>
        <w:tc>
          <w:tcPr>
            <w:tcW w:w="1356" w:type="dxa"/>
            <w:tcBorders/>
            <w:shd w:val="clear" w:color="auto" w:fill="auto"/>
            <w:vAlign w:val="center"/>
          </w:tcPr>
          <w:p w14:paraId="5C9D84A8">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硬盘</w:t>
            </w:r>
          </w:p>
        </w:tc>
        <w:tc>
          <w:tcPr>
            <w:tcW w:w="1155" w:type="dxa"/>
            <w:tcBorders/>
            <w:shd w:val="clear" w:color="auto" w:fill="auto"/>
            <w:vAlign w:val="center"/>
          </w:tcPr>
          <w:p w14:paraId="62499D41">
            <w:pPr>
              <w:pStyle w:val="style0"/>
              <w:widowControl/>
              <w:spacing w:lineRule="auto" w:line="360"/>
              <w:jc w:val="center"/>
              <w:rPr>
                <w:rFonts w:ascii="宋体" w:cs="宋体" w:eastAsia="宋体" w:hAnsi="宋体" w:hint="eastAsia"/>
                <w:snapToGrid w:val="false"/>
                <w:color w:val="auto"/>
                <w:kern w:val="0"/>
                <w:sz w:val="24"/>
                <w:szCs w:val="24"/>
                <w:highlight w:val="none"/>
                <w:lang w:val="zh-CN"/>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1EF959B0">
            <w:pPr>
              <w:pStyle w:val="style179"/>
              <w:numPr>
                <w:ilvl w:val="0"/>
                <w:numId w:val="0"/>
              </w:numPr>
              <w:spacing w:lineRule="auto" w:line="360"/>
              <w:ind w:leftChars="0"/>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 xml:space="preserve">≥1T M.2 P3X4 SSD高速硬盘 + 2T HDD </w:t>
            </w:r>
          </w:p>
        </w:tc>
      </w:tr>
      <w:tr w14:paraId="18708C6E">
        <w:tblPrEx/>
        <w:trPr>
          <w:trHeight w:val="451" w:hRule="atLeast"/>
          <w:jc w:val="center"/>
        </w:trPr>
        <w:tc>
          <w:tcPr>
            <w:tcW w:w="758" w:type="dxa"/>
            <w:tcBorders/>
            <w:shd w:val="clear" w:color="auto" w:fill="auto"/>
            <w:vAlign w:val="center"/>
          </w:tcPr>
          <w:p w14:paraId="7D0814D0">
            <w:pPr>
              <w:pStyle w:val="style0"/>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5</w:t>
            </w:r>
          </w:p>
        </w:tc>
        <w:tc>
          <w:tcPr>
            <w:tcW w:w="1786" w:type="dxa"/>
            <w:tcBorders/>
            <w:shd w:val="clear" w:color="auto" w:fill="auto"/>
            <w:vAlign w:val="center"/>
          </w:tcPr>
          <w:p w14:paraId="643BBBFF">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产品规格</w:t>
            </w:r>
          </w:p>
        </w:tc>
        <w:tc>
          <w:tcPr>
            <w:tcW w:w="1356" w:type="dxa"/>
            <w:tcBorders/>
            <w:shd w:val="clear" w:color="auto" w:fill="auto"/>
            <w:vAlign w:val="center"/>
          </w:tcPr>
          <w:p w14:paraId="66140EBF">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显卡</w:t>
            </w:r>
          </w:p>
        </w:tc>
        <w:tc>
          <w:tcPr>
            <w:tcW w:w="1155" w:type="dxa"/>
            <w:tcBorders/>
            <w:shd w:val="clear" w:color="auto" w:fill="auto"/>
            <w:vAlign w:val="center"/>
          </w:tcPr>
          <w:p w14:paraId="75730241">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00BD9736">
            <w:pPr>
              <w:pStyle w:val="style0"/>
              <w:widowControl/>
              <w:spacing w:lineRule="auto" w:line="360"/>
              <w:jc w:val="both"/>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 xml:space="preserve">≥Blackwell架构独立显卡，显存≥12GB GDDR7，位宽≥192-bit，FP32算力≥30 TFLOPS，CUDA核心数量≥6144，支持DX12 Ultimate API。 </w:t>
            </w:r>
          </w:p>
        </w:tc>
      </w:tr>
      <w:tr w14:paraId="454C0E47">
        <w:tblPrEx/>
        <w:trPr>
          <w:trHeight w:val="90" w:hRule="atLeast"/>
          <w:jc w:val="center"/>
        </w:trPr>
        <w:tc>
          <w:tcPr>
            <w:tcW w:w="758" w:type="dxa"/>
            <w:tcBorders/>
            <w:shd w:val="clear" w:color="auto" w:fill="auto"/>
            <w:vAlign w:val="center"/>
          </w:tcPr>
          <w:p w14:paraId="16DB9920">
            <w:pPr>
              <w:pStyle w:val="style0"/>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6</w:t>
            </w:r>
          </w:p>
        </w:tc>
        <w:tc>
          <w:tcPr>
            <w:tcW w:w="1786" w:type="dxa"/>
            <w:tcBorders/>
            <w:shd w:val="clear" w:color="auto" w:fill="auto"/>
            <w:vAlign w:val="center"/>
          </w:tcPr>
          <w:p w14:paraId="70D23D9A">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产品规格</w:t>
            </w:r>
          </w:p>
        </w:tc>
        <w:tc>
          <w:tcPr>
            <w:tcW w:w="1356" w:type="dxa"/>
            <w:tcBorders/>
            <w:shd w:val="clear" w:color="auto" w:fill="auto"/>
            <w:vAlign w:val="center"/>
          </w:tcPr>
          <w:p w14:paraId="09CD81DE">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显示器</w:t>
            </w:r>
          </w:p>
        </w:tc>
        <w:tc>
          <w:tcPr>
            <w:tcW w:w="1155" w:type="dxa"/>
            <w:tcBorders/>
            <w:shd w:val="clear" w:color="auto" w:fill="auto"/>
            <w:vAlign w:val="center"/>
          </w:tcPr>
          <w:p w14:paraId="34171440">
            <w:pPr>
              <w:pStyle w:val="style0"/>
              <w:widowControl/>
              <w:spacing w:lineRule="auto" w:line="360"/>
              <w:jc w:val="center"/>
              <w:rPr>
                <w:rFonts w:ascii="宋体" w:cs="宋体" w:eastAsia="宋体" w:hAnsi="宋体" w:hint="eastAsia"/>
                <w:snapToGrid w:val="false"/>
                <w:color w:val="auto"/>
                <w:kern w:val="0"/>
                <w:sz w:val="24"/>
                <w:szCs w:val="24"/>
                <w:highlight w:val="none"/>
                <w:lang w:val="zh-CN"/>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00FE86BB">
            <w:pPr>
              <w:pStyle w:val="style0"/>
              <w:widowControl/>
              <w:spacing w:lineRule="auto" w:line="360"/>
              <w:jc w:val="both"/>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≥27英寸，16:9，IPS屏幕，色域覆盖≥9</w:t>
            </w:r>
            <w:r>
              <w:rPr>
                <w:rFonts w:ascii="宋体" w:cs="宋体" w:hAnsi="宋体" w:hint="eastAsia"/>
                <w:color w:val="auto"/>
                <w:kern w:val="2"/>
                <w:sz w:val="24"/>
                <w:szCs w:val="24"/>
                <w:highlight w:val="none"/>
                <w:lang w:val="en-US" w:bidi="ar-SA" w:eastAsia="zh-CN"/>
              </w:rPr>
              <w:t>3</w:t>
            </w:r>
            <w:r>
              <w:rPr>
                <w:rFonts w:ascii="宋体" w:cs="宋体" w:eastAsia="宋体" w:hAnsi="宋体" w:hint="eastAsia"/>
                <w:color w:val="auto"/>
                <w:kern w:val="2"/>
                <w:sz w:val="24"/>
                <w:szCs w:val="24"/>
                <w:highlight w:val="none"/>
                <w:lang w:val="en-US" w:bidi="ar-SA" w:eastAsia="zh-CN"/>
              </w:rPr>
              <w:t>% sRGB</w:t>
            </w:r>
          </w:p>
        </w:tc>
      </w:tr>
      <w:tr w14:paraId="61FE1F62">
        <w:tblPrEx/>
        <w:trPr>
          <w:trHeight w:val="451" w:hRule="atLeast"/>
          <w:jc w:val="center"/>
        </w:trPr>
        <w:tc>
          <w:tcPr>
            <w:tcW w:w="758" w:type="dxa"/>
            <w:tcBorders/>
            <w:shd w:val="clear" w:color="auto" w:fill="auto"/>
            <w:vAlign w:val="center"/>
          </w:tcPr>
          <w:p w14:paraId="6EDBB590">
            <w:pPr>
              <w:pStyle w:val="style0"/>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7</w:t>
            </w:r>
          </w:p>
        </w:tc>
        <w:tc>
          <w:tcPr>
            <w:tcW w:w="1786" w:type="dxa"/>
            <w:tcBorders/>
            <w:shd w:val="clear" w:color="auto" w:fill="auto"/>
            <w:vAlign w:val="center"/>
          </w:tcPr>
          <w:p w14:paraId="65978BA5">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性能要求</w:t>
            </w:r>
          </w:p>
        </w:tc>
        <w:tc>
          <w:tcPr>
            <w:tcW w:w="1356" w:type="dxa"/>
            <w:tcBorders/>
            <w:shd w:val="clear" w:color="auto" w:fill="auto"/>
            <w:vAlign w:val="center"/>
          </w:tcPr>
          <w:p w14:paraId="30F38C7C">
            <w:pPr>
              <w:pStyle w:val="style0"/>
              <w:widowControl/>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网卡</w:t>
            </w:r>
          </w:p>
        </w:tc>
        <w:tc>
          <w:tcPr>
            <w:tcW w:w="1155" w:type="dxa"/>
            <w:tcBorders/>
            <w:shd w:val="clear" w:color="auto" w:fill="auto"/>
            <w:vAlign w:val="center"/>
          </w:tcPr>
          <w:p w14:paraId="31A5D01D">
            <w:pPr>
              <w:pStyle w:val="style0"/>
              <w:widowControl/>
              <w:spacing w:lineRule="auto" w:line="360"/>
              <w:jc w:val="center"/>
              <w:rPr>
                <w:rFonts w:ascii="宋体" w:cs="宋体" w:eastAsia="宋体" w:hAnsi="宋体" w:hint="eastAsia"/>
                <w:color w:val="auto"/>
                <w:sz w:val="24"/>
                <w:szCs w:val="24"/>
                <w:highlight w:val="none"/>
              </w:rPr>
            </w:pPr>
          </w:p>
        </w:tc>
        <w:tc>
          <w:tcPr>
            <w:tcW w:w="4529" w:type="dxa"/>
            <w:tcBorders/>
            <w:shd w:val="clear" w:color="auto" w:fill="auto"/>
            <w:vAlign w:val="center"/>
          </w:tcPr>
          <w:p w14:paraId="2BCE938C">
            <w:pPr>
              <w:pStyle w:val="style0"/>
              <w:widowControl/>
              <w:spacing w:lineRule="auto" w:line="360"/>
              <w:jc w:val="center"/>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≥千兆网卡</w:t>
            </w:r>
          </w:p>
        </w:tc>
      </w:tr>
      <w:tr w14:paraId="59DB496F">
        <w:tblPrEx/>
        <w:trPr>
          <w:trHeight w:val="451" w:hRule="atLeast"/>
          <w:jc w:val="center"/>
        </w:trPr>
        <w:tc>
          <w:tcPr>
            <w:tcW w:w="758" w:type="dxa"/>
            <w:tcBorders/>
            <w:shd w:val="clear" w:color="auto" w:fill="auto"/>
            <w:vAlign w:val="center"/>
          </w:tcPr>
          <w:p w14:paraId="189C5D46">
            <w:pPr>
              <w:pStyle w:val="style0"/>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8</w:t>
            </w:r>
          </w:p>
        </w:tc>
        <w:tc>
          <w:tcPr>
            <w:tcW w:w="1786" w:type="dxa"/>
            <w:tcBorders/>
            <w:shd w:val="clear" w:color="auto" w:fill="auto"/>
            <w:vAlign w:val="center"/>
          </w:tcPr>
          <w:p w14:paraId="2A7FA663">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性能要求</w:t>
            </w:r>
          </w:p>
        </w:tc>
        <w:tc>
          <w:tcPr>
            <w:tcW w:w="1356" w:type="dxa"/>
            <w:tcBorders/>
            <w:shd w:val="clear" w:color="auto" w:fill="auto"/>
            <w:vAlign w:val="center"/>
          </w:tcPr>
          <w:p w14:paraId="016924AA">
            <w:pPr>
              <w:pStyle w:val="style0"/>
              <w:widowControl/>
              <w:spacing w:lineRule="auto" w:line="360"/>
              <w:jc w:val="center"/>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szCs w:val="24"/>
                <w:highlight w:val="none"/>
                <w:lang w:val="en-US" w:eastAsia="zh-CN"/>
              </w:rPr>
              <w:t>接口</w:t>
            </w:r>
          </w:p>
        </w:tc>
        <w:tc>
          <w:tcPr>
            <w:tcW w:w="1155" w:type="dxa"/>
            <w:tcBorders/>
            <w:shd w:val="clear" w:color="auto" w:fill="auto"/>
            <w:vAlign w:val="center"/>
          </w:tcPr>
          <w:p w14:paraId="116EAE92">
            <w:pPr>
              <w:pStyle w:val="style0"/>
              <w:widowControl/>
              <w:spacing w:lineRule="auto" w:line="360"/>
              <w:jc w:val="center"/>
              <w:rPr>
                <w:rFonts w:ascii="宋体" w:cs="宋体" w:eastAsia="宋体" w:hAnsi="宋体" w:hint="eastAsia"/>
                <w:color w:val="auto"/>
                <w:sz w:val="24"/>
                <w:szCs w:val="24"/>
                <w:highlight w:val="none"/>
              </w:rPr>
            </w:pPr>
          </w:p>
        </w:tc>
        <w:tc>
          <w:tcPr>
            <w:tcW w:w="4529" w:type="dxa"/>
            <w:tcBorders/>
            <w:shd w:val="clear" w:color="auto" w:fill="auto"/>
            <w:vAlign w:val="center"/>
          </w:tcPr>
          <w:p w14:paraId="4293CFBB">
            <w:pPr>
              <w:pStyle w:val="style0"/>
              <w:widowControl/>
              <w:spacing w:lineRule="auto" w:line="360"/>
              <w:jc w:val="center"/>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≥10个原生USB接口（其中后置不少于4个USB3.2接口</w:t>
            </w:r>
          </w:p>
        </w:tc>
      </w:tr>
      <w:tr w14:paraId="541DC256">
        <w:tblPrEx/>
        <w:trPr>
          <w:trHeight w:val="451" w:hRule="atLeast"/>
          <w:jc w:val="center"/>
        </w:trPr>
        <w:tc>
          <w:tcPr>
            <w:tcW w:w="758" w:type="dxa"/>
            <w:tcBorders/>
            <w:shd w:val="clear" w:color="auto" w:fill="auto"/>
            <w:vAlign w:val="center"/>
          </w:tcPr>
          <w:p w14:paraId="7EB4DF20">
            <w:pPr>
              <w:pStyle w:val="style0"/>
              <w:spacing w:lineRule="auto" w:line="360"/>
              <w:jc w:val="center"/>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9</w:t>
            </w:r>
          </w:p>
        </w:tc>
        <w:tc>
          <w:tcPr>
            <w:tcW w:w="1786" w:type="dxa"/>
            <w:tcBorders/>
            <w:shd w:val="clear" w:color="auto" w:fill="auto"/>
            <w:vAlign w:val="center"/>
          </w:tcPr>
          <w:p w14:paraId="4D375B80">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性能要求</w:t>
            </w:r>
          </w:p>
        </w:tc>
        <w:tc>
          <w:tcPr>
            <w:tcW w:w="1356" w:type="dxa"/>
            <w:tcBorders/>
            <w:shd w:val="clear" w:color="auto" w:fill="auto"/>
            <w:vAlign w:val="center"/>
          </w:tcPr>
          <w:p w14:paraId="41A37FC2">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显卡</w:t>
            </w:r>
          </w:p>
        </w:tc>
        <w:tc>
          <w:tcPr>
            <w:tcW w:w="1155" w:type="dxa"/>
            <w:tcBorders/>
            <w:shd w:val="clear" w:color="auto" w:fill="auto"/>
            <w:vAlign w:val="center"/>
          </w:tcPr>
          <w:p w14:paraId="18A531DB">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29AC239B">
            <w:pPr>
              <w:pStyle w:val="style0"/>
              <w:widowControl/>
              <w:spacing w:lineRule="auto" w:line="360"/>
              <w:jc w:val="center"/>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显卡显示分辨率≥2560×1440</w:t>
            </w:r>
          </w:p>
        </w:tc>
      </w:tr>
      <w:tr w14:paraId="35BAEC30">
        <w:tblPrEx/>
        <w:trPr>
          <w:trHeight w:val="395" w:hRule="atLeast"/>
          <w:jc w:val="center"/>
        </w:trPr>
        <w:tc>
          <w:tcPr>
            <w:tcW w:w="758" w:type="dxa"/>
            <w:tcBorders/>
            <w:shd w:val="clear" w:color="auto" w:fill="auto"/>
            <w:vAlign w:val="center"/>
          </w:tcPr>
          <w:p w14:paraId="693F430E">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10</w:t>
            </w:r>
          </w:p>
        </w:tc>
        <w:tc>
          <w:tcPr>
            <w:tcW w:w="1786" w:type="dxa"/>
            <w:tcBorders/>
            <w:shd w:val="clear" w:color="auto" w:fill="auto"/>
            <w:vAlign w:val="center"/>
          </w:tcPr>
          <w:p w14:paraId="7C2B0149">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功能要求</w:t>
            </w:r>
          </w:p>
        </w:tc>
        <w:tc>
          <w:tcPr>
            <w:tcW w:w="1356" w:type="dxa"/>
            <w:tcBorders/>
            <w:shd w:val="clear" w:color="auto" w:fill="auto"/>
            <w:vAlign w:val="center"/>
          </w:tcPr>
          <w:p w14:paraId="191E9C82">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声卡</w:t>
            </w:r>
            <w:r>
              <w:rPr>
                <w:rFonts w:ascii="宋体" w:cs="宋体" w:eastAsia="宋体" w:hAnsi="宋体" w:hint="eastAsia"/>
                <w:color w:val="auto"/>
                <w:sz w:val="24"/>
                <w:szCs w:val="24"/>
                <w:highlight w:val="none"/>
              </w:rPr>
              <w:t>功能</w:t>
            </w:r>
          </w:p>
        </w:tc>
        <w:tc>
          <w:tcPr>
            <w:tcW w:w="1155" w:type="dxa"/>
            <w:tcBorders/>
            <w:shd w:val="clear" w:color="auto" w:fill="auto"/>
            <w:vAlign w:val="center"/>
          </w:tcPr>
          <w:p w14:paraId="07B778DD">
            <w:pPr>
              <w:pStyle w:val="style0"/>
              <w:widowControl/>
              <w:spacing w:lineRule="auto" w:line="360"/>
              <w:jc w:val="center"/>
              <w:rPr>
                <w:rFonts w:ascii="宋体" w:cs="宋体" w:eastAsia="宋体" w:hAnsi="宋体" w:hint="eastAsia"/>
                <w:color w:val="auto"/>
                <w:sz w:val="24"/>
                <w:szCs w:val="24"/>
                <w:highlight w:val="none"/>
              </w:rPr>
            </w:pPr>
            <w:r>
              <w:rPr>
                <w:rFonts w:ascii="宋体" w:cs="宋体" w:eastAsia="宋体" w:hAnsi="宋体" w:hint="eastAsia"/>
                <w:snapToGrid w:val="false"/>
                <w:color w:val="auto"/>
                <w:kern w:val="0"/>
                <w:sz w:val="24"/>
                <w:szCs w:val="24"/>
                <w:highlight w:val="none"/>
                <w:lang w:val="zh-CN"/>
              </w:rPr>
              <w:t>★</w:t>
            </w:r>
          </w:p>
        </w:tc>
        <w:tc>
          <w:tcPr>
            <w:tcW w:w="4529" w:type="dxa"/>
            <w:tcBorders/>
            <w:shd w:val="clear" w:color="auto" w:fill="auto"/>
            <w:vAlign w:val="center"/>
          </w:tcPr>
          <w:p w14:paraId="653775FA">
            <w:pPr>
              <w:pStyle w:val="style0"/>
              <w:widowControl/>
              <w:spacing w:lineRule="auto" w:line="360"/>
              <w:jc w:val="center"/>
              <w:rPr>
                <w:rFonts w:ascii="宋体" w:cs="宋体" w:eastAsia="宋体" w:hAnsi="宋体" w:hint="eastAsia"/>
                <w:color w:val="auto"/>
                <w:kern w:val="2"/>
                <w:sz w:val="24"/>
                <w:szCs w:val="24"/>
                <w:highlight w:val="none"/>
                <w:lang w:val="en-US" w:bidi="ar-SA" w:eastAsia="zh-CN"/>
              </w:rPr>
            </w:pPr>
            <w:r>
              <w:rPr>
                <w:rFonts w:ascii="宋体" w:cs="宋体" w:eastAsia="宋体" w:hAnsi="宋体" w:hint="eastAsia"/>
                <w:color w:val="auto"/>
                <w:kern w:val="2"/>
                <w:sz w:val="24"/>
                <w:szCs w:val="24"/>
                <w:highlight w:val="none"/>
                <w:lang w:val="en-US" w:bidi="ar-SA" w:eastAsia="zh-CN"/>
              </w:rPr>
              <w:t>≥前2后3音频接口，支持7.1声道， 支持智能降噪技术</w:t>
            </w:r>
          </w:p>
        </w:tc>
      </w:tr>
      <w:tr w14:paraId="66342FAC">
        <w:tblPrEx/>
        <w:trPr>
          <w:trHeight w:val="451" w:hRule="atLeast"/>
          <w:jc w:val="center"/>
        </w:trPr>
        <w:tc>
          <w:tcPr>
            <w:tcW w:w="758" w:type="dxa"/>
            <w:tcBorders/>
            <w:shd w:val="clear" w:color="auto" w:fill="auto"/>
            <w:vAlign w:val="center"/>
          </w:tcPr>
          <w:p w14:paraId="77D7E477">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11</w:t>
            </w:r>
          </w:p>
        </w:tc>
        <w:tc>
          <w:tcPr>
            <w:tcW w:w="1786" w:type="dxa"/>
            <w:tcBorders/>
            <w:shd w:val="clear" w:color="auto" w:fill="auto"/>
            <w:vAlign w:val="center"/>
          </w:tcPr>
          <w:p w14:paraId="6FD5C9A3">
            <w:pPr>
              <w:pStyle w:val="style0"/>
              <w:widowControl/>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功能要求</w:t>
            </w:r>
          </w:p>
        </w:tc>
        <w:tc>
          <w:tcPr>
            <w:tcW w:w="1356" w:type="dxa"/>
            <w:tcBorders/>
            <w:shd w:val="clear" w:color="auto" w:fill="auto"/>
            <w:vAlign w:val="center"/>
          </w:tcPr>
          <w:p w14:paraId="05CF22C7">
            <w:pPr>
              <w:pStyle w:val="style0"/>
              <w:widowControl/>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rPr>
              <w:t>功能软件</w:t>
            </w:r>
          </w:p>
        </w:tc>
        <w:tc>
          <w:tcPr>
            <w:tcW w:w="1155" w:type="dxa"/>
            <w:tcBorders/>
            <w:shd w:val="clear" w:color="auto" w:fill="auto"/>
            <w:vAlign w:val="center"/>
          </w:tcPr>
          <w:p w14:paraId="7067B187">
            <w:pPr>
              <w:pStyle w:val="style0"/>
              <w:widowControl/>
              <w:spacing w:lineRule="auto" w:line="360"/>
              <w:jc w:val="center"/>
              <w:rPr>
                <w:rFonts w:ascii="宋体" w:cs="宋体" w:eastAsia="宋体" w:hAnsi="宋体" w:hint="eastAsia"/>
                <w:snapToGrid w:val="false"/>
                <w:kern w:val="0"/>
                <w:sz w:val="24"/>
                <w:szCs w:val="24"/>
                <w:highlight w:val="none"/>
                <w:lang w:val="zh-CN"/>
              </w:rPr>
            </w:pPr>
          </w:p>
        </w:tc>
        <w:tc>
          <w:tcPr>
            <w:tcW w:w="4529" w:type="dxa"/>
            <w:tcBorders/>
            <w:shd w:val="clear" w:color="auto" w:fill="auto"/>
            <w:vAlign w:val="center"/>
          </w:tcPr>
          <w:p w14:paraId="5BD64769">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可自动显示本机主机序列号，方便报修和维护；可一键线上报修，支持人工客服，可查询维修进度；可一键诊断硬件故障；可显示CPU、风扇、内存、硬盘使用情况，并且可检查修复常见系统问题。</w:t>
            </w:r>
          </w:p>
        </w:tc>
      </w:tr>
      <w:tr w14:paraId="6884D906">
        <w:tblPrEx/>
        <w:trPr>
          <w:trHeight w:val="461" w:hRule="atLeast"/>
          <w:jc w:val="center"/>
        </w:trPr>
        <w:tc>
          <w:tcPr>
            <w:tcW w:w="758" w:type="dxa"/>
            <w:tcBorders/>
            <w:shd w:val="clear" w:color="auto" w:fill="auto"/>
            <w:vAlign w:val="center"/>
          </w:tcPr>
          <w:p w14:paraId="0A047B11">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12</w:t>
            </w:r>
          </w:p>
        </w:tc>
        <w:tc>
          <w:tcPr>
            <w:tcW w:w="1786" w:type="dxa"/>
            <w:tcBorders/>
            <w:shd w:val="clear" w:color="auto" w:fill="auto"/>
            <w:vAlign w:val="center"/>
          </w:tcPr>
          <w:p w14:paraId="0FF274F1">
            <w:pPr>
              <w:pStyle w:val="style0"/>
              <w:widowControl/>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扩展</w:t>
            </w:r>
            <w:r>
              <w:rPr>
                <w:rFonts w:ascii="宋体" w:cs="宋体" w:eastAsia="宋体" w:hAnsi="宋体" w:hint="eastAsia"/>
                <w:sz w:val="24"/>
                <w:szCs w:val="24"/>
                <w:highlight w:val="none"/>
              </w:rPr>
              <w:t>功能要求</w:t>
            </w:r>
          </w:p>
        </w:tc>
        <w:tc>
          <w:tcPr>
            <w:tcW w:w="1356" w:type="dxa"/>
            <w:tcBorders/>
            <w:shd w:val="clear" w:color="auto" w:fill="auto"/>
            <w:vAlign w:val="center"/>
          </w:tcPr>
          <w:p w14:paraId="082671E9">
            <w:pPr>
              <w:pStyle w:val="style0"/>
              <w:widowControl/>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扩展功能</w:t>
            </w:r>
          </w:p>
        </w:tc>
        <w:tc>
          <w:tcPr>
            <w:tcW w:w="1155" w:type="dxa"/>
            <w:tcBorders/>
            <w:shd w:val="clear" w:color="auto" w:fill="auto"/>
            <w:vAlign w:val="center"/>
          </w:tcPr>
          <w:p w14:paraId="556F48D5">
            <w:pPr>
              <w:pStyle w:val="style0"/>
              <w:widowControl/>
              <w:spacing w:lineRule="auto" w:line="360"/>
              <w:jc w:val="center"/>
              <w:rPr>
                <w:rFonts w:ascii="宋体" w:cs="宋体" w:eastAsia="宋体" w:hAnsi="宋体" w:hint="eastAsia"/>
                <w:sz w:val="24"/>
                <w:szCs w:val="24"/>
                <w:highlight w:val="none"/>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53F1E4B5">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≥1个PCIe® 4.0*16，≥2 个 PCIe® 3.0*1，≥2个 M.2接口，≥4个SATA接口，≥2*PS/2</w:t>
            </w:r>
          </w:p>
        </w:tc>
      </w:tr>
      <w:tr w14:paraId="0036A032">
        <w:tblPrEx/>
        <w:trPr>
          <w:trHeight w:val="461" w:hRule="atLeast"/>
          <w:jc w:val="center"/>
        </w:trPr>
        <w:tc>
          <w:tcPr>
            <w:tcW w:w="758" w:type="dxa"/>
            <w:tcBorders/>
            <w:shd w:val="clear" w:color="auto" w:fill="auto"/>
            <w:vAlign w:val="center"/>
          </w:tcPr>
          <w:p w14:paraId="6C6B8E13">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13</w:t>
            </w:r>
          </w:p>
        </w:tc>
        <w:tc>
          <w:tcPr>
            <w:tcW w:w="1786" w:type="dxa"/>
            <w:tcBorders/>
            <w:shd w:val="clear" w:color="auto" w:fill="auto"/>
            <w:vAlign w:val="center"/>
          </w:tcPr>
          <w:p w14:paraId="3E3BD377">
            <w:pPr>
              <w:pStyle w:val="style0"/>
              <w:widowControl/>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系统</w:t>
            </w:r>
            <w:r>
              <w:rPr>
                <w:rFonts w:ascii="宋体" w:cs="宋体" w:eastAsia="宋体" w:hAnsi="宋体" w:hint="eastAsia"/>
                <w:sz w:val="24"/>
                <w:szCs w:val="24"/>
                <w:highlight w:val="none"/>
              </w:rPr>
              <w:t>要求</w:t>
            </w:r>
          </w:p>
        </w:tc>
        <w:tc>
          <w:tcPr>
            <w:tcW w:w="1356" w:type="dxa"/>
            <w:tcBorders/>
            <w:shd w:val="clear" w:color="auto" w:fill="auto"/>
            <w:vAlign w:val="center"/>
          </w:tcPr>
          <w:p w14:paraId="435B9588">
            <w:pPr>
              <w:pStyle w:val="style0"/>
              <w:widowControl/>
              <w:spacing w:lineRule="auto" w:line="360"/>
              <w:jc w:val="center"/>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系统</w:t>
            </w:r>
            <w:r>
              <w:rPr>
                <w:rFonts w:ascii="宋体" w:cs="宋体" w:eastAsia="宋体" w:hAnsi="宋体" w:hint="eastAsia"/>
                <w:sz w:val="24"/>
                <w:szCs w:val="24"/>
                <w:highlight w:val="none"/>
              </w:rPr>
              <w:t>要求</w:t>
            </w:r>
          </w:p>
        </w:tc>
        <w:tc>
          <w:tcPr>
            <w:tcW w:w="1155" w:type="dxa"/>
            <w:tcBorders/>
            <w:shd w:val="clear" w:color="auto" w:fill="auto"/>
            <w:vAlign w:val="center"/>
          </w:tcPr>
          <w:p w14:paraId="6254465D">
            <w:pPr>
              <w:pStyle w:val="style0"/>
              <w:widowControl/>
              <w:spacing w:lineRule="auto" w:line="360"/>
              <w:jc w:val="center"/>
              <w:rPr>
                <w:rFonts w:ascii="宋体" w:cs="宋体" w:eastAsia="宋体" w:hAnsi="宋体" w:hint="eastAsia"/>
                <w:sz w:val="24"/>
                <w:szCs w:val="24"/>
                <w:highlight w:val="none"/>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7388849A">
            <w:pPr>
              <w:pStyle w:val="style0"/>
              <w:widowControl/>
              <w:spacing w:lineRule="auto" w:line="360"/>
              <w:jc w:val="left"/>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原厂预装WIN11系统</w:t>
            </w:r>
          </w:p>
        </w:tc>
      </w:tr>
      <w:tr w14:paraId="4E3507C6">
        <w:tblPrEx/>
        <w:trPr>
          <w:trHeight w:val="461" w:hRule="atLeast"/>
          <w:jc w:val="center"/>
        </w:trPr>
        <w:tc>
          <w:tcPr>
            <w:tcW w:w="758" w:type="dxa"/>
            <w:tcBorders/>
            <w:shd w:val="clear" w:color="auto" w:fill="auto"/>
            <w:vAlign w:val="center"/>
          </w:tcPr>
          <w:p w14:paraId="2FFCCA3A">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14</w:t>
            </w:r>
          </w:p>
        </w:tc>
        <w:tc>
          <w:tcPr>
            <w:tcW w:w="1786" w:type="dxa"/>
            <w:tcBorders/>
            <w:shd w:val="clear" w:color="auto" w:fill="auto"/>
            <w:vAlign w:val="center"/>
          </w:tcPr>
          <w:p w14:paraId="7335AC7A">
            <w:pPr>
              <w:pStyle w:val="style0"/>
              <w:widowControl/>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功能要求</w:t>
            </w:r>
          </w:p>
        </w:tc>
        <w:tc>
          <w:tcPr>
            <w:tcW w:w="1356" w:type="dxa"/>
            <w:tcBorders/>
            <w:shd w:val="clear" w:color="auto" w:fill="auto"/>
            <w:vAlign w:val="center"/>
          </w:tcPr>
          <w:p w14:paraId="6D44A689">
            <w:pPr>
              <w:pStyle w:val="style0"/>
              <w:widowControl/>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网络线路</w:t>
            </w:r>
          </w:p>
        </w:tc>
        <w:tc>
          <w:tcPr>
            <w:tcW w:w="1155" w:type="dxa"/>
            <w:tcBorders/>
            <w:shd w:val="clear" w:color="auto" w:fill="auto"/>
            <w:vAlign w:val="center"/>
          </w:tcPr>
          <w:p w14:paraId="5A6DD2EC">
            <w:pPr>
              <w:pStyle w:val="style0"/>
              <w:widowControl/>
              <w:spacing w:lineRule="auto" w:line="360"/>
              <w:jc w:val="center"/>
              <w:rPr>
                <w:rFonts w:ascii="宋体" w:cs="宋体" w:eastAsia="宋体" w:hAnsi="宋体" w:hint="eastAsia"/>
                <w:sz w:val="24"/>
                <w:szCs w:val="24"/>
                <w:highlight w:val="none"/>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65AA7E7F">
            <w:pPr>
              <w:pStyle w:val="style0"/>
              <w:widowControl/>
              <w:spacing w:lineRule="auto" w:line="360"/>
              <w:jc w:val="left"/>
              <w:rPr>
                <w:rFonts w:ascii="宋体" w:cs="宋体" w:eastAsia="宋体" w:hAnsi="宋体" w:hint="eastAsia"/>
                <w:sz w:val="24"/>
                <w:szCs w:val="24"/>
                <w:highlight w:val="none"/>
              </w:rPr>
            </w:pPr>
            <w:r>
              <w:rPr>
                <w:rFonts w:ascii="宋体" w:cs="宋体" w:eastAsia="宋体" w:hAnsi="宋体" w:hint="eastAsia"/>
                <w:sz w:val="24"/>
                <w:szCs w:val="24"/>
                <w:highlight w:val="none"/>
              </w:rPr>
              <w:t>60套电脑配套敷设新网络线路并正常使用（含国标电源线、超六类国标屏蔽网线、插座、线槽等）。</w:t>
            </w:r>
          </w:p>
        </w:tc>
      </w:tr>
      <w:tr w14:paraId="42A43D3E">
        <w:tblPrEx/>
        <w:trPr>
          <w:trHeight w:val="461" w:hRule="atLeast"/>
          <w:jc w:val="center"/>
        </w:trPr>
        <w:tc>
          <w:tcPr>
            <w:tcW w:w="758" w:type="dxa"/>
            <w:tcBorders/>
            <w:shd w:val="clear" w:color="auto" w:fill="auto"/>
            <w:vAlign w:val="center"/>
          </w:tcPr>
          <w:p w14:paraId="0CB246E2">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15</w:t>
            </w:r>
          </w:p>
        </w:tc>
        <w:tc>
          <w:tcPr>
            <w:tcW w:w="1786" w:type="dxa"/>
            <w:tcBorders/>
            <w:shd w:val="clear" w:color="auto" w:fill="auto"/>
            <w:vAlign w:val="center"/>
          </w:tcPr>
          <w:p w14:paraId="770DD192">
            <w:pPr>
              <w:pStyle w:val="style0"/>
              <w:widowControl/>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环境要求</w:t>
            </w:r>
          </w:p>
        </w:tc>
        <w:tc>
          <w:tcPr>
            <w:tcW w:w="1356" w:type="dxa"/>
            <w:tcBorders/>
            <w:shd w:val="clear" w:color="auto" w:fill="auto"/>
            <w:vAlign w:val="center"/>
          </w:tcPr>
          <w:p w14:paraId="738A6BDA">
            <w:pPr>
              <w:pStyle w:val="style0"/>
              <w:widowControl/>
              <w:spacing w:lineRule="auto" w:line="360"/>
              <w:jc w:val="center"/>
              <w:rPr>
                <w:rFonts w:ascii="宋体" w:cs="宋体" w:eastAsia="宋体" w:hAnsi="宋体" w:hint="default"/>
                <w:sz w:val="24"/>
                <w:szCs w:val="24"/>
                <w:highlight w:val="none"/>
                <w:lang w:val="en-US" w:eastAsia="zh-CN"/>
              </w:rPr>
            </w:pPr>
            <w:r>
              <w:rPr>
                <w:rFonts w:ascii="宋体" w:cs="宋体" w:hAnsi="宋体" w:hint="eastAsia"/>
                <w:sz w:val="24"/>
                <w:szCs w:val="24"/>
                <w:highlight w:val="none"/>
                <w:lang w:val="en-US" w:eastAsia="zh-CN"/>
              </w:rPr>
              <w:t>环境整洁统一</w:t>
            </w:r>
          </w:p>
        </w:tc>
        <w:tc>
          <w:tcPr>
            <w:tcW w:w="1155" w:type="dxa"/>
            <w:tcBorders/>
            <w:shd w:val="clear" w:color="auto" w:fill="auto"/>
            <w:vAlign w:val="center"/>
          </w:tcPr>
          <w:p w14:paraId="4C43FC95">
            <w:pPr>
              <w:pStyle w:val="style0"/>
              <w:widowControl/>
              <w:spacing w:lineRule="auto" w:line="360"/>
              <w:jc w:val="center"/>
              <w:rPr>
                <w:rFonts w:ascii="宋体" w:cs="宋体" w:eastAsia="宋体" w:hAnsi="宋体" w:hint="eastAsia"/>
                <w:sz w:val="24"/>
                <w:szCs w:val="24"/>
                <w:highlight w:val="none"/>
              </w:rPr>
            </w:pPr>
          </w:p>
        </w:tc>
        <w:tc>
          <w:tcPr>
            <w:tcW w:w="4529" w:type="dxa"/>
            <w:tcBorders/>
            <w:shd w:val="clear" w:color="auto" w:fill="auto"/>
            <w:vAlign w:val="center"/>
          </w:tcPr>
          <w:p w14:paraId="40F38587">
            <w:pPr>
              <w:pStyle w:val="style0"/>
              <w:widowControl/>
              <w:spacing w:lineRule="auto" w:line="360"/>
              <w:jc w:val="left"/>
              <w:rPr>
                <w:rFonts w:ascii="宋体" w:cs="宋体" w:eastAsia="宋体" w:hAnsi="宋体" w:hint="eastAsia"/>
                <w:sz w:val="24"/>
                <w:szCs w:val="24"/>
                <w:highlight w:val="none"/>
              </w:rPr>
            </w:pPr>
            <w:r>
              <w:rPr>
                <w:rFonts w:ascii="宋体" w:cs="宋体" w:hAnsi="宋体" w:hint="eastAsia"/>
                <w:sz w:val="24"/>
                <w:szCs w:val="24"/>
                <w:highlight w:val="none"/>
                <w:lang w:val="en-US" w:eastAsia="zh-CN"/>
              </w:rPr>
              <w:t>施工后保持</w:t>
            </w:r>
            <w:r>
              <w:rPr>
                <w:rFonts w:ascii="宋体" w:cs="宋体" w:eastAsia="宋体" w:hAnsi="宋体" w:hint="eastAsia"/>
                <w:sz w:val="24"/>
                <w:szCs w:val="24"/>
                <w:highlight w:val="none"/>
              </w:rPr>
              <w:t>整个教室墙面顶面原墙面修复</w:t>
            </w:r>
          </w:p>
        </w:tc>
      </w:tr>
      <w:tr w14:paraId="39AD4A55">
        <w:tblPrEx/>
        <w:trPr>
          <w:trHeight w:val="461" w:hRule="atLeast"/>
          <w:jc w:val="center"/>
        </w:trPr>
        <w:tc>
          <w:tcPr>
            <w:tcW w:w="758" w:type="dxa"/>
            <w:tcBorders/>
            <w:shd w:val="clear" w:color="auto" w:fill="auto"/>
            <w:vAlign w:val="center"/>
          </w:tcPr>
          <w:p w14:paraId="07AD768F">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16</w:t>
            </w:r>
          </w:p>
        </w:tc>
        <w:tc>
          <w:tcPr>
            <w:tcW w:w="1786" w:type="dxa"/>
            <w:tcBorders/>
            <w:shd w:val="clear" w:color="auto" w:fill="auto"/>
            <w:vAlign w:val="center"/>
          </w:tcPr>
          <w:p w14:paraId="1E36D895">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环境要求</w:t>
            </w:r>
          </w:p>
        </w:tc>
        <w:tc>
          <w:tcPr>
            <w:tcW w:w="1356" w:type="dxa"/>
            <w:tcBorders/>
            <w:shd w:val="clear" w:color="auto" w:fill="auto"/>
            <w:vAlign w:val="center"/>
          </w:tcPr>
          <w:p w14:paraId="09D629FF">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桌椅</w:t>
            </w:r>
          </w:p>
        </w:tc>
        <w:tc>
          <w:tcPr>
            <w:tcW w:w="1155" w:type="dxa"/>
            <w:tcBorders/>
            <w:shd w:val="clear" w:color="auto" w:fill="auto"/>
            <w:vAlign w:val="center"/>
          </w:tcPr>
          <w:p w14:paraId="53BB3308">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45FC86A1">
            <w:pPr>
              <w:pStyle w:val="style0"/>
              <w:widowControl/>
              <w:spacing w:lineRule="auto" w:line="360"/>
              <w:jc w:val="left"/>
              <w:rPr>
                <w:rFonts w:ascii="宋体" w:cs="宋体" w:eastAsia="宋体" w:hAnsi="宋体" w:hint="default"/>
                <w:kern w:val="2"/>
                <w:sz w:val="24"/>
                <w:szCs w:val="24"/>
                <w:highlight w:val="none"/>
                <w:lang w:val="en-US" w:bidi="ar-SA" w:eastAsia="zh-CN"/>
              </w:rPr>
            </w:pPr>
            <w:r>
              <w:rPr>
                <w:rFonts w:ascii="宋体" w:cs="宋体" w:eastAsia="宋体" w:hAnsi="宋体" w:hint="eastAsia"/>
                <w:sz w:val="24"/>
                <w:szCs w:val="24"/>
                <w:highlight w:val="none"/>
              </w:rPr>
              <w:t>教室内所有电脑桌中间连接、桌椅进行加固处理。</w:t>
            </w:r>
          </w:p>
        </w:tc>
      </w:tr>
      <w:tr w14:paraId="4B77940D">
        <w:tblPrEx/>
        <w:trPr>
          <w:trHeight w:val="461" w:hRule="atLeast"/>
          <w:jc w:val="center"/>
        </w:trPr>
        <w:tc>
          <w:tcPr>
            <w:tcW w:w="758" w:type="dxa"/>
            <w:tcBorders/>
            <w:shd w:val="clear" w:color="auto" w:fill="auto"/>
            <w:vAlign w:val="center"/>
          </w:tcPr>
          <w:p w14:paraId="31A48987">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17</w:t>
            </w:r>
          </w:p>
        </w:tc>
        <w:tc>
          <w:tcPr>
            <w:tcW w:w="1786" w:type="dxa"/>
            <w:tcBorders/>
            <w:shd w:val="clear" w:color="auto" w:fill="auto"/>
            <w:vAlign w:val="center"/>
          </w:tcPr>
          <w:p w14:paraId="4E8E40F2">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环境要求</w:t>
            </w:r>
          </w:p>
        </w:tc>
        <w:tc>
          <w:tcPr>
            <w:tcW w:w="1356" w:type="dxa"/>
            <w:tcBorders/>
            <w:shd w:val="clear" w:color="auto" w:fill="auto"/>
            <w:vAlign w:val="center"/>
          </w:tcPr>
          <w:p w14:paraId="67F4E161">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辅材</w:t>
            </w:r>
          </w:p>
        </w:tc>
        <w:tc>
          <w:tcPr>
            <w:tcW w:w="1155" w:type="dxa"/>
            <w:tcBorders/>
            <w:shd w:val="clear" w:color="auto" w:fill="auto"/>
            <w:vAlign w:val="center"/>
          </w:tcPr>
          <w:p w14:paraId="796A45C3">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7C0CB2FC">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包含但不限于本项目所涉及的旧设备拆除及新线路改造所需的线材、管材、辅材等</w:t>
            </w:r>
            <w:r>
              <w:rPr>
                <w:rFonts w:ascii="宋体" w:cs="宋体" w:hAnsi="宋体" w:hint="eastAsia"/>
                <w:sz w:val="24"/>
                <w:szCs w:val="24"/>
                <w:highlight w:val="none"/>
                <w:lang w:eastAsia="zh-CN"/>
              </w:rPr>
              <w:t>其他</w:t>
            </w:r>
            <w:r>
              <w:rPr>
                <w:rFonts w:ascii="宋体" w:cs="宋体" w:eastAsia="宋体" w:hAnsi="宋体" w:hint="eastAsia"/>
                <w:sz w:val="24"/>
                <w:szCs w:val="24"/>
                <w:highlight w:val="none"/>
              </w:rPr>
              <w:t>相关费用</w:t>
            </w:r>
          </w:p>
        </w:tc>
      </w:tr>
      <w:tr w14:paraId="0BFC0084">
        <w:tblPrEx/>
        <w:trPr>
          <w:trHeight w:val="461" w:hRule="atLeast"/>
          <w:jc w:val="center"/>
        </w:trPr>
        <w:tc>
          <w:tcPr>
            <w:tcW w:w="758" w:type="dxa"/>
            <w:tcBorders/>
            <w:shd w:val="clear" w:color="auto" w:fill="auto"/>
            <w:vAlign w:val="center"/>
          </w:tcPr>
          <w:p w14:paraId="29310A98">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18</w:t>
            </w:r>
          </w:p>
        </w:tc>
        <w:tc>
          <w:tcPr>
            <w:tcW w:w="1786" w:type="dxa"/>
            <w:tcBorders/>
            <w:shd w:val="clear" w:color="auto" w:fill="auto"/>
            <w:vAlign w:val="center"/>
          </w:tcPr>
          <w:p w14:paraId="2CB42584">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2F50220B">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系统架构</w:t>
            </w:r>
          </w:p>
        </w:tc>
        <w:tc>
          <w:tcPr>
            <w:tcW w:w="1155" w:type="dxa"/>
            <w:tcBorders/>
            <w:shd w:val="clear" w:color="auto" w:fill="auto"/>
            <w:vAlign w:val="center"/>
          </w:tcPr>
          <w:p w14:paraId="77B48C82">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3C55C513">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采用集中存储，分布运算的系统架构。支持跨架构和多类型终端的统一管理，可实现跨网段，跨VLan的不同组网方式交付，开机自动交付服务端上的操作系统桌面。</w:t>
            </w:r>
          </w:p>
        </w:tc>
      </w:tr>
      <w:tr w14:paraId="5502E597">
        <w:tblPrEx/>
        <w:trPr>
          <w:trHeight w:val="461" w:hRule="atLeast"/>
          <w:jc w:val="center"/>
        </w:trPr>
        <w:tc>
          <w:tcPr>
            <w:tcW w:w="758" w:type="dxa"/>
            <w:tcBorders/>
            <w:shd w:val="clear" w:color="auto" w:fill="auto"/>
            <w:vAlign w:val="center"/>
          </w:tcPr>
          <w:p w14:paraId="240549D9">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19</w:t>
            </w:r>
          </w:p>
        </w:tc>
        <w:tc>
          <w:tcPr>
            <w:tcW w:w="1786" w:type="dxa"/>
            <w:tcBorders/>
            <w:shd w:val="clear" w:color="auto" w:fill="auto"/>
            <w:vAlign w:val="center"/>
          </w:tcPr>
          <w:p w14:paraId="019990D3">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794336B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B/S架构</w:t>
            </w:r>
          </w:p>
        </w:tc>
        <w:tc>
          <w:tcPr>
            <w:tcW w:w="1155" w:type="dxa"/>
            <w:tcBorders/>
            <w:shd w:val="clear" w:color="auto" w:fill="auto"/>
            <w:vAlign w:val="center"/>
          </w:tcPr>
          <w:p w14:paraId="0F339EEC">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5CCC782C">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系统采用B/S架构，具备概况、新手精灵、镜像管理、桌面模板、终端管理、网络拓扑、端口管控、用户管理、日志管理、系统设置，软件授权，数据迁移。</w:t>
            </w:r>
          </w:p>
        </w:tc>
      </w:tr>
      <w:tr w14:paraId="44F3117C">
        <w:tblPrEx/>
        <w:trPr>
          <w:trHeight w:val="461" w:hRule="atLeast"/>
          <w:jc w:val="center"/>
        </w:trPr>
        <w:tc>
          <w:tcPr>
            <w:tcW w:w="758" w:type="dxa"/>
            <w:tcBorders/>
            <w:shd w:val="clear" w:color="auto" w:fill="auto"/>
            <w:vAlign w:val="center"/>
          </w:tcPr>
          <w:p w14:paraId="6EC33A16">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20</w:t>
            </w:r>
          </w:p>
        </w:tc>
        <w:tc>
          <w:tcPr>
            <w:tcW w:w="1786" w:type="dxa"/>
            <w:tcBorders/>
            <w:shd w:val="clear" w:color="auto" w:fill="auto"/>
            <w:vAlign w:val="center"/>
          </w:tcPr>
          <w:p w14:paraId="71878F9E">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0A208BA9">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多节点缓存</w:t>
            </w:r>
          </w:p>
        </w:tc>
        <w:tc>
          <w:tcPr>
            <w:tcW w:w="1155" w:type="dxa"/>
            <w:tcBorders/>
            <w:shd w:val="clear" w:color="auto" w:fill="auto"/>
            <w:vAlign w:val="center"/>
          </w:tcPr>
          <w:p w14:paraId="018848A0">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590CF766">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w:t>
            </w:r>
          </w:p>
        </w:tc>
      </w:tr>
      <w:tr w14:paraId="3D3092E4">
        <w:tblPrEx/>
        <w:trPr>
          <w:trHeight w:val="461" w:hRule="atLeast"/>
          <w:jc w:val="center"/>
        </w:trPr>
        <w:tc>
          <w:tcPr>
            <w:tcW w:w="758" w:type="dxa"/>
            <w:tcBorders/>
            <w:shd w:val="clear" w:color="auto" w:fill="auto"/>
            <w:vAlign w:val="center"/>
          </w:tcPr>
          <w:p w14:paraId="11551944">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21</w:t>
            </w:r>
          </w:p>
        </w:tc>
        <w:tc>
          <w:tcPr>
            <w:tcW w:w="1786" w:type="dxa"/>
            <w:tcBorders/>
            <w:shd w:val="clear" w:color="auto" w:fill="auto"/>
            <w:vAlign w:val="center"/>
          </w:tcPr>
          <w:p w14:paraId="755D662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5D117E00">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分发方式</w:t>
            </w:r>
          </w:p>
        </w:tc>
        <w:tc>
          <w:tcPr>
            <w:tcW w:w="1155" w:type="dxa"/>
            <w:tcBorders/>
            <w:shd w:val="clear" w:color="auto" w:fill="auto"/>
            <w:vAlign w:val="center"/>
          </w:tcPr>
          <w:p w14:paraId="21AAA6E8">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7A276408">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方案支持并行分发与辅助分发两种方式。辅助分发时能自动寻找环境中的种子机并能在下发界面体现出来，从而快速部署系统。并行分发时可实现终端连上服务端后直接进入系统，系统后台自动完成部署任务。</w:t>
            </w:r>
          </w:p>
        </w:tc>
      </w:tr>
      <w:tr w14:paraId="67DAD415">
        <w:tblPrEx/>
        <w:trPr>
          <w:trHeight w:val="461" w:hRule="atLeast"/>
          <w:jc w:val="center"/>
        </w:trPr>
        <w:tc>
          <w:tcPr>
            <w:tcW w:w="758" w:type="dxa"/>
            <w:tcBorders/>
            <w:shd w:val="clear" w:color="auto" w:fill="auto"/>
            <w:vAlign w:val="center"/>
          </w:tcPr>
          <w:p w14:paraId="2D184848">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22</w:t>
            </w:r>
          </w:p>
        </w:tc>
        <w:tc>
          <w:tcPr>
            <w:tcW w:w="1786" w:type="dxa"/>
            <w:tcBorders/>
            <w:shd w:val="clear" w:color="auto" w:fill="auto"/>
            <w:vAlign w:val="center"/>
          </w:tcPr>
          <w:p w14:paraId="5EEF59AA">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5BAD9385">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数据保护</w:t>
            </w:r>
          </w:p>
        </w:tc>
        <w:tc>
          <w:tcPr>
            <w:tcW w:w="1155" w:type="dxa"/>
            <w:tcBorders/>
            <w:shd w:val="clear" w:color="auto" w:fill="auto"/>
            <w:vAlign w:val="center"/>
          </w:tcPr>
          <w:p w14:paraId="6B6C5E6C">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090E4720">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w:t>
            </w:r>
          </w:p>
        </w:tc>
      </w:tr>
      <w:tr w14:paraId="207D4BED">
        <w:tblPrEx/>
        <w:trPr>
          <w:trHeight w:val="2317" w:hRule="atLeast"/>
          <w:jc w:val="center"/>
        </w:trPr>
        <w:tc>
          <w:tcPr>
            <w:tcW w:w="758" w:type="dxa"/>
            <w:tcBorders/>
            <w:shd w:val="clear" w:color="auto" w:fill="auto"/>
            <w:vAlign w:val="center"/>
          </w:tcPr>
          <w:p w14:paraId="5D21D816">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23</w:t>
            </w:r>
          </w:p>
        </w:tc>
        <w:tc>
          <w:tcPr>
            <w:tcW w:w="1786" w:type="dxa"/>
            <w:tcBorders/>
            <w:shd w:val="clear" w:color="auto" w:fill="auto"/>
            <w:vAlign w:val="center"/>
          </w:tcPr>
          <w:p w14:paraId="75E73CA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5F9A03AA">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启动方式</w:t>
            </w:r>
          </w:p>
        </w:tc>
        <w:tc>
          <w:tcPr>
            <w:tcW w:w="1155" w:type="dxa"/>
            <w:tcBorders/>
            <w:shd w:val="clear" w:color="auto" w:fill="auto"/>
            <w:vAlign w:val="center"/>
          </w:tcPr>
          <w:p w14:paraId="7DF93C1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253B4608">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可禁止使用主板pxe引导方式启动客户端，采用独立编写的preboot启动插件，支持固定IP地址、服务端DHCP提供、外部环境DHCP提供、本地离线启动延续等四种启动方式</w:t>
            </w:r>
          </w:p>
        </w:tc>
      </w:tr>
      <w:tr w14:paraId="0E55A425">
        <w:tblPrEx/>
        <w:trPr>
          <w:trHeight w:val="1736" w:hRule="atLeast"/>
          <w:jc w:val="center"/>
        </w:trPr>
        <w:tc>
          <w:tcPr>
            <w:tcW w:w="758" w:type="dxa"/>
            <w:tcBorders/>
            <w:shd w:val="clear" w:color="auto" w:fill="auto"/>
            <w:vAlign w:val="center"/>
          </w:tcPr>
          <w:p w14:paraId="74AB89DC">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24</w:t>
            </w:r>
          </w:p>
        </w:tc>
        <w:tc>
          <w:tcPr>
            <w:tcW w:w="1786" w:type="dxa"/>
            <w:tcBorders/>
            <w:shd w:val="clear" w:color="auto" w:fill="auto"/>
            <w:vAlign w:val="center"/>
          </w:tcPr>
          <w:p w14:paraId="4DC77322">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1FD2EAD9">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断线续传</w:t>
            </w:r>
          </w:p>
        </w:tc>
        <w:tc>
          <w:tcPr>
            <w:tcW w:w="1155" w:type="dxa"/>
            <w:tcBorders/>
            <w:shd w:val="clear" w:color="auto" w:fill="auto"/>
            <w:vAlign w:val="center"/>
          </w:tcPr>
          <w:p w14:paraId="4AEA827C">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napToGrid w:val="false"/>
                <w:kern w:val="0"/>
                <w:sz w:val="24"/>
                <w:szCs w:val="24"/>
                <w:highlight w:val="none"/>
                <w:lang w:val="zh-CN"/>
              </w:rPr>
              <w:t>★</w:t>
            </w:r>
          </w:p>
        </w:tc>
        <w:tc>
          <w:tcPr>
            <w:tcW w:w="4529" w:type="dxa"/>
            <w:tcBorders/>
            <w:shd w:val="clear" w:color="auto" w:fill="auto"/>
            <w:vAlign w:val="center"/>
          </w:tcPr>
          <w:p w14:paraId="5C2469BA">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镜像系统更新后，终端重启后直接进入桌面，具有P2P部署终端系统的功能，在下发镜像数据过程中，可以在服务端随时设定停止离线或继续离线，并具有断线续传的功能，从而保证用户使用体验。</w:t>
            </w:r>
          </w:p>
        </w:tc>
      </w:tr>
      <w:tr w14:paraId="02023823">
        <w:tblPrEx/>
        <w:trPr>
          <w:trHeight w:val="1589" w:hRule="atLeast"/>
          <w:jc w:val="center"/>
        </w:trPr>
        <w:tc>
          <w:tcPr>
            <w:tcW w:w="758" w:type="dxa"/>
            <w:tcBorders/>
            <w:shd w:val="clear" w:color="auto" w:fill="auto"/>
            <w:vAlign w:val="center"/>
          </w:tcPr>
          <w:p w14:paraId="23B672B7">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25</w:t>
            </w:r>
          </w:p>
        </w:tc>
        <w:tc>
          <w:tcPr>
            <w:tcW w:w="1786" w:type="dxa"/>
            <w:tcBorders/>
            <w:shd w:val="clear" w:color="auto" w:fill="auto"/>
            <w:vAlign w:val="center"/>
          </w:tcPr>
          <w:p w14:paraId="4B4D34EE">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1645C3D9">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远程控制</w:t>
            </w:r>
          </w:p>
        </w:tc>
        <w:tc>
          <w:tcPr>
            <w:tcW w:w="1155" w:type="dxa"/>
            <w:tcBorders/>
            <w:shd w:val="clear" w:color="auto" w:fill="auto"/>
            <w:vAlign w:val="center"/>
          </w:tcPr>
          <w:p w14:paraId="1713A59D">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08EC96BB">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系统具有远程控制功能，能够对终端进行远程开关机和重启操作。并能自定义远程控制命令</w:t>
            </w:r>
          </w:p>
        </w:tc>
      </w:tr>
      <w:tr w14:paraId="427EAC3C">
        <w:tblPrEx/>
        <w:trPr>
          <w:trHeight w:val="1112" w:hRule="atLeast"/>
          <w:jc w:val="center"/>
        </w:trPr>
        <w:tc>
          <w:tcPr>
            <w:tcW w:w="758" w:type="dxa"/>
            <w:tcBorders/>
            <w:shd w:val="clear" w:color="auto" w:fill="auto"/>
            <w:vAlign w:val="center"/>
          </w:tcPr>
          <w:p w14:paraId="3199463F">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26</w:t>
            </w:r>
          </w:p>
        </w:tc>
        <w:tc>
          <w:tcPr>
            <w:tcW w:w="1786" w:type="dxa"/>
            <w:tcBorders/>
            <w:shd w:val="clear" w:color="auto" w:fill="auto"/>
            <w:vAlign w:val="center"/>
          </w:tcPr>
          <w:p w14:paraId="51D5A657">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16BD293A">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多菜单</w:t>
            </w:r>
          </w:p>
        </w:tc>
        <w:tc>
          <w:tcPr>
            <w:tcW w:w="1155" w:type="dxa"/>
            <w:tcBorders/>
            <w:shd w:val="clear" w:color="auto" w:fill="auto"/>
            <w:vAlign w:val="center"/>
          </w:tcPr>
          <w:p w14:paraId="5B5793E5">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2A90CA77">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为便于机房管理，对终端可以设置多菜单条目启动，具备终端菜单条目隐藏功能，隐藏的菜单在终端启动时不显示</w:t>
            </w:r>
          </w:p>
        </w:tc>
      </w:tr>
      <w:tr w14:paraId="4906D537">
        <w:tblPrEx/>
        <w:trPr>
          <w:trHeight w:val="1173" w:hRule="atLeast"/>
          <w:jc w:val="center"/>
        </w:trPr>
        <w:tc>
          <w:tcPr>
            <w:tcW w:w="758" w:type="dxa"/>
            <w:tcBorders/>
            <w:shd w:val="clear" w:color="auto" w:fill="auto"/>
            <w:vAlign w:val="center"/>
          </w:tcPr>
          <w:p w14:paraId="5E237AEC">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27</w:t>
            </w:r>
          </w:p>
        </w:tc>
        <w:tc>
          <w:tcPr>
            <w:tcW w:w="1786" w:type="dxa"/>
            <w:tcBorders/>
            <w:shd w:val="clear" w:color="auto" w:fill="auto"/>
            <w:vAlign w:val="center"/>
          </w:tcPr>
          <w:p w14:paraId="5BB14678">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3FE5DDBD">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桌面环境</w:t>
            </w:r>
          </w:p>
        </w:tc>
        <w:tc>
          <w:tcPr>
            <w:tcW w:w="1155" w:type="dxa"/>
            <w:tcBorders/>
            <w:shd w:val="clear" w:color="auto" w:fill="auto"/>
            <w:vAlign w:val="center"/>
          </w:tcPr>
          <w:p w14:paraId="33DAF832">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7BC1C114">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终端开机后可以提供多种桌面应用环境给用户选择，也可以由管理员在服务端指定桌面环境给特定的终端</w:t>
            </w:r>
          </w:p>
        </w:tc>
      </w:tr>
      <w:tr w14:paraId="095097B1">
        <w:tblPrEx/>
        <w:trPr>
          <w:trHeight w:val="1216" w:hRule="atLeast"/>
          <w:jc w:val="center"/>
        </w:trPr>
        <w:tc>
          <w:tcPr>
            <w:tcW w:w="758" w:type="dxa"/>
            <w:tcBorders/>
            <w:shd w:val="clear" w:color="auto" w:fill="auto"/>
            <w:vAlign w:val="center"/>
          </w:tcPr>
          <w:p w14:paraId="7EB8E034">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28</w:t>
            </w:r>
          </w:p>
        </w:tc>
        <w:tc>
          <w:tcPr>
            <w:tcW w:w="1786" w:type="dxa"/>
            <w:tcBorders/>
            <w:shd w:val="clear" w:color="auto" w:fill="auto"/>
            <w:vAlign w:val="center"/>
          </w:tcPr>
          <w:p w14:paraId="0E9FAE5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6B81C83F">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离线功能</w:t>
            </w:r>
          </w:p>
        </w:tc>
        <w:tc>
          <w:tcPr>
            <w:tcW w:w="1155" w:type="dxa"/>
            <w:tcBorders/>
            <w:shd w:val="clear" w:color="auto" w:fill="auto"/>
            <w:vAlign w:val="center"/>
          </w:tcPr>
          <w:p w14:paraId="7EA26C8A">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141F0174">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支持将</w:t>
            </w:r>
            <w:r>
              <w:rPr>
                <w:rFonts w:ascii="宋体" w:cs="宋体" w:hAnsi="宋体" w:hint="eastAsia"/>
                <w:sz w:val="24"/>
                <w:szCs w:val="24"/>
                <w:highlight w:val="none"/>
                <w:lang w:eastAsia="zh-CN"/>
              </w:rPr>
              <w:t>服务器系统</w:t>
            </w:r>
            <w:r>
              <w:rPr>
                <w:rFonts w:ascii="宋体" w:cs="宋体" w:eastAsia="宋体" w:hAnsi="宋体" w:hint="eastAsia"/>
                <w:sz w:val="24"/>
                <w:szCs w:val="24"/>
                <w:highlight w:val="none"/>
              </w:rPr>
              <w:t>镜像设置为离线使用，最多天数可设定为180天，当每次离线启动时，终端开机画面提示用户剩余启动天数。在客户端程序信息界面也可看到用户剩余启动天数</w:t>
            </w:r>
          </w:p>
        </w:tc>
      </w:tr>
      <w:tr w14:paraId="20EE133B">
        <w:tblPrEx/>
        <w:trPr>
          <w:trHeight w:val="2098" w:hRule="atLeast"/>
          <w:jc w:val="center"/>
        </w:trPr>
        <w:tc>
          <w:tcPr>
            <w:tcW w:w="758" w:type="dxa"/>
            <w:tcBorders/>
            <w:shd w:val="clear" w:color="auto" w:fill="auto"/>
            <w:vAlign w:val="center"/>
          </w:tcPr>
          <w:p w14:paraId="306DF7A1">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29</w:t>
            </w:r>
          </w:p>
        </w:tc>
        <w:tc>
          <w:tcPr>
            <w:tcW w:w="1786" w:type="dxa"/>
            <w:tcBorders/>
            <w:shd w:val="clear" w:color="auto" w:fill="auto"/>
            <w:vAlign w:val="center"/>
          </w:tcPr>
          <w:p w14:paraId="6AF8236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2EA223D2">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增量传输</w:t>
            </w:r>
          </w:p>
        </w:tc>
        <w:tc>
          <w:tcPr>
            <w:tcW w:w="1155" w:type="dxa"/>
            <w:tcBorders/>
            <w:shd w:val="clear" w:color="auto" w:fill="auto"/>
            <w:vAlign w:val="center"/>
          </w:tcPr>
          <w:p w14:paraId="3A551DAB">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71EA185E">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方案支持无限制条件的增量传输功能，无论环境如何变化（还原/不还原模式相互切换），不影响后续环境增量传输，并能在服务端与终端共同体现出来本次是否为增量传输。</w:t>
            </w:r>
          </w:p>
        </w:tc>
      </w:tr>
      <w:tr w14:paraId="37EC78C2">
        <w:tblPrEx/>
        <w:trPr>
          <w:trHeight w:val="2111" w:hRule="atLeast"/>
          <w:jc w:val="center"/>
        </w:trPr>
        <w:tc>
          <w:tcPr>
            <w:tcW w:w="758" w:type="dxa"/>
            <w:tcBorders/>
            <w:shd w:val="clear" w:color="auto" w:fill="auto"/>
            <w:vAlign w:val="center"/>
          </w:tcPr>
          <w:p w14:paraId="52451538">
            <w:pPr>
              <w:pStyle w:val="style0"/>
              <w:spacing w:lineRule="auto" w:line="360"/>
              <w:jc w:val="center"/>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30</w:t>
            </w:r>
          </w:p>
        </w:tc>
        <w:tc>
          <w:tcPr>
            <w:tcW w:w="1786" w:type="dxa"/>
            <w:tcBorders/>
            <w:shd w:val="clear" w:color="auto" w:fill="auto"/>
            <w:vAlign w:val="center"/>
          </w:tcPr>
          <w:p w14:paraId="7A705086">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lang w:val="en-US" w:eastAsia="zh-CN"/>
              </w:rPr>
              <w:t>机房管理系统</w:t>
            </w:r>
          </w:p>
        </w:tc>
        <w:tc>
          <w:tcPr>
            <w:tcW w:w="1356" w:type="dxa"/>
            <w:tcBorders/>
            <w:shd w:val="clear" w:color="auto" w:fill="auto"/>
            <w:vAlign w:val="center"/>
          </w:tcPr>
          <w:p w14:paraId="110C2EF0">
            <w:pPr>
              <w:pStyle w:val="style0"/>
              <w:widowControl/>
              <w:spacing w:lineRule="auto" w:line="360"/>
              <w:jc w:val="center"/>
              <w:rPr>
                <w:rFonts w:ascii="宋体" w:cs="宋体" w:eastAsia="宋体" w:hAnsi="宋体" w:hint="eastAsia"/>
                <w:kern w:val="2"/>
                <w:sz w:val="24"/>
                <w:szCs w:val="24"/>
                <w:highlight w:val="none"/>
                <w:lang w:val="en-US" w:bidi="ar-SA" w:eastAsia="zh-CN"/>
              </w:rPr>
            </w:pPr>
            <w:r>
              <w:rPr>
                <w:rFonts w:ascii="宋体" w:cs="宋体" w:hAnsi="宋体" w:hint="eastAsia"/>
                <w:sz w:val="24"/>
                <w:szCs w:val="24"/>
                <w:highlight w:val="none"/>
                <w:lang w:val="en-US" w:eastAsia="zh-CN"/>
              </w:rPr>
              <w:t>兼容性</w:t>
            </w:r>
          </w:p>
        </w:tc>
        <w:tc>
          <w:tcPr>
            <w:tcW w:w="1155" w:type="dxa"/>
            <w:tcBorders/>
            <w:shd w:val="clear" w:color="auto" w:fill="auto"/>
            <w:vAlign w:val="center"/>
          </w:tcPr>
          <w:p w14:paraId="4BD93218">
            <w:pPr>
              <w:pStyle w:val="style0"/>
              <w:widowControl/>
              <w:spacing w:lineRule="auto" w:line="360"/>
              <w:jc w:val="center"/>
              <w:rPr>
                <w:rFonts w:ascii="宋体" w:cs="宋体" w:eastAsia="宋体" w:hAnsi="宋体" w:hint="eastAsia"/>
                <w:kern w:val="2"/>
                <w:sz w:val="24"/>
                <w:szCs w:val="24"/>
                <w:highlight w:val="none"/>
                <w:lang w:val="en-US" w:bidi="ar-SA" w:eastAsia="zh-CN"/>
              </w:rPr>
            </w:pPr>
          </w:p>
        </w:tc>
        <w:tc>
          <w:tcPr>
            <w:tcW w:w="4529" w:type="dxa"/>
            <w:tcBorders/>
            <w:shd w:val="clear" w:color="auto" w:fill="auto"/>
            <w:vAlign w:val="center"/>
          </w:tcPr>
          <w:p w14:paraId="2A5501E8">
            <w:pPr>
              <w:pStyle w:val="style0"/>
              <w:widowControl/>
              <w:spacing w:lineRule="auto" w:line="360"/>
              <w:jc w:val="left"/>
              <w:rPr>
                <w:rFonts w:ascii="宋体" w:cs="宋体" w:eastAsia="宋体" w:hAnsi="宋体" w:hint="eastAsia"/>
                <w:kern w:val="2"/>
                <w:sz w:val="24"/>
                <w:szCs w:val="24"/>
                <w:highlight w:val="none"/>
                <w:lang w:val="en-US" w:bidi="ar-SA" w:eastAsia="zh-CN"/>
              </w:rPr>
            </w:pPr>
            <w:r>
              <w:rPr>
                <w:rFonts w:ascii="宋体" w:cs="宋体" w:eastAsia="宋体" w:hAnsi="宋体" w:hint="eastAsia"/>
                <w:sz w:val="24"/>
                <w:szCs w:val="24"/>
                <w:highlight w:val="none"/>
              </w:rPr>
              <w:t>为保证系统兼容性和稳定性，要求管理</w:t>
            </w:r>
            <w:r>
              <w:rPr>
                <w:rFonts w:ascii="宋体" w:cs="宋体" w:eastAsia="宋体" w:hAnsi="宋体" w:hint="eastAsia"/>
                <w:sz w:val="24"/>
                <w:szCs w:val="24"/>
                <w:highlight w:val="none"/>
                <w:lang w:val="en-US" w:eastAsia="zh-CN"/>
              </w:rPr>
              <w:t>和设计</w:t>
            </w:r>
            <w:r>
              <w:rPr>
                <w:rFonts w:ascii="宋体" w:cs="宋体" w:eastAsia="宋体" w:hAnsi="宋体" w:hint="eastAsia"/>
                <w:sz w:val="24"/>
                <w:szCs w:val="24"/>
                <w:highlight w:val="none"/>
              </w:rPr>
              <w:t>软件</w:t>
            </w:r>
            <w:r>
              <w:rPr>
                <w:rFonts w:ascii="宋体" w:cs="宋体" w:eastAsia="宋体" w:hAnsi="宋体" w:hint="eastAsia"/>
                <w:sz w:val="24"/>
                <w:szCs w:val="24"/>
                <w:highlight w:val="none"/>
                <w:lang w:val="en-US" w:eastAsia="zh-CN"/>
              </w:rPr>
              <w:t>需要能兼容主流设备（并提供</w:t>
            </w:r>
            <w:r>
              <w:rPr>
                <w:rFonts w:ascii="宋体" w:cs="宋体" w:hAnsi="宋体" w:hint="eastAsia"/>
                <w:sz w:val="24"/>
                <w:szCs w:val="24"/>
                <w:highlight w:val="none"/>
                <w:lang w:val="en-US" w:eastAsia="zh-CN"/>
              </w:rPr>
              <w:t>承诺函</w:t>
            </w:r>
            <w:r>
              <w:rPr>
                <w:rFonts w:ascii="宋体" w:cs="宋体" w:eastAsia="宋体" w:hAnsi="宋体" w:hint="eastAsia"/>
                <w:sz w:val="24"/>
                <w:szCs w:val="24"/>
                <w:highlight w:val="none"/>
                <w:lang w:val="en-US" w:eastAsia="zh-CN"/>
              </w:rPr>
              <w:t>）</w:t>
            </w:r>
          </w:p>
        </w:tc>
      </w:tr>
    </w:tbl>
    <w:p w14:paraId="61974CCB">
      <w:pPr>
        <w:pStyle w:val="style0"/>
        <w:numPr>
          <w:ilvl w:val="0"/>
          <w:numId w:val="0"/>
        </w:numPr>
        <w:spacing w:lineRule="auto" w:line="360"/>
        <w:ind w:firstLine="420" w:firstLineChars="150"/>
        <w:rPr>
          <w:rFonts w:ascii="黑体" w:cs="黑体" w:eastAsia="黑体" w:hAnsi="黑体" w:hint="eastAsia"/>
          <w:sz w:val="28"/>
          <w:szCs w:val="28"/>
        </w:rPr>
      </w:pPr>
      <w:r>
        <w:rPr>
          <w:rFonts w:ascii="黑体" w:cs="黑体" w:eastAsia="黑体" w:hAnsi="黑体" w:hint="eastAsia"/>
          <w:kern w:val="2"/>
          <w:sz w:val="28"/>
          <w:szCs w:val="28"/>
          <w:lang w:val="en-US" w:bidi="ar-SA" w:eastAsia="zh-CN"/>
        </w:rPr>
        <w:t>四、</w:t>
      </w:r>
      <w:r>
        <w:rPr>
          <w:rFonts w:ascii="黑体" w:cs="黑体" w:eastAsia="黑体" w:hAnsi="黑体" w:hint="eastAsia"/>
          <w:sz w:val="28"/>
          <w:szCs w:val="28"/>
        </w:rPr>
        <w:t>商务要求</w:t>
      </w:r>
    </w:p>
    <w:tbl>
      <w:tblPr>
        <w:tblStyle w:val="style105"/>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1"/>
        <w:gridCol w:w="1204"/>
        <w:gridCol w:w="7159"/>
      </w:tblGrid>
      <w:tr w14:paraId="630EE822">
        <w:trPr>
          <w:trHeight w:val="531" w:hRule="atLeast"/>
          <w:tblHeader/>
          <w:jc w:val="center"/>
        </w:trPr>
        <w:tc>
          <w:tcPr>
            <w:tcW w:w="387" w:type="pct"/>
            <w:tcBorders/>
            <w:vAlign w:val="center"/>
          </w:tcPr>
          <w:p w14:paraId="7F171A02">
            <w:pPr>
              <w:pStyle w:val="style0"/>
              <w:autoSpaceDE w:val="false"/>
              <w:autoSpaceDN w:val="false"/>
              <w:adjustRightInd w:val="false"/>
              <w:snapToGrid w:val="false"/>
              <w:spacing w:lineRule="auto" w:line="360"/>
              <w:jc w:val="center"/>
              <w:rPr>
                <w:rFonts w:ascii="宋体" w:cs="宋体" w:eastAsia="宋体" w:hAnsi="宋体" w:hint="eastAsia"/>
                <w:b/>
                <w:bCs/>
                <w:snapToGrid w:val="false"/>
                <w:kern w:val="0"/>
                <w:sz w:val="24"/>
                <w:szCs w:val="24"/>
                <w:highlight w:val="none"/>
                <w:lang w:val="zh-CN"/>
              </w:rPr>
            </w:pPr>
            <w:r>
              <w:rPr>
                <w:rFonts w:ascii="宋体" w:cs="宋体" w:eastAsia="宋体" w:hAnsi="宋体" w:hint="eastAsia"/>
                <w:b/>
                <w:bCs/>
                <w:snapToGrid w:val="false"/>
                <w:kern w:val="0"/>
                <w:sz w:val="24"/>
                <w:szCs w:val="24"/>
                <w:highlight w:val="none"/>
                <w:lang w:val="zh-CN"/>
              </w:rPr>
              <w:t>序号</w:t>
            </w:r>
          </w:p>
        </w:tc>
        <w:tc>
          <w:tcPr>
            <w:tcW w:w="664" w:type="pct"/>
            <w:tcBorders/>
            <w:vAlign w:val="center"/>
          </w:tcPr>
          <w:p w14:paraId="0C65F028">
            <w:pPr>
              <w:pStyle w:val="style0"/>
              <w:autoSpaceDE w:val="false"/>
              <w:autoSpaceDN w:val="false"/>
              <w:adjustRightInd w:val="false"/>
              <w:snapToGrid w:val="false"/>
              <w:spacing w:lineRule="auto" w:line="360"/>
              <w:jc w:val="center"/>
              <w:rPr>
                <w:rFonts w:ascii="宋体" w:cs="宋体" w:eastAsia="宋体" w:hAnsi="宋体" w:hint="eastAsia"/>
                <w:b/>
                <w:bCs/>
                <w:snapToGrid w:val="false"/>
                <w:kern w:val="0"/>
                <w:sz w:val="24"/>
                <w:szCs w:val="24"/>
                <w:highlight w:val="none"/>
              </w:rPr>
            </w:pPr>
            <w:r>
              <w:rPr>
                <w:rFonts w:ascii="宋体" w:cs="宋体" w:eastAsia="宋体" w:hAnsi="宋体" w:hint="eastAsia"/>
                <w:b/>
                <w:bCs/>
                <w:snapToGrid w:val="false"/>
                <w:kern w:val="0"/>
                <w:sz w:val="24"/>
                <w:szCs w:val="24"/>
                <w:highlight w:val="none"/>
              </w:rPr>
              <w:t>指标类型</w:t>
            </w:r>
          </w:p>
        </w:tc>
        <w:tc>
          <w:tcPr>
            <w:tcW w:w="3947" w:type="pct"/>
            <w:tcBorders/>
            <w:vAlign w:val="center"/>
          </w:tcPr>
          <w:p w14:paraId="67222B1A">
            <w:pPr>
              <w:pStyle w:val="style0"/>
              <w:autoSpaceDE w:val="false"/>
              <w:autoSpaceDN w:val="false"/>
              <w:adjustRightInd w:val="false"/>
              <w:snapToGrid w:val="false"/>
              <w:spacing w:lineRule="auto" w:line="360"/>
              <w:jc w:val="center"/>
              <w:rPr>
                <w:rFonts w:ascii="宋体" w:cs="宋体" w:eastAsia="宋体" w:hAnsi="宋体" w:hint="eastAsia"/>
                <w:b/>
                <w:bCs/>
                <w:snapToGrid w:val="false"/>
                <w:kern w:val="0"/>
                <w:sz w:val="24"/>
                <w:szCs w:val="24"/>
                <w:highlight w:val="none"/>
                <w:lang w:val="zh-CN"/>
              </w:rPr>
            </w:pPr>
            <w:r>
              <w:rPr>
                <w:rFonts w:ascii="宋体" w:cs="宋体" w:eastAsia="宋体" w:hAnsi="宋体" w:hint="eastAsia"/>
                <w:b/>
                <w:bCs/>
                <w:snapToGrid w:val="false"/>
                <w:kern w:val="0"/>
                <w:sz w:val="24"/>
                <w:szCs w:val="24"/>
                <w:highlight w:val="none"/>
                <w:lang w:val="zh-CN"/>
              </w:rPr>
              <w:t>指标要求</w:t>
            </w:r>
          </w:p>
        </w:tc>
      </w:tr>
      <w:tr w14:paraId="191CC7AE">
        <w:tblPrEx/>
        <w:trPr>
          <w:trHeight w:val="1129" w:hRule="atLeast"/>
          <w:jc w:val="center"/>
        </w:trPr>
        <w:tc>
          <w:tcPr>
            <w:tcW w:w="387" w:type="pct"/>
            <w:tcBorders/>
            <w:vAlign w:val="center"/>
          </w:tcPr>
          <w:p w14:paraId="201FD157">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1</w:t>
            </w:r>
          </w:p>
        </w:tc>
        <w:tc>
          <w:tcPr>
            <w:tcW w:w="664" w:type="pct"/>
            <w:tcBorders/>
            <w:vAlign w:val="center"/>
          </w:tcPr>
          <w:p w14:paraId="5D017D40">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交付要求</w:t>
            </w:r>
          </w:p>
        </w:tc>
        <w:tc>
          <w:tcPr>
            <w:tcW w:w="3947" w:type="pct"/>
            <w:tcBorders/>
            <w:vAlign w:val="center"/>
          </w:tcPr>
          <w:p w14:paraId="17B14D5A">
            <w:pPr>
              <w:pStyle w:val="style0"/>
              <w:autoSpaceDE w:val="false"/>
              <w:autoSpaceDN w:val="false"/>
              <w:adjustRightInd w:val="false"/>
              <w:snapToGrid w:val="false"/>
              <w:spacing w:lineRule="auto" w:line="360"/>
              <w:rPr>
                <w:rFonts w:ascii="宋体" w:cs="宋体" w:eastAsia="宋体" w:hAnsi="宋体" w:hint="eastAsia"/>
                <w:snapToGrid w:val="false"/>
                <w:kern w:val="0"/>
                <w:sz w:val="24"/>
                <w:szCs w:val="24"/>
                <w:highlight w:val="none"/>
                <w:lang w:val="en-US" w:eastAsia="zh-CN"/>
              </w:rPr>
            </w:pPr>
            <w:r>
              <w:rPr>
                <w:rFonts w:ascii="宋体" w:cs="宋体" w:eastAsia="宋体" w:hAnsi="宋体" w:hint="eastAsia"/>
                <w:sz w:val="24"/>
                <w:szCs w:val="24"/>
                <w:highlight w:val="none"/>
              </w:rPr>
              <w:t>交付（实施）的时间：中标后15～20个工作日内，进行交付，工期控制15天内。服务期</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验收后3～5年</w:t>
            </w:r>
          </w:p>
        </w:tc>
      </w:tr>
      <w:tr w14:paraId="4C2D62D4">
        <w:tblPrEx/>
        <w:trPr>
          <w:trHeight w:val="1020" w:hRule="atLeast"/>
          <w:jc w:val="center"/>
        </w:trPr>
        <w:tc>
          <w:tcPr>
            <w:tcW w:w="387" w:type="pct"/>
            <w:tcBorders/>
            <w:vAlign w:val="center"/>
          </w:tcPr>
          <w:p w14:paraId="370140D6">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2</w:t>
            </w:r>
          </w:p>
        </w:tc>
        <w:tc>
          <w:tcPr>
            <w:tcW w:w="664" w:type="pct"/>
            <w:tcBorders/>
            <w:vAlign w:val="center"/>
          </w:tcPr>
          <w:p w14:paraId="09C3680A">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交付要求</w:t>
            </w:r>
          </w:p>
        </w:tc>
        <w:tc>
          <w:tcPr>
            <w:tcW w:w="3947" w:type="pct"/>
            <w:tcBorders/>
            <w:vAlign w:val="center"/>
          </w:tcPr>
          <w:p w14:paraId="45E48E5B">
            <w:pPr>
              <w:pStyle w:val="style0"/>
              <w:autoSpaceDE w:val="false"/>
              <w:autoSpaceDN w:val="false"/>
              <w:adjustRightInd w:val="false"/>
              <w:snapToGrid w:val="false"/>
              <w:spacing w:lineRule="auto" w:line="360"/>
              <w:rPr>
                <w:rFonts w:ascii="宋体" w:cs="宋体" w:eastAsia="宋体" w:hAnsi="宋体" w:hint="eastAsia"/>
                <w:sz w:val="24"/>
                <w:szCs w:val="24"/>
                <w:highlight w:val="none"/>
                <w:lang w:val="en-US" w:eastAsia="zh-CN"/>
              </w:rPr>
            </w:pPr>
            <w:r>
              <w:rPr>
                <w:rFonts w:ascii="宋体" w:cs="宋体" w:eastAsia="宋体" w:hAnsi="宋体" w:hint="eastAsia"/>
                <w:sz w:val="24"/>
                <w:szCs w:val="24"/>
                <w:highlight w:val="none"/>
                <w:lang w:val="en-US" w:eastAsia="zh-CN"/>
              </w:rPr>
              <w:t>河南省平顶山市新城区龙翔大道文管校区1#楼522教室</w:t>
            </w:r>
          </w:p>
        </w:tc>
      </w:tr>
      <w:tr w14:paraId="407D8A53">
        <w:tblPrEx/>
        <w:trPr>
          <w:trHeight w:val="1020" w:hRule="atLeast"/>
          <w:jc w:val="center"/>
        </w:trPr>
        <w:tc>
          <w:tcPr>
            <w:tcW w:w="387" w:type="pct"/>
            <w:tcBorders/>
            <w:vAlign w:val="center"/>
          </w:tcPr>
          <w:p w14:paraId="29A98325">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3</w:t>
            </w:r>
          </w:p>
        </w:tc>
        <w:tc>
          <w:tcPr>
            <w:tcW w:w="664" w:type="pct"/>
            <w:tcBorders/>
            <w:vAlign w:val="center"/>
          </w:tcPr>
          <w:p w14:paraId="53438BD5">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付款方式</w:t>
            </w:r>
          </w:p>
        </w:tc>
        <w:tc>
          <w:tcPr>
            <w:tcW w:w="3947" w:type="pct"/>
            <w:tcBorders/>
            <w:vAlign w:val="center"/>
          </w:tcPr>
          <w:p w14:paraId="0CF21D50">
            <w:pPr>
              <w:pStyle w:val="style0"/>
              <w:autoSpaceDE w:val="false"/>
              <w:autoSpaceDN w:val="false"/>
              <w:adjustRightInd w:val="false"/>
              <w:snapToGrid w:val="false"/>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合同签订后项目验收合格后30日内支付</w:t>
            </w:r>
            <w:r>
              <w:rPr>
                <w:rFonts w:ascii="宋体" w:cs="宋体" w:eastAsia="宋体" w:hAnsi="宋体" w:hint="eastAsia"/>
                <w:sz w:val="24"/>
                <w:szCs w:val="24"/>
                <w:highlight w:val="none"/>
                <w:lang w:val="en-US" w:eastAsia="zh-CN"/>
              </w:rPr>
              <w:t>10</w:t>
            </w:r>
            <w:r>
              <w:rPr>
                <w:rFonts w:ascii="宋体" w:cs="宋体" w:eastAsia="宋体" w:hAnsi="宋体" w:hint="eastAsia"/>
                <w:sz w:val="24"/>
                <w:szCs w:val="24"/>
                <w:highlight w:val="none"/>
              </w:rPr>
              <w:t>0%。</w:t>
            </w:r>
          </w:p>
        </w:tc>
      </w:tr>
      <w:tr w14:paraId="71B14823">
        <w:tblPrEx/>
        <w:trPr>
          <w:trHeight w:val="1020" w:hRule="atLeast"/>
          <w:jc w:val="center"/>
        </w:trPr>
        <w:tc>
          <w:tcPr>
            <w:tcW w:w="387" w:type="pct"/>
            <w:tcBorders/>
            <w:vAlign w:val="center"/>
          </w:tcPr>
          <w:p w14:paraId="18B5EDD5">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4</w:t>
            </w:r>
          </w:p>
        </w:tc>
        <w:tc>
          <w:tcPr>
            <w:tcW w:w="664" w:type="pct"/>
            <w:tcBorders/>
            <w:vAlign w:val="center"/>
          </w:tcPr>
          <w:p w14:paraId="6077C827">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lang w:val="zh-CN"/>
              </w:rPr>
              <w:t>售后服务</w:t>
            </w:r>
            <w:r>
              <w:rPr>
                <w:rFonts w:ascii="宋体" w:cs="宋体" w:eastAsia="宋体" w:hAnsi="宋体" w:hint="eastAsia"/>
                <w:snapToGrid w:val="false"/>
                <w:kern w:val="0"/>
                <w:sz w:val="24"/>
                <w:szCs w:val="24"/>
                <w:highlight w:val="none"/>
              </w:rPr>
              <w:t>要求</w:t>
            </w:r>
          </w:p>
        </w:tc>
        <w:tc>
          <w:tcPr>
            <w:tcW w:w="3947" w:type="pct"/>
            <w:tcBorders/>
            <w:vAlign w:val="center"/>
          </w:tcPr>
          <w:p w14:paraId="55C76CD0">
            <w:pPr>
              <w:pStyle w:val="style0"/>
              <w:widowControl/>
              <w:snapToGrid w:val="false"/>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 xml:space="preserve">电话报修后1小时上门服务、12小时内排除故障。提供产品 3 年维保及上门服务（满足同城4 小时、异地12 小时响应要求）； 2）提供政企专线 7*24 在线服务； </w:t>
            </w:r>
          </w:p>
          <w:p w14:paraId="668B5226">
            <w:pPr>
              <w:pStyle w:val="style0"/>
              <w:widowControl/>
              <w:snapToGrid w:val="false"/>
              <w:spacing w:lineRule="auto" w:line="360"/>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3）现场保障技术服务团队员，国内上门服务地级市覆盖率达 100%</w:t>
            </w:r>
          </w:p>
        </w:tc>
      </w:tr>
      <w:tr w14:paraId="79B09592">
        <w:tblPrEx/>
        <w:trPr>
          <w:trHeight w:val="1020" w:hRule="atLeast"/>
          <w:jc w:val="center"/>
        </w:trPr>
        <w:tc>
          <w:tcPr>
            <w:tcW w:w="387" w:type="pct"/>
            <w:tcBorders/>
            <w:vAlign w:val="center"/>
          </w:tcPr>
          <w:p w14:paraId="2D79977E">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5</w:t>
            </w:r>
          </w:p>
        </w:tc>
        <w:tc>
          <w:tcPr>
            <w:tcW w:w="664" w:type="pct"/>
            <w:tcBorders/>
            <w:vAlign w:val="center"/>
          </w:tcPr>
          <w:p w14:paraId="27203D8E">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售后服务</w:t>
            </w:r>
            <w:r>
              <w:rPr>
                <w:rFonts w:ascii="宋体" w:cs="宋体" w:eastAsia="宋体" w:hAnsi="宋体" w:hint="eastAsia"/>
                <w:snapToGrid w:val="false"/>
                <w:kern w:val="0"/>
                <w:sz w:val="24"/>
                <w:szCs w:val="24"/>
                <w:highlight w:val="none"/>
              </w:rPr>
              <w:t>要求</w:t>
            </w:r>
          </w:p>
        </w:tc>
        <w:tc>
          <w:tcPr>
            <w:tcW w:w="3947" w:type="pct"/>
            <w:tcBorders/>
            <w:vAlign w:val="center"/>
          </w:tcPr>
          <w:p w14:paraId="1702EFA7">
            <w:pPr>
              <w:pStyle w:val="style0"/>
              <w:autoSpaceDE w:val="false"/>
              <w:autoSpaceDN w:val="false"/>
              <w:adjustRightInd w:val="false"/>
              <w:snapToGrid w:val="false"/>
              <w:spacing w:lineRule="auto" w:line="360"/>
              <w:rPr>
                <w:rFonts w:ascii="宋体" w:cs="宋体" w:eastAsia="宋体" w:hAnsi="宋体" w:hint="eastAsia"/>
                <w:sz w:val="24"/>
                <w:szCs w:val="24"/>
                <w:highlight w:val="none"/>
              </w:rPr>
            </w:pPr>
            <w:r>
              <w:rPr>
                <w:rFonts w:ascii="宋体" w:cs="宋体" w:eastAsia="宋体" w:hAnsi="宋体" w:hint="eastAsia"/>
                <w:snapToGrid w:val="false"/>
                <w:kern w:val="0"/>
                <w:sz w:val="24"/>
                <w:szCs w:val="24"/>
                <w:highlight w:val="none"/>
                <w:lang w:val="zh-CN"/>
              </w:rPr>
              <w:t>所有硬件</w:t>
            </w:r>
            <w:r>
              <w:rPr>
                <w:rFonts w:ascii="宋体" w:cs="宋体" w:eastAsia="宋体" w:hAnsi="宋体" w:hint="eastAsia"/>
                <w:snapToGrid w:val="false"/>
                <w:kern w:val="0"/>
                <w:sz w:val="24"/>
                <w:szCs w:val="24"/>
                <w:highlight w:val="none"/>
              </w:rPr>
              <w:t>3</w:t>
            </w:r>
            <w:r>
              <w:rPr>
                <w:rFonts w:ascii="宋体" w:cs="宋体" w:eastAsia="宋体" w:hAnsi="宋体" w:hint="eastAsia"/>
                <w:snapToGrid w:val="false"/>
                <w:kern w:val="0"/>
                <w:sz w:val="24"/>
                <w:szCs w:val="24"/>
                <w:highlight w:val="none"/>
                <w:lang w:val="zh-CN"/>
              </w:rPr>
              <w:t>年免费保修、所有软件</w:t>
            </w:r>
            <w:r>
              <w:rPr>
                <w:rFonts w:ascii="宋体" w:cs="宋体" w:eastAsia="宋体" w:hAnsi="宋体" w:hint="eastAsia"/>
                <w:snapToGrid w:val="false"/>
                <w:kern w:val="0"/>
                <w:sz w:val="24"/>
                <w:szCs w:val="24"/>
                <w:highlight w:val="none"/>
              </w:rPr>
              <w:t>3</w:t>
            </w:r>
            <w:r>
              <w:rPr>
                <w:rFonts w:ascii="宋体" w:cs="宋体" w:eastAsia="宋体" w:hAnsi="宋体" w:hint="eastAsia"/>
                <w:snapToGrid w:val="false"/>
                <w:kern w:val="0"/>
                <w:sz w:val="24"/>
                <w:szCs w:val="24"/>
                <w:highlight w:val="none"/>
                <w:lang w:val="zh-CN"/>
              </w:rPr>
              <w:t>年免费保修升级。</w:t>
            </w:r>
          </w:p>
        </w:tc>
      </w:tr>
      <w:tr w14:paraId="478C6391">
        <w:tblPrEx/>
        <w:trPr>
          <w:trHeight w:val="1020" w:hRule="atLeast"/>
          <w:jc w:val="center"/>
        </w:trPr>
        <w:tc>
          <w:tcPr>
            <w:tcW w:w="387" w:type="pct"/>
            <w:tcBorders/>
            <w:vAlign w:val="center"/>
          </w:tcPr>
          <w:p w14:paraId="220F36DD">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6</w:t>
            </w:r>
          </w:p>
        </w:tc>
        <w:tc>
          <w:tcPr>
            <w:tcW w:w="664" w:type="pct"/>
            <w:tcBorders/>
            <w:vAlign w:val="center"/>
          </w:tcPr>
          <w:p w14:paraId="16320F56">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售后服务</w:t>
            </w:r>
            <w:r>
              <w:rPr>
                <w:rFonts w:ascii="宋体" w:cs="宋体" w:eastAsia="宋体" w:hAnsi="宋体" w:hint="eastAsia"/>
                <w:snapToGrid w:val="false"/>
                <w:kern w:val="0"/>
                <w:sz w:val="24"/>
                <w:szCs w:val="24"/>
                <w:highlight w:val="none"/>
              </w:rPr>
              <w:t>要求</w:t>
            </w:r>
          </w:p>
        </w:tc>
        <w:tc>
          <w:tcPr>
            <w:tcW w:w="3947" w:type="pct"/>
            <w:tcBorders/>
            <w:vAlign w:val="center"/>
          </w:tcPr>
          <w:p w14:paraId="3362A8C3">
            <w:pPr>
              <w:pStyle w:val="style0"/>
              <w:widowControl/>
              <w:autoSpaceDE w:val="false"/>
              <w:autoSpaceDN w:val="false"/>
              <w:adjustRightInd w:val="false"/>
              <w:snapToGrid w:val="false"/>
              <w:spacing w:lineRule="auto" w:line="360"/>
              <w:rPr>
                <w:rFonts w:ascii="宋体" w:cs="宋体" w:eastAsia="宋体" w:hAnsi="宋体" w:hint="eastAsia"/>
                <w:sz w:val="24"/>
                <w:szCs w:val="24"/>
                <w:highlight w:val="none"/>
              </w:rPr>
            </w:pPr>
            <w:r>
              <w:rPr>
                <w:rFonts w:ascii="宋体" w:cs="宋体" w:eastAsia="宋体" w:hAnsi="宋体" w:hint="eastAsia"/>
                <w:snapToGrid w:val="false"/>
                <w:kern w:val="0"/>
                <w:sz w:val="24"/>
                <w:szCs w:val="24"/>
                <w:highlight w:val="none"/>
                <w:lang w:val="zh-CN"/>
              </w:rPr>
              <w:t>所有硬件过</w:t>
            </w:r>
            <w:r>
              <w:rPr>
                <w:rFonts w:ascii="宋体" w:cs="宋体" w:eastAsia="宋体" w:hAnsi="宋体" w:hint="eastAsia"/>
                <w:snapToGrid w:val="false"/>
                <w:kern w:val="0"/>
                <w:sz w:val="24"/>
                <w:szCs w:val="24"/>
                <w:highlight w:val="none"/>
              </w:rPr>
              <w:t>3</w:t>
            </w:r>
            <w:r>
              <w:rPr>
                <w:rFonts w:ascii="宋体" w:cs="宋体" w:eastAsia="宋体" w:hAnsi="宋体" w:hint="eastAsia"/>
                <w:snapToGrid w:val="false"/>
                <w:kern w:val="0"/>
                <w:sz w:val="24"/>
                <w:szCs w:val="24"/>
                <w:highlight w:val="none"/>
                <w:lang w:val="zh-CN"/>
              </w:rPr>
              <w:t>年免费保修期后按原价维修（按投标货物价格数量表所列价格，更换零部件的按合同签订时的零部件价格）、所有软件过</w:t>
            </w:r>
            <w:r>
              <w:rPr>
                <w:rFonts w:ascii="宋体" w:cs="宋体" w:eastAsia="宋体" w:hAnsi="宋体" w:hint="eastAsia"/>
                <w:snapToGrid w:val="false"/>
                <w:kern w:val="0"/>
                <w:sz w:val="24"/>
                <w:szCs w:val="24"/>
                <w:highlight w:val="none"/>
              </w:rPr>
              <w:t>3</w:t>
            </w:r>
            <w:r>
              <w:rPr>
                <w:rFonts w:ascii="宋体" w:cs="宋体" w:eastAsia="宋体" w:hAnsi="宋体" w:hint="eastAsia"/>
                <w:snapToGrid w:val="false"/>
                <w:kern w:val="0"/>
                <w:sz w:val="24"/>
                <w:szCs w:val="24"/>
                <w:highlight w:val="none"/>
                <w:lang w:val="zh-CN"/>
              </w:rPr>
              <w:t>年免费保修升级期</w:t>
            </w:r>
            <w:r>
              <w:rPr>
                <w:rFonts w:ascii="宋体" w:cs="宋体" w:eastAsia="宋体" w:hAnsi="宋体" w:hint="eastAsia"/>
                <w:snapToGrid w:val="false"/>
                <w:kern w:val="0"/>
                <w:sz w:val="24"/>
                <w:szCs w:val="24"/>
                <w:highlight w:val="none"/>
              </w:rPr>
              <w:t>后</w:t>
            </w:r>
            <w:r>
              <w:rPr>
                <w:rFonts w:ascii="宋体" w:cs="宋体" w:eastAsia="宋体" w:hAnsi="宋体" w:hint="eastAsia"/>
                <w:snapToGrid w:val="false"/>
                <w:kern w:val="0"/>
                <w:sz w:val="24"/>
                <w:szCs w:val="24"/>
                <w:highlight w:val="none"/>
                <w:lang w:val="zh-CN"/>
              </w:rPr>
              <w:t>按原价进行维修升级，响应速度同保修期响应速度。</w:t>
            </w:r>
          </w:p>
        </w:tc>
      </w:tr>
      <w:tr w14:paraId="517C8B98">
        <w:tblPrEx/>
        <w:trPr>
          <w:trHeight w:val="1020" w:hRule="atLeast"/>
          <w:jc w:val="center"/>
        </w:trPr>
        <w:tc>
          <w:tcPr>
            <w:tcW w:w="387" w:type="pct"/>
            <w:tcBorders/>
            <w:vAlign w:val="center"/>
          </w:tcPr>
          <w:p w14:paraId="5B866027">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7</w:t>
            </w:r>
          </w:p>
        </w:tc>
        <w:tc>
          <w:tcPr>
            <w:tcW w:w="664" w:type="pct"/>
            <w:tcBorders/>
            <w:vAlign w:val="center"/>
          </w:tcPr>
          <w:p w14:paraId="045E360E">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售后服务</w:t>
            </w:r>
            <w:r>
              <w:rPr>
                <w:rFonts w:ascii="宋体" w:cs="宋体" w:eastAsia="宋体" w:hAnsi="宋体" w:hint="eastAsia"/>
                <w:snapToGrid w:val="false"/>
                <w:kern w:val="0"/>
                <w:sz w:val="24"/>
                <w:szCs w:val="24"/>
                <w:highlight w:val="none"/>
              </w:rPr>
              <w:t>要求</w:t>
            </w:r>
          </w:p>
        </w:tc>
        <w:tc>
          <w:tcPr>
            <w:tcW w:w="3947" w:type="pct"/>
            <w:tcBorders/>
            <w:vAlign w:val="center"/>
          </w:tcPr>
          <w:p w14:paraId="0747FCB2">
            <w:pPr>
              <w:pStyle w:val="style0"/>
              <w:widowControl/>
              <w:snapToGrid w:val="false"/>
              <w:spacing w:lineRule="auto" w:line="360"/>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供应商提供培训材料、产品手册、培训视频等培训相关内容</w:t>
            </w:r>
          </w:p>
        </w:tc>
      </w:tr>
      <w:tr w14:paraId="67DEDB04">
        <w:tblPrEx/>
        <w:trPr>
          <w:trHeight w:val="1020" w:hRule="atLeast"/>
          <w:jc w:val="center"/>
        </w:trPr>
        <w:tc>
          <w:tcPr>
            <w:tcW w:w="387" w:type="pct"/>
            <w:tcBorders/>
            <w:vAlign w:val="center"/>
          </w:tcPr>
          <w:p w14:paraId="7FC5EB1F">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8</w:t>
            </w:r>
          </w:p>
        </w:tc>
        <w:tc>
          <w:tcPr>
            <w:tcW w:w="664" w:type="pct"/>
            <w:tcBorders/>
            <w:vAlign w:val="center"/>
          </w:tcPr>
          <w:p w14:paraId="22B6A48A">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售后服务</w:t>
            </w:r>
            <w:r>
              <w:rPr>
                <w:rFonts w:ascii="宋体" w:cs="宋体" w:eastAsia="宋体" w:hAnsi="宋体" w:hint="eastAsia"/>
                <w:snapToGrid w:val="false"/>
                <w:kern w:val="0"/>
                <w:sz w:val="24"/>
                <w:szCs w:val="24"/>
                <w:highlight w:val="none"/>
              </w:rPr>
              <w:t>要求</w:t>
            </w:r>
          </w:p>
        </w:tc>
        <w:tc>
          <w:tcPr>
            <w:tcW w:w="3947" w:type="pct"/>
            <w:tcBorders/>
            <w:vAlign w:val="center"/>
          </w:tcPr>
          <w:p w14:paraId="0DDB1838">
            <w:pPr>
              <w:pStyle w:val="style0"/>
              <w:widowControl/>
              <w:snapToGrid w:val="false"/>
              <w:spacing w:lineRule="auto" w:line="360"/>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供应商提供典型问题解决说明文档或视频</w:t>
            </w:r>
          </w:p>
        </w:tc>
      </w:tr>
      <w:tr w14:paraId="4D6D66BF">
        <w:tblPrEx/>
        <w:trPr>
          <w:trHeight w:val="832" w:hRule="atLeast"/>
          <w:jc w:val="center"/>
        </w:trPr>
        <w:tc>
          <w:tcPr>
            <w:tcW w:w="387" w:type="pct"/>
            <w:tcBorders/>
            <w:vAlign w:val="center"/>
          </w:tcPr>
          <w:p w14:paraId="20498574">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9</w:t>
            </w:r>
          </w:p>
        </w:tc>
        <w:tc>
          <w:tcPr>
            <w:tcW w:w="664" w:type="pct"/>
            <w:tcBorders/>
            <w:vAlign w:val="center"/>
          </w:tcPr>
          <w:p w14:paraId="28ADD43E">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售后服务</w:t>
            </w:r>
            <w:r>
              <w:rPr>
                <w:rFonts w:ascii="宋体" w:cs="宋体" w:eastAsia="宋体" w:hAnsi="宋体" w:hint="eastAsia"/>
                <w:snapToGrid w:val="false"/>
                <w:kern w:val="0"/>
                <w:sz w:val="24"/>
                <w:szCs w:val="24"/>
                <w:highlight w:val="none"/>
              </w:rPr>
              <w:t>要求</w:t>
            </w:r>
          </w:p>
        </w:tc>
        <w:tc>
          <w:tcPr>
            <w:tcW w:w="3947" w:type="pct"/>
            <w:tcBorders/>
            <w:vAlign w:val="center"/>
          </w:tcPr>
          <w:p w14:paraId="7D73CD11">
            <w:pPr>
              <w:pStyle w:val="style0"/>
              <w:widowControl/>
              <w:snapToGrid w:val="false"/>
              <w:spacing w:lineRule="auto" w:line="360"/>
              <w:rPr>
                <w:rFonts w:ascii="宋体" w:cs="宋体" w:eastAsia="宋体" w:hAnsi="宋体" w:hint="eastAsia"/>
                <w:sz w:val="24"/>
                <w:szCs w:val="24"/>
                <w:highlight w:val="none"/>
              </w:rPr>
            </w:pPr>
            <w:r>
              <w:rPr>
                <w:rFonts w:ascii="宋体" w:cs="宋体" w:eastAsia="宋体" w:hAnsi="宋体" w:hint="eastAsia"/>
                <w:sz w:val="24"/>
                <w:szCs w:val="24"/>
                <w:highlight w:val="none"/>
              </w:rPr>
              <w:t>供应商提供开箱组装/使用指导</w:t>
            </w:r>
          </w:p>
        </w:tc>
      </w:tr>
      <w:tr w14:paraId="42B89B96">
        <w:tblPrEx/>
        <w:trPr>
          <w:trHeight w:val="642" w:hRule="atLeast"/>
          <w:jc w:val="center"/>
        </w:trPr>
        <w:tc>
          <w:tcPr>
            <w:tcW w:w="387" w:type="pct"/>
            <w:tcBorders/>
            <w:vAlign w:val="center"/>
          </w:tcPr>
          <w:p w14:paraId="1590F563">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10</w:t>
            </w:r>
          </w:p>
        </w:tc>
        <w:tc>
          <w:tcPr>
            <w:tcW w:w="664" w:type="pct"/>
            <w:tcBorders/>
            <w:vAlign w:val="center"/>
          </w:tcPr>
          <w:p w14:paraId="345F5FC2">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验收标准</w:t>
            </w:r>
          </w:p>
        </w:tc>
        <w:tc>
          <w:tcPr>
            <w:tcW w:w="3947" w:type="pct"/>
            <w:tcBorders/>
            <w:vAlign w:val="center"/>
          </w:tcPr>
          <w:p w14:paraId="39C12957">
            <w:pPr>
              <w:pStyle w:val="style0"/>
              <w:widowControl/>
              <w:autoSpaceDE w:val="false"/>
              <w:autoSpaceDN w:val="false"/>
              <w:adjustRightInd w:val="false"/>
              <w:snapToGrid w:val="false"/>
              <w:spacing w:lineRule="auto" w:line="360"/>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lang w:val="zh-CN"/>
              </w:rPr>
              <w:t>无划痕、变形，配件齐全。</w:t>
            </w:r>
          </w:p>
        </w:tc>
      </w:tr>
      <w:tr w14:paraId="5CEBD230">
        <w:tblPrEx/>
        <w:trPr>
          <w:trHeight w:val="778" w:hRule="atLeast"/>
          <w:jc w:val="center"/>
        </w:trPr>
        <w:tc>
          <w:tcPr>
            <w:tcW w:w="387" w:type="pct"/>
            <w:tcBorders/>
            <w:vAlign w:val="center"/>
          </w:tcPr>
          <w:p w14:paraId="18393B2C">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11</w:t>
            </w:r>
          </w:p>
        </w:tc>
        <w:tc>
          <w:tcPr>
            <w:tcW w:w="664" w:type="pct"/>
            <w:tcBorders/>
            <w:vAlign w:val="center"/>
          </w:tcPr>
          <w:p w14:paraId="2E1FD9A0">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验收标准</w:t>
            </w:r>
          </w:p>
        </w:tc>
        <w:tc>
          <w:tcPr>
            <w:tcW w:w="3947" w:type="pct"/>
            <w:tcBorders/>
            <w:vAlign w:val="center"/>
          </w:tcPr>
          <w:p w14:paraId="7CD478C7">
            <w:pPr>
              <w:pStyle w:val="style0"/>
              <w:widowControl/>
              <w:autoSpaceDE w:val="false"/>
              <w:autoSpaceDN w:val="false"/>
              <w:adjustRightInd w:val="false"/>
              <w:snapToGrid w:val="false"/>
              <w:spacing w:lineRule="auto" w:line="360"/>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lang w:val="zh-CN"/>
              </w:rPr>
              <w:t>随机抽取10%设备</w:t>
            </w:r>
            <w:r>
              <w:rPr>
                <w:rFonts w:ascii="宋体" w:cs="宋体" w:eastAsia="宋体" w:hAnsi="宋体" w:hint="eastAsia"/>
                <w:snapToGrid w:val="false"/>
                <w:kern w:val="0"/>
                <w:sz w:val="24"/>
                <w:szCs w:val="24"/>
                <w:highlight w:val="none"/>
              </w:rPr>
              <w:t>通过</w:t>
            </w:r>
            <w:r>
              <w:rPr>
                <w:rFonts w:ascii="宋体" w:cs="宋体" w:eastAsia="宋体" w:hAnsi="宋体" w:hint="eastAsia"/>
                <w:snapToGrid w:val="false"/>
                <w:kern w:val="0"/>
                <w:sz w:val="24"/>
                <w:szCs w:val="24"/>
                <w:highlight w:val="none"/>
                <w:lang w:val="zh-CN"/>
              </w:rPr>
              <w:t>压力测试（连续运行48小时无故障）</w:t>
            </w:r>
            <w:r>
              <w:rPr>
                <w:rFonts w:ascii="宋体" w:cs="宋体" w:eastAsia="宋体" w:hAnsi="宋体" w:hint="eastAsia"/>
                <w:snapToGrid w:val="false"/>
                <w:kern w:val="0"/>
                <w:sz w:val="24"/>
                <w:szCs w:val="24"/>
                <w:highlight w:val="none"/>
              </w:rPr>
              <w:t>或达到全部性能要求</w:t>
            </w:r>
          </w:p>
        </w:tc>
      </w:tr>
      <w:tr w14:paraId="5112DF65">
        <w:tblPrEx/>
        <w:trPr>
          <w:trHeight w:val="1020" w:hRule="atLeast"/>
          <w:jc w:val="center"/>
        </w:trPr>
        <w:tc>
          <w:tcPr>
            <w:tcW w:w="387" w:type="pct"/>
            <w:tcBorders/>
            <w:vAlign w:val="center"/>
          </w:tcPr>
          <w:p w14:paraId="3195FB19">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12</w:t>
            </w:r>
          </w:p>
        </w:tc>
        <w:tc>
          <w:tcPr>
            <w:tcW w:w="664" w:type="pct"/>
            <w:tcBorders/>
            <w:vAlign w:val="center"/>
          </w:tcPr>
          <w:p w14:paraId="010EFBA2">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lang w:val="zh-CN"/>
              </w:rPr>
              <w:t>验收标准</w:t>
            </w:r>
          </w:p>
        </w:tc>
        <w:tc>
          <w:tcPr>
            <w:tcW w:w="3947" w:type="pct"/>
            <w:tcBorders/>
            <w:vAlign w:val="center"/>
          </w:tcPr>
          <w:p w14:paraId="1D9497EA">
            <w:pPr>
              <w:pStyle w:val="style0"/>
              <w:widowControl/>
              <w:autoSpaceDE w:val="false"/>
              <w:autoSpaceDN w:val="false"/>
              <w:adjustRightInd w:val="false"/>
              <w:snapToGrid w:val="false"/>
              <w:spacing w:lineRule="auto" w:line="360"/>
              <w:rPr>
                <w:rFonts w:ascii="宋体" w:cs="宋体" w:eastAsia="宋体" w:hAnsi="宋体" w:hint="eastAsia"/>
                <w:snapToGrid w:val="false"/>
                <w:kern w:val="0"/>
                <w:sz w:val="24"/>
                <w:szCs w:val="24"/>
                <w:highlight w:val="none"/>
                <w:lang w:val="zh-CN"/>
              </w:rPr>
            </w:pPr>
            <w:r>
              <w:rPr>
                <w:rFonts w:ascii="宋体" w:cs="宋体" w:eastAsia="宋体" w:hAnsi="宋体" w:hint="eastAsia"/>
                <w:snapToGrid w:val="false"/>
                <w:kern w:val="0"/>
                <w:sz w:val="24"/>
                <w:szCs w:val="24"/>
                <w:highlight w:val="none"/>
              </w:rPr>
              <w:t>提供完整出厂证明、保修卡及合规证书。</w:t>
            </w:r>
          </w:p>
        </w:tc>
      </w:tr>
      <w:tr w14:paraId="3F22E89B">
        <w:tblPrEx/>
        <w:trPr>
          <w:trHeight w:val="1020" w:hRule="atLeast"/>
          <w:jc w:val="center"/>
        </w:trPr>
        <w:tc>
          <w:tcPr>
            <w:tcW w:w="387" w:type="pct"/>
            <w:tcBorders/>
            <w:vAlign w:val="center"/>
          </w:tcPr>
          <w:p w14:paraId="40CED30E">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13</w:t>
            </w:r>
          </w:p>
        </w:tc>
        <w:tc>
          <w:tcPr>
            <w:tcW w:w="664" w:type="pct"/>
            <w:tcBorders/>
            <w:vAlign w:val="center"/>
          </w:tcPr>
          <w:p w14:paraId="5472EB03">
            <w:pPr>
              <w:pStyle w:val="style0"/>
              <w:widowControl/>
              <w:snapToGrid w:val="false"/>
              <w:spacing w:lineRule="auto" w:line="360"/>
              <w:jc w:val="center"/>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供应保障要求</w:t>
            </w:r>
          </w:p>
        </w:tc>
        <w:tc>
          <w:tcPr>
            <w:tcW w:w="3947" w:type="pct"/>
            <w:tcBorders/>
            <w:vAlign w:val="center"/>
          </w:tcPr>
          <w:p w14:paraId="116A72FA">
            <w:pPr>
              <w:pStyle w:val="style0"/>
              <w:widowControl/>
              <w:snapToGrid w:val="false"/>
              <w:spacing w:lineRule="auto" w:line="360"/>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主要部件提供6年的备件服务能力</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自购买之日起</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rPr>
              <w:t>，或提供可兼容原设备的升级换代产品</w:t>
            </w:r>
          </w:p>
        </w:tc>
      </w:tr>
      <w:tr w14:paraId="76E79060">
        <w:tblPrEx/>
        <w:trPr>
          <w:trHeight w:val="1020" w:hRule="atLeast"/>
          <w:jc w:val="center"/>
        </w:trPr>
        <w:tc>
          <w:tcPr>
            <w:tcW w:w="387" w:type="pct"/>
            <w:tcBorders/>
            <w:vAlign w:val="center"/>
          </w:tcPr>
          <w:p w14:paraId="2E52FE90">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14</w:t>
            </w:r>
          </w:p>
        </w:tc>
        <w:tc>
          <w:tcPr>
            <w:tcW w:w="664" w:type="pct"/>
            <w:tcBorders/>
            <w:vAlign w:val="center"/>
          </w:tcPr>
          <w:p w14:paraId="6D783530">
            <w:pPr>
              <w:pStyle w:val="style0"/>
              <w:widowControl/>
              <w:snapToGrid w:val="false"/>
              <w:spacing w:lineRule="auto" w:line="360"/>
              <w:jc w:val="center"/>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供应保障要求</w:t>
            </w:r>
          </w:p>
        </w:tc>
        <w:tc>
          <w:tcPr>
            <w:tcW w:w="3947" w:type="pct"/>
            <w:tcBorders/>
            <w:vAlign w:val="center"/>
          </w:tcPr>
          <w:p w14:paraId="689113ED">
            <w:pPr>
              <w:pStyle w:val="style0"/>
              <w:widowControl/>
              <w:snapToGrid w:val="false"/>
              <w:spacing w:lineRule="auto" w:line="360"/>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当产品部件出现供应风险时，供应商应通知采购人并提供风险应对方案确保产品的服务保障</w:t>
            </w:r>
          </w:p>
        </w:tc>
      </w:tr>
      <w:tr w14:paraId="3D934115">
        <w:tblPrEx/>
        <w:trPr>
          <w:trHeight w:val="1020" w:hRule="atLeast"/>
          <w:jc w:val="center"/>
        </w:trPr>
        <w:tc>
          <w:tcPr>
            <w:tcW w:w="387" w:type="pct"/>
            <w:tcBorders/>
            <w:vAlign w:val="center"/>
          </w:tcPr>
          <w:p w14:paraId="6A8B4F7C">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15</w:t>
            </w:r>
          </w:p>
        </w:tc>
        <w:tc>
          <w:tcPr>
            <w:tcW w:w="664" w:type="pct"/>
            <w:tcBorders/>
            <w:vAlign w:val="center"/>
          </w:tcPr>
          <w:p w14:paraId="4B6E5254">
            <w:pPr>
              <w:pStyle w:val="style0"/>
              <w:widowControl/>
              <w:snapToGrid w:val="false"/>
              <w:spacing w:lineRule="auto" w:line="360"/>
              <w:jc w:val="center"/>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供应保障要求</w:t>
            </w:r>
          </w:p>
        </w:tc>
        <w:tc>
          <w:tcPr>
            <w:tcW w:w="3947" w:type="pct"/>
            <w:tcBorders/>
            <w:vAlign w:val="center"/>
          </w:tcPr>
          <w:p w14:paraId="17361E94">
            <w:pPr>
              <w:pStyle w:val="style0"/>
              <w:widowControl/>
              <w:snapToGrid w:val="false"/>
              <w:spacing w:lineRule="auto" w:line="360"/>
              <w:rPr>
                <w:rFonts w:ascii="宋体" w:cs="宋体" w:eastAsia="宋体" w:hAnsi="宋体" w:hint="eastAsia"/>
                <w:sz w:val="24"/>
                <w:szCs w:val="24"/>
                <w:highlight w:val="none"/>
                <w:lang w:val="zh-CN"/>
              </w:rPr>
            </w:pPr>
            <w:r>
              <w:rPr>
                <w:rFonts w:ascii="宋体" w:cs="宋体" w:eastAsia="宋体" w:hAnsi="宋体" w:hint="eastAsia"/>
                <w:sz w:val="24"/>
                <w:szCs w:val="24"/>
                <w:highlight w:val="none"/>
              </w:rPr>
              <w:t>供应商提供供应链稳定承诺书，确保产品的部件在产品服务周期内稳定供货</w:t>
            </w:r>
          </w:p>
        </w:tc>
      </w:tr>
      <w:tr w14:paraId="7D94D746">
        <w:tblPrEx/>
        <w:trPr>
          <w:trHeight w:val="478" w:hRule="atLeast"/>
          <w:jc w:val="center"/>
        </w:trPr>
        <w:tc>
          <w:tcPr>
            <w:tcW w:w="387" w:type="pct"/>
            <w:tcBorders/>
            <w:vAlign w:val="center"/>
          </w:tcPr>
          <w:p w14:paraId="6D29C592">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16</w:t>
            </w:r>
          </w:p>
        </w:tc>
        <w:tc>
          <w:tcPr>
            <w:tcW w:w="664" w:type="pct"/>
            <w:tcBorders/>
            <w:vAlign w:val="center"/>
          </w:tcPr>
          <w:p w14:paraId="4D23BDED">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lang w:val="zh-CN"/>
              </w:rPr>
              <w:t>包装和运输</w:t>
            </w:r>
            <w:r>
              <w:rPr>
                <w:rFonts w:ascii="宋体" w:cs="宋体" w:eastAsia="宋体" w:hAnsi="宋体" w:hint="eastAsia"/>
                <w:snapToGrid w:val="false"/>
                <w:kern w:val="0"/>
                <w:sz w:val="24"/>
                <w:szCs w:val="24"/>
                <w:highlight w:val="none"/>
              </w:rPr>
              <w:t>要求</w:t>
            </w:r>
          </w:p>
        </w:tc>
        <w:tc>
          <w:tcPr>
            <w:tcW w:w="3947" w:type="pct"/>
            <w:tcBorders/>
            <w:vAlign w:val="center"/>
          </w:tcPr>
          <w:p w14:paraId="47A0D81C">
            <w:pPr>
              <w:pStyle w:val="style0"/>
              <w:snapToGrid w:val="false"/>
              <w:spacing w:lineRule="auto" w:line="360"/>
              <w:rPr>
                <w:rFonts w:ascii="宋体" w:cs="宋体" w:eastAsia="宋体" w:hAnsi="宋体" w:hint="eastAsia"/>
                <w:snapToGrid w:val="false"/>
                <w:color w:val="ff0000"/>
                <w:kern w:val="0"/>
                <w:sz w:val="24"/>
                <w:szCs w:val="24"/>
                <w:highlight w:val="none"/>
                <w:lang w:val="zh-CN"/>
              </w:rPr>
            </w:pPr>
            <w:r>
              <w:rPr>
                <w:rFonts w:ascii="宋体" w:cs="宋体" w:eastAsia="宋体" w:hAnsi="宋体" w:hint="eastAsia"/>
                <w:sz w:val="24"/>
                <w:szCs w:val="24"/>
                <w:highlight w:val="none"/>
              </w:rPr>
              <w:t>工作站项目要求货物包装及运输符合 GB/T 9813.1和商品包装政府采购需求标准的相关规定；或要求原厂包装，防震防潮，外箱标明设备型号及易碎标识。</w:t>
            </w:r>
          </w:p>
        </w:tc>
      </w:tr>
      <w:tr w14:paraId="03F73D38">
        <w:tblPrEx/>
        <w:trPr>
          <w:trHeight w:val="478" w:hRule="atLeast"/>
          <w:jc w:val="center"/>
        </w:trPr>
        <w:tc>
          <w:tcPr>
            <w:tcW w:w="387" w:type="pct"/>
            <w:tcBorders/>
            <w:vAlign w:val="center"/>
          </w:tcPr>
          <w:p w14:paraId="58E423D2">
            <w:pPr>
              <w:pStyle w:val="style0"/>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rPr>
              <w:t>17</w:t>
            </w:r>
          </w:p>
        </w:tc>
        <w:tc>
          <w:tcPr>
            <w:tcW w:w="664" w:type="pct"/>
            <w:tcBorders/>
            <w:vAlign w:val="center"/>
          </w:tcPr>
          <w:p w14:paraId="2EC3D893">
            <w:pPr>
              <w:pStyle w:val="style0"/>
              <w:widowControl/>
              <w:autoSpaceDE w:val="false"/>
              <w:autoSpaceDN w:val="false"/>
              <w:adjustRightInd w:val="false"/>
              <w:snapToGrid w:val="false"/>
              <w:spacing w:lineRule="auto" w:line="360"/>
              <w:jc w:val="center"/>
              <w:rPr>
                <w:rFonts w:ascii="宋体" w:cs="宋体" w:eastAsia="宋体" w:hAnsi="宋体" w:hint="eastAsia"/>
                <w:snapToGrid w:val="false"/>
                <w:kern w:val="0"/>
                <w:sz w:val="24"/>
                <w:szCs w:val="24"/>
                <w:highlight w:val="none"/>
              </w:rPr>
            </w:pPr>
            <w:r>
              <w:rPr>
                <w:rFonts w:ascii="宋体" w:cs="宋体" w:eastAsia="宋体" w:hAnsi="宋体" w:hint="eastAsia"/>
                <w:snapToGrid w:val="false"/>
                <w:kern w:val="0"/>
                <w:sz w:val="24"/>
                <w:szCs w:val="24"/>
                <w:highlight w:val="none"/>
                <w:lang w:val="zh-CN"/>
              </w:rPr>
              <w:t>保险</w:t>
            </w:r>
            <w:r>
              <w:rPr>
                <w:rFonts w:ascii="宋体" w:cs="宋体" w:eastAsia="宋体" w:hAnsi="宋体" w:hint="eastAsia"/>
                <w:snapToGrid w:val="false"/>
                <w:kern w:val="0"/>
                <w:sz w:val="24"/>
                <w:szCs w:val="24"/>
                <w:highlight w:val="none"/>
              </w:rPr>
              <w:t>要求</w:t>
            </w:r>
          </w:p>
        </w:tc>
        <w:tc>
          <w:tcPr>
            <w:tcW w:w="3947" w:type="pct"/>
            <w:tcBorders/>
            <w:vAlign w:val="center"/>
          </w:tcPr>
          <w:p w14:paraId="06C3D0CC">
            <w:pPr>
              <w:pStyle w:val="style0"/>
              <w:snapToGrid w:val="false"/>
              <w:spacing w:lineRule="auto" w:line="360"/>
              <w:rPr>
                <w:rFonts w:ascii="宋体" w:cs="宋体" w:eastAsia="宋体" w:hAnsi="宋体" w:hint="eastAsia"/>
                <w:snapToGrid w:val="false"/>
                <w:kern w:val="0"/>
                <w:sz w:val="24"/>
                <w:szCs w:val="24"/>
                <w:highlight w:val="none"/>
                <w:lang w:val="zh-CN"/>
              </w:rPr>
            </w:pPr>
            <w:r>
              <w:rPr>
                <w:rFonts w:ascii="宋体" w:cs="宋体" w:eastAsia="宋体" w:hAnsi="宋体" w:hint="eastAsia"/>
                <w:sz w:val="24"/>
                <w:szCs w:val="24"/>
                <w:highlight w:val="none"/>
              </w:rPr>
              <w:t>货物运输过程需购买货物运输保险，损失由供应商承担。</w:t>
            </w:r>
          </w:p>
        </w:tc>
      </w:tr>
    </w:tbl>
    <w:p w14:paraId="5F2B1722">
      <w:pPr>
        <w:pStyle w:val="style0"/>
        <w:pageBreakBefore w:val="false"/>
        <w:kinsoku/>
        <w:overflowPunct/>
        <w:topLinePunct w:val="false"/>
        <w:autoSpaceDE w:val="false"/>
        <w:autoSpaceDN w:val="false"/>
        <w:bidi w:val="false"/>
        <w:adjustRightInd w:val="false"/>
        <w:snapToGrid w:val="false"/>
        <w:spacing w:beforeLines="50" w:lineRule="auto" w:line="360"/>
        <w:jc w:val="left"/>
        <w:outlineLvl w:val="9"/>
        <w:rPr>
          <w:rFonts w:ascii="宋体" w:cs="Times New Roman"/>
          <w:snapToGrid w:val="false"/>
          <w:kern w:val="0"/>
          <w:sz w:val="24"/>
          <w:szCs w:val="24"/>
          <w:lang w:val="zh-CN"/>
        </w:rPr>
      </w:pPr>
      <w:r>
        <w:rPr>
          <w:rFonts w:ascii="宋体" w:cs="宋体" w:hAnsi="宋体" w:hint="eastAsia"/>
          <w:b/>
          <w:bCs/>
          <w:snapToGrid w:val="false"/>
          <w:kern w:val="0"/>
          <w:sz w:val="24"/>
          <w:szCs w:val="24"/>
          <w:lang w:val="zh-CN"/>
        </w:rPr>
        <w:t>说明：</w:t>
      </w:r>
      <w:r>
        <w:rPr>
          <w:rFonts w:ascii="宋体" w:cs="宋体" w:hAnsi="宋体" w:hint="eastAsia"/>
          <w:snapToGrid w:val="false"/>
          <w:kern w:val="0"/>
          <w:sz w:val="24"/>
          <w:szCs w:val="24"/>
          <w:lang w:val="zh-CN"/>
        </w:rPr>
        <w:t>重要性“★”代表关键指标</w:t>
      </w:r>
      <w:r>
        <w:rPr>
          <w:rFonts w:cs="宋体" w:hint="eastAsia"/>
          <w:snapToGrid w:val="false"/>
          <w:kern w:val="0"/>
          <w:sz w:val="24"/>
          <w:szCs w:val="24"/>
          <w:lang w:val="zh-CN"/>
        </w:rPr>
        <w:t>；</w:t>
      </w:r>
      <w:r>
        <w:rPr>
          <w:rFonts w:ascii="宋体" w:cs="宋体" w:hAnsi="宋体" w:hint="eastAsia"/>
          <w:snapToGrid w:val="false"/>
          <w:kern w:val="0"/>
          <w:sz w:val="24"/>
          <w:szCs w:val="24"/>
          <w:lang w:val="zh-CN"/>
        </w:rPr>
        <w:t>“</w:t>
      </w:r>
      <w:r>
        <w:rPr>
          <w:rFonts w:ascii="宋体" w:cs="宋体" w:hAnsi="宋体" w:hint="eastAsia"/>
          <w:snapToGrid w:val="false"/>
          <w:kern w:val="0"/>
          <w:sz w:val="24"/>
          <w:szCs w:val="24"/>
          <w:lang w:val="en-US" w:eastAsia="zh-CN"/>
        </w:rPr>
        <w:t>*</w:t>
      </w:r>
      <w:r>
        <w:rPr>
          <w:rFonts w:ascii="宋体" w:cs="宋体" w:hAnsi="宋体" w:hint="eastAsia"/>
          <w:snapToGrid w:val="false"/>
          <w:kern w:val="0"/>
          <w:sz w:val="24"/>
          <w:szCs w:val="24"/>
          <w:lang w:val="zh-CN"/>
        </w:rPr>
        <w:t>”代表重要指标；无标识则表示属一般指标项。</w:t>
      </w:r>
    </w:p>
    <w:p w14:paraId="00DF3B8C">
      <w:pPr>
        <w:pStyle w:val="style0"/>
        <w:rPr/>
      </w:pPr>
    </w:p>
    <w:p w14:paraId="0196ADB2">
      <w:pPr>
        <w:pStyle w:val="style78"/>
        <w:rPr>
          <w:rFonts w:hint="eastAsia"/>
          <w:lang w:val="en-US" w:eastAsia="zh-CN"/>
        </w:rPr>
        <w:sectPr>
          <w:pgSz w:w="11910" w:h="16840" w:orient="portrait"/>
          <w:pgMar w:top="1440" w:right="1080" w:bottom="1440" w:left="1080" w:header="878" w:footer="1130" w:gutter="0"/>
          <w:pgNumType w:fmt="decimal"/>
          <w:cols w:space="720" w:num="1"/>
        </w:sectPr>
      </w:pPr>
    </w:p>
    <w:bookmarkStart w:id="57" w:name="目____录"/>
    <w:bookmarkStart w:id="58" w:name="_bookmark6"/>
    <w:bookmarkStart w:id="59" w:name="第六章_响应文件格式"/>
    <w:bookmarkStart w:id="60" w:name="_Toc30449"/>
    <w:bookmarkEnd w:id="57"/>
    <w:bookmarkEnd w:id="58"/>
    <w:bookmarkEnd w:id="59"/>
    <w:p w14:paraId="7E695174">
      <w:pPr>
        <w:pStyle w:val="style1"/>
        <w:spacing w:before="96" w:lineRule="auto" w:line="360"/>
        <w:ind w:right="1"/>
        <w:outlineLvl w:val="0"/>
        <w:rPr>
          <w:rFonts w:ascii="宋体" w:cs="宋体" w:eastAsia="宋体" w:hAnsi="宋体" w:hint="eastAsia"/>
          <w:color w:val="auto"/>
          <w:sz w:val="32"/>
          <w:szCs w:val="32"/>
          <w:highlight w:val="none"/>
          <w:lang w:eastAsia="zh-CN"/>
        </w:rPr>
      </w:pPr>
      <w:r>
        <w:rPr>
          <w:rFonts w:ascii="宋体" w:cs="宋体" w:eastAsia="宋体" w:hAnsi="宋体" w:hint="eastAsia"/>
          <w:color w:val="auto"/>
          <w:sz w:val="32"/>
          <w:szCs w:val="32"/>
          <w:highlight w:val="none"/>
          <w:lang w:eastAsia="zh-CN"/>
        </w:rPr>
        <w:t>第六章</w:t>
      </w:r>
      <w:r>
        <w:rPr>
          <w:rFonts w:ascii="宋体" w:cs="宋体" w:eastAsia="宋体" w:hAnsi="宋体" w:hint="eastAsia"/>
          <w:color w:val="auto"/>
          <w:sz w:val="32"/>
          <w:szCs w:val="32"/>
          <w:highlight w:val="none"/>
          <w:lang w:val="en-US" w:eastAsia="zh-CN"/>
        </w:rPr>
        <w:t xml:space="preserve">  </w:t>
      </w:r>
      <w:r>
        <w:rPr>
          <w:rFonts w:ascii="宋体" w:cs="宋体" w:eastAsia="宋体" w:hAnsi="宋体" w:hint="eastAsia"/>
          <w:color w:val="auto"/>
          <w:sz w:val="32"/>
          <w:szCs w:val="32"/>
          <w:highlight w:val="none"/>
          <w:lang w:eastAsia="zh-CN"/>
        </w:rPr>
        <w:t>响应文件格式</w:t>
      </w:r>
      <w:bookmarkEnd w:id="60"/>
    </w:p>
    <w:p w14:paraId="259A1484">
      <w:pPr>
        <w:pStyle w:val="style66"/>
        <w:spacing w:lineRule="auto" w:line="360"/>
        <w:rPr>
          <w:rFonts w:ascii="宋体" w:cs="宋体" w:eastAsia="宋体" w:hAnsi="宋体" w:hint="eastAsia"/>
          <w:b/>
          <w:color w:val="auto"/>
          <w:sz w:val="44"/>
          <w:highlight w:val="none"/>
          <w:lang w:eastAsia="zh-CN"/>
        </w:rPr>
      </w:pPr>
    </w:p>
    <w:p w14:paraId="00C91947">
      <w:pPr>
        <w:pStyle w:val="style66"/>
        <w:spacing w:before="3" w:lineRule="auto" w:line="360"/>
        <w:rPr>
          <w:rFonts w:ascii="宋体" w:cs="宋体" w:eastAsia="宋体" w:hAnsi="宋体" w:hint="eastAsia"/>
          <w:b/>
          <w:color w:val="auto"/>
          <w:sz w:val="31"/>
          <w:highlight w:val="none"/>
          <w:lang w:eastAsia="zh-CN"/>
        </w:rPr>
      </w:pPr>
    </w:p>
    <w:p w14:paraId="455B6E69">
      <w:pPr>
        <w:pStyle w:val="style66"/>
        <w:spacing w:lineRule="auto" w:line="360"/>
        <w:jc w:val="center"/>
        <w:rPr>
          <w:rFonts w:ascii="宋体" w:cs="宋体" w:eastAsia="宋体" w:hAnsi="宋体" w:hint="default"/>
          <w:color w:val="auto"/>
          <w:sz w:val="32"/>
          <w:szCs w:val="32"/>
          <w:highlight w:val="none"/>
          <w:lang w:val="en-US" w:eastAsia="zh-CN"/>
        </w:rPr>
      </w:pPr>
      <w:r>
        <w:rPr>
          <w:rFonts w:cs="宋体" w:hint="eastAsia"/>
          <w:b/>
          <w:color w:val="auto"/>
          <w:sz w:val="32"/>
          <w:szCs w:val="32"/>
          <w:highlight w:val="none"/>
          <w:lang w:eastAsia="zh-CN"/>
        </w:rPr>
        <w:t>项目</w:t>
      </w:r>
      <w:r>
        <w:rPr>
          <w:rFonts w:cs="宋体" w:hint="eastAsia"/>
          <w:b/>
          <w:color w:val="auto"/>
          <w:sz w:val="32"/>
          <w:szCs w:val="32"/>
          <w:highlight w:val="none"/>
          <w:lang w:val="en-US" w:eastAsia="zh-CN"/>
        </w:rPr>
        <w:t>名称    包</w:t>
      </w:r>
      <w:r>
        <w:rPr>
          <w:rFonts w:cs="宋体" w:hint="eastAsia"/>
          <w:b/>
          <w:color w:val="auto"/>
          <w:sz w:val="32"/>
          <w:szCs w:val="32"/>
          <w:highlight w:val="none"/>
          <w:u w:val="single"/>
          <w:lang w:val="en-US" w:eastAsia="zh-CN"/>
        </w:rPr>
        <w:t xml:space="preserve">    </w:t>
      </w:r>
    </w:p>
    <w:p w14:paraId="6B8682B6">
      <w:pPr>
        <w:pStyle w:val="style66"/>
        <w:spacing w:lineRule="auto" w:line="360"/>
        <w:rPr>
          <w:rFonts w:ascii="宋体" w:cs="宋体" w:eastAsia="宋体" w:hAnsi="宋体" w:hint="eastAsia"/>
          <w:color w:val="auto"/>
          <w:sz w:val="28"/>
          <w:highlight w:val="none"/>
          <w:lang w:eastAsia="zh-CN"/>
        </w:rPr>
      </w:pPr>
    </w:p>
    <w:bookmarkStart w:id="61" w:name="_Toc22795"/>
    <w:p w14:paraId="5C62F28A">
      <w:pPr>
        <w:pStyle w:val="style0"/>
        <w:spacing w:lineRule="auto" w:line="360"/>
        <w:jc w:val="center"/>
        <w:outlineLvl w:val="9"/>
        <w:rPr>
          <w:rFonts w:ascii="宋体" w:cs="宋体" w:eastAsia="宋体" w:hAnsi="宋体" w:hint="eastAsia"/>
          <w:b/>
          <w:color w:val="auto"/>
          <w:sz w:val="28"/>
          <w:szCs w:val="28"/>
          <w:highlight w:val="none"/>
          <w:lang w:val="en-US" w:bidi="ar-SA" w:eastAsia="zh-CN"/>
        </w:rPr>
      </w:pPr>
      <w:r>
        <w:rPr>
          <w:rFonts w:ascii="宋体" w:cs="宋体" w:eastAsia="宋体" w:hAnsi="宋体" w:hint="eastAsia"/>
          <w:b/>
          <w:color w:val="auto"/>
          <w:sz w:val="28"/>
          <w:szCs w:val="28"/>
          <w:highlight w:val="none"/>
          <w:lang w:val="en-US" w:bidi="ar-SA" w:eastAsia="zh-CN"/>
        </w:rPr>
        <w:t>项目编号：</w:t>
      </w:r>
      <w:bookmarkEnd w:id="61"/>
    </w:p>
    <w:p w14:paraId="099D6234">
      <w:pPr>
        <w:pStyle w:val="style66"/>
        <w:spacing w:before="8" w:lineRule="auto" w:line="360"/>
        <w:rPr>
          <w:rFonts w:ascii="宋体" w:cs="宋体" w:eastAsia="宋体" w:hAnsi="宋体" w:hint="eastAsia"/>
          <w:color w:val="auto"/>
          <w:sz w:val="34"/>
          <w:highlight w:val="none"/>
          <w:lang w:eastAsia="zh-CN"/>
        </w:rPr>
      </w:pPr>
    </w:p>
    <w:p w14:paraId="428F8AD2">
      <w:pPr>
        <w:pStyle w:val="style4097"/>
        <w:rPr>
          <w:rFonts w:ascii="宋体" w:cs="宋体" w:eastAsia="宋体" w:hAnsi="宋体" w:hint="eastAsia"/>
          <w:lang w:eastAsia="zh-CN"/>
        </w:rPr>
      </w:pPr>
    </w:p>
    <w:p w14:paraId="29BAE517">
      <w:pPr>
        <w:pStyle w:val="style0"/>
        <w:tabs>
          <w:tab w:val="left" w:leader="none" w:pos="1043"/>
          <w:tab w:val="left" w:leader="none" w:pos="2087"/>
          <w:tab w:val="left" w:leader="none" w:pos="3131"/>
        </w:tabs>
        <w:spacing w:lineRule="auto" w:line="360"/>
        <w:ind w:right="1"/>
        <w:jc w:val="center"/>
        <w:rPr>
          <w:rFonts w:ascii="宋体" w:cs="宋体" w:eastAsia="宋体" w:hAnsi="宋体" w:hint="eastAsia"/>
          <w:b/>
          <w:color w:val="auto"/>
          <w:sz w:val="52"/>
          <w:highlight w:val="none"/>
          <w:lang w:eastAsia="zh-CN"/>
        </w:rPr>
      </w:pPr>
      <w:r>
        <w:rPr>
          <w:rFonts w:ascii="宋体" w:cs="宋体" w:eastAsia="宋体" w:hAnsi="宋体" w:hint="eastAsia"/>
          <w:b/>
          <w:color w:val="auto"/>
          <w:sz w:val="52"/>
          <w:highlight w:val="none"/>
          <w:lang w:eastAsia="zh-CN"/>
        </w:rPr>
        <w:t>响</w:t>
      </w:r>
      <w:r>
        <w:rPr>
          <w:rFonts w:ascii="宋体" w:cs="宋体" w:eastAsia="宋体" w:hAnsi="宋体" w:hint="eastAsia"/>
          <w:b/>
          <w:color w:val="auto"/>
          <w:sz w:val="52"/>
          <w:highlight w:val="none"/>
          <w:lang w:eastAsia="zh-CN"/>
        </w:rPr>
        <w:tab/>
      </w:r>
      <w:r>
        <w:rPr>
          <w:rFonts w:ascii="宋体" w:cs="宋体" w:eastAsia="宋体" w:hAnsi="宋体" w:hint="eastAsia"/>
          <w:b/>
          <w:color w:val="auto"/>
          <w:sz w:val="52"/>
          <w:highlight w:val="none"/>
          <w:lang w:eastAsia="zh-CN"/>
        </w:rPr>
        <w:t>应</w:t>
      </w:r>
      <w:r>
        <w:rPr>
          <w:rFonts w:ascii="宋体" w:cs="宋体" w:eastAsia="宋体" w:hAnsi="宋体" w:hint="eastAsia"/>
          <w:b/>
          <w:color w:val="auto"/>
          <w:sz w:val="52"/>
          <w:highlight w:val="none"/>
          <w:lang w:eastAsia="zh-CN"/>
        </w:rPr>
        <w:tab/>
      </w:r>
      <w:r>
        <w:rPr>
          <w:rFonts w:ascii="宋体" w:cs="宋体" w:eastAsia="宋体" w:hAnsi="宋体" w:hint="eastAsia"/>
          <w:b/>
          <w:color w:val="auto"/>
          <w:sz w:val="52"/>
          <w:highlight w:val="none"/>
          <w:lang w:eastAsia="zh-CN"/>
        </w:rPr>
        <w:t>文</w:t>
      </w:r>
      <w:r>
        <w:rPr>
          <w:rFonts w:ascii="宋体" w:cs="宋体" w:eastAsia="宋体" w:hAnsi="宋体" w:hint="eastAsia"/>
          <w:b/>
          <w:color w:val="auto"/>
          <w:sz w:val="52"/>
          <w:highlight w:val="none"/>
          <w:lang w:eastAsia="zh-CN"/>
        </w:rPr>
        <w:tab/>
      </w:r>
      <w:r>
        <w:rPr>
          <w:rFonts w:ascii="宋体" w:cs="宋体" w:eastAsia="宋体" w:hAnsi="宋体" w:hint="eastAsia"/>
          <w:b/>
          <w:color w:val="auto"/>
          <w:sz w:val="52"/>
          <w:highlight w:val="none"/>
          <w:lang w:eastAsia="zh-CN"/>
        </w:rPr>
        <w:t>件</w:t>
      </w:r>
    </w:p>
    <w:p w14:paraId="502DE6B5">
      <w:pPr>
        <w:pStyle w:val="style66"/>
        <w:spacing w:lineRule="auto" w:line="360"/>
        <w:rPr>
          <w:rFonts w:ascii="宋体" w:cs="宋体" w:eastAsia="宋体" w:hAnsi="宋体" w:hint="eastAsia"/>
          <w:color w:val="auto"/>
          <w:sz w:val="28"/>
          <w:highlight w:val="none"/>
          <w:lang w:eastAsia="zh-CN"/>
        </w:rPr>
      </w:pPr>
    </w:p>
    <w:p w14:paraId="3031EBBE">
      <w:pPr>
        <w:pStyle w:val="style4097"/>
        <w:rPr>
          <w:rFonts w:ascii="宋体" w:cs="宋体" w:eastAsia="宋体" w:hAnsi="宋体" w:hint="eastAsia"/>
          <w:color w:val="auto"/>
          <w:sz w:val="28"/>
          <w:highlight w:val="none"/>
          <w:lang w:eastAsia="zh-CN"/>
        </w:rPr>
      </w:pPr>
    </w:p>
    <w:p w14:paraId="208F8967">
      <w:pPr>
        <w:pStyle w:val="style4097"/>
        <w:rPr>
          <w:rFonts w:ascii="宋体" w:cs="宋体" w:eastAsia="宋体" w:hAnsi="宋体" w:hint="eastAsia"/>
          <w:color w:val="auto"/>
          <w:sz w:val="28"/>
          <w:highlight w:val="none"/>
          <w:lang w:eastAsia="zh-CN"/>
        </w:rPr>
      </w:pPr>
    </w:p>
    <w:p w14:paraId="24EF164C">
      <w:pPr>
        <w:pStyle w:val="style4097"/>
        <w:rPr>
          <w:rFonts w:ascii="宋体" w:cs="宋体" w:eastAsia="宋体" w:hAnsi="宋体" w:hint="eastAsia"/>
          <w:color w:val="auto"/>
          <w:sz w:val="28"/>
          <w:highlight w:val="none"/>
          <w:lang w:eastAsia="zh-CN"/>
        </w:rPr>
      </w:pPr>
    </w:p>
    <w:p w14:paraId="4A4D1FC8">
      <w:pPr>
        <w:pStyle w:val="style4097"/>
        <w:rPr>
          <w:rFonts w:ascii="宋体" w:cs="宋体" w:eastAsia="宋体" w:hAnsi="宋体" w:hint="eastAsia"/>
          <w:color w:val="auto"/>
          <w:sz w:val="28"/>
          <w:highlight w:val="none"/>
          <w:lang w:eastAsia="zh-CN"/>
        </w:rPr>
      </w:pPr>
    </w:p>
    <w:p w14:paraId="659C6C69">
      <w:pPr>
        <w:pStyle w:val="style66"/>
        <w:spacing w:lineRule="auto" w:line="360"/>
        <w:rPr>
          <w:rFonts w:ascii="宋体" w:cs="宋体" w:eastAsia="宋体" w:hAnsi="宋体" w:hint="eastAsia"/>
          <w:color w:val="auto"/>
          <w:sz w:val="28"/>
          <w:highlight w:val="none"/>
          <w:lang w:eastAsia="zh-CN"/>
        </w:rPr>
      </w:pPr>
    </w:p>
    <w:p w14:paraId="5FB044AB">
      <w:pPr>
        <w:pStyle w:val="style66"/>
        <w:spacing w:before="2" w:lineRule="auto" w:line="360"/>
        <w:rPr>
          <w:rFonts w:ascii="宋体" w:cs="宋体" w:eastAsia="宋体" w:hAnsi="宋体" w:hint="eastAsia"/>
          <w:color w:val="auto"/>
          <w:sz w:val="39"/>
          <w:highlight w:val="none"/>
          <w:lang w:eastAsia="zh-CN"/>
        </w:rPr>
      </w:pPr>
    </w:p>
    <w:bookmarkStart w:id="62" w:name="_Toc28451"/>
    <w:p w14:paraId="3A065DB5">
      <w:pPr>
        <w:pStyle w:val="style0"/>
        <w:tabs>
          <w:tab w:val="left" w:leader="none" w:pos="6020"/>
        </w:tabs>
        <w:spacing w:before="1" w:lineRule="auto" w:line="360"/>
        <w:ind w:left="964" w:right="1115"/>
        <w:jc w:val="center"/>
        <w:outlineLvl w:val="9"/>
        <w:rPr>
          <w:rFonts w:ascii="宋体" w:cs="宋体" w:eastAsia="宋体" w:hAnsi="宋体" w:hint="eastAsia"/>
          <w:b/>
          <w:color w:val="auto"/>
          <w:sz w:val="28"/>
          <w:highlight w:val="none"/>
          <w:lang w:eastAsia="zh-CN"/>
        </w:rPr>
      </w:pPr>
      <w:r>
        <w:rPr>
          <w:rFonts w:ascii="宋体" w:cs="宋体" w:eastAsia="宋体" w:hAnsi="宋体" w:hint="eastAsia"/>
          <w:b/>
          <w:color w:val="auto"/>
          <w:sz w:val="28"/>
          <w:highlight w:val="none"/>
          <w:lang w:eastAsia="zh-CN"/>
        </w:rPr>
        <w:t>供应商名称</w:t>
      </w:r>
      <w:r>
        <w:rPr>
          <w:rFonts w:ascii="宋体" w:cs="宋体" w:eastAsia="宋体" w:hAnsi="宋体" w:hint="eastAsia"/>
          <w:b/>
          <w:color w:val="auto"/>
          <w:spacing w:val="-4"/>
          <w:sz w:val="28"/>
          <w:highlight w:val="none"/>
          <w:lang w:eastAsia="zh-CN"/>
        </w:rPr>
        <w:t>：</w:t>
      </w:r>
      <w:r>
        <w:rPr>
          <w:rFonts w:ascii="宋体" w:cs="宋体" w:eastAsia="宋体" w:hAnsi="宋体" w:hint="eastAsia"/>
          <w:b/>
          <w:color w:val="auto"/>
          <w:spacing w:val="-4"/>
          <w:sz w:val="28"/>
          <w:highlight w:val="none"/>
          <w:u w:val="single"/>
          <w:lang w:eastAsia="zh-CN"/>
        </w:rPr>
        <w:tab/>
      </w:r>
      <w:r>
        <w:rPr>
          <w:rFonts w:ascii="宋体" w:cs="宋体" w:eastAsia="宋体" w:hAnsi="宋体" w:hint="eastAsia"/>
          <w:b/>
          <w:color w:val="auto"/>
          <w:sz w:val="28"/>
          <w:highlight w:val="none"/>
          <w:lang w:eastAsia="zh-CN"/>
        </w:rPr>
        <w:t>（盖单位公章）</w:t>
      </w:r>
    </w:p>
    <w:p w14:paraId="199B7D20">
      <w:pPr>
        <w:pStyle w:val="style0"/>
        <w:tabs>
          <w:tab w:val="left" w:leader="none" w:pos="6020"/>
        </w:tabs>
        <w:spacing w:before="1" w:lineRule="auto" w:line="360"/>
        <w:ind w:left="964" w:right="1115"/>
        <w:jc w:val="center"/>
        <w:outlineLvl w:val="9"/>
        <w:rPr>
          <w:rFonts w:ascii="宋体" w:cs="宋体" w:eastAsia="宋体" w:hAnsi="宋体" w:hint="eastAsia"/>
          <w:b/>
          <w:color w:val="auto"/>
          <w:sz w:val="28"/>
          <w:highlight w:val="none"/>
          <w:lang w:eastAsia="zh-CN"/>
        </w:rPr>
      </w:pPr>
      <w:r>
        <w:rPr>
          <w:rFonts w:ascii="宋体" w:cs="宋体" w:eastAsia="宋体" w:hAnsi="宋体" w:hint="eastAsia"/>
          <w:b/>
          <w:color w:val="auto"/>
          <w:sz w:val="28"/>
          <w:highlight w:val="none"/>
          <w:lang w:eastAsia="zh-CN"/>
        </w:rPr>
        <w:t>法定代表人或其委托代理人：</w:t>
      </w:r>
      <w:r>
        <w:rPr>
          <w:rFonts w:ascii="宋体" w:cs="宋体" w:eastAsia="宋体" w:hAnsi="宋体" w:hint="eastAsia"/>
          <w:b/>
          <w:color w:val="auto"/>
          <w:sz w:val="28"/>
          <w:highlight w:val="none"/>
          <w:u w:val="single"/>
          <w:lang w:eastAsia="zh-CN"/>
        </w:rPr>
        <w:tab/>
      </w:r>
      <w:r>
        <w:rPr>
          <w:rFonts w:ascii="宋体" w:cs="宋体" w:eastAsia="宋体" w:hAnsi="宋体" w:hint="eastAsia"/>
          <w:b/>
          <w:color w:val="auto"/>
          <w:sz w:val="28"/>
          <w:highlight w:val="none"/>
          <w:lang w:eastAsia="zh-CN"/>
        </w:rPr>
        <w:t>（签字或盖章）</w:t>
      </w:r>
      <w:bookmarkEnd w:id="62"/>
    </w:p>
    <w:bookmarkStart w:id="63" w:name="_Toc27942"/>
    <w:p w14:paraId="4EBBB37E">
      <w:pPr>
        <w:pStyle w:val="style0"/>
        <w:tabs>
          <w:tab w:val="left" w:leader="none" w:pos="4338"/>
          <w:tab w:val="left" w:leader="none" w:pos="5813"/>
          <w:tab w:val="left" w:leader="none" w:pos="7290"/>
        </w:tabs>
        <w:spacing w:before="15" w:lineRule="auto" w:line="360"/>
        <w:ind w:left="2370"/>
        <w:outlineLvl w:val="9"/>
        <w:rPr>
          <w:rFonts w:ascii="宋体" w:cs="宋体" w:eastAsia="宋体" w:hAnsi="宋体" w:hint="eastAsia"/>
          <w:b/>
          <w:color w:val="auto"/>
          <w:sz w:val="28"/>
          <w:highlight w:val="none"/>
        </w:rPr>
      </w:pPr>
      <w:r>
        <w:rPr>
          <w:rFonts w:ascii="宋体" w:cs="宋体" w:eastAsia="宋体" w:hAnsi="宋体" w:hint="eastAsia"/>
          <w:b/>
          <w:color w:val="auto"/>
          <w:sz w:val="28"/>
          <w:highlight w:val="none"/>
          <w:u w:val="single"/>
          <w:lang w:eastAsia="zh-CN"/>
        </w:rPr>
        <w:tab/>
      </w:r>
      <w:r>
        <w:rPr>
          <w:rFonts w:ascii="宋体" w:cs="宋体" w:eastAsia="宋体" w:hAnsi="宋体" w:hint="eastAsia"/>
          <w:b/>
          <w:color w:val="auto"/>
          <w:sz w:val="28"/>
          <w:highlight w:val="none"/>
        </w:rPr>
        <w:t>年</w:t>
      </w:r>
      <w:r>
        <w:rPr>
          <w:rFonts w:ascii="宋体" w:cs="宋体" w:eastAsia="宋体" w:hAnsi="宋体" w:hint="eastAsia"/>
          <w:b/>
          <w:color w:val="auto"/>
          <w:sz w:val="28"/>
          <w:highlight w:val="none"/>
          <w:u w:val="single"/>
        </w:rPr>
        <w:tab/>
      </w:r>
      <w:r>
        <w:rPr>
          <w:rFonts w:ascii="宋体" w:cs="宋体" w:eastAsia="宋体" w:hAnsi="宋体" w:hint="eastAsia"/>
          <w:b/>
          <w:color w:val="auto"/>
          <w:sz w:val="28"/>
          <w:highlight w:val="none"/>
        </w:rPr>
        <w:t>月</w:t>
      </w:r>
      <w:r>
        <w:rPr>
          <w:rFonts w:ascii="宋体" w:cs="宋体" w:eastAsia="宋体" w:hAnsi="宋体" w:hint="eastAsia"/>
          <w:b/>
          <w:color w:val="auto"/>
          <w:sz w:val="28"/>
          <w:highlight w:val="none"/>
          <w:u w:val="single"/>
        </w:rPr>
        <w:tab/>
      </w:r>
      <w:r>
        <w:rPr>
          <w:rFonts w:ascii="宋体" w:cs="宋体" w:eastAsia="宋体" w:hAnsi="宋体" w:hint="eastAsia"/>
          <w:b/>
          <w:color w:val="auto"/>
          <w:sz w:val="28"/>
          <w:highlight w:val="none"/>
        </w:rPr>
        <w:t>日</w:t>
      </w:r>
      <w:bookmarkEnd w:id="63"/>
    </w:p>
    <w:p w14:paraId="3590B727">
      <w:pPr>
        <w:pStyle w:val="style0"/>
        <w:spacing w:lineRule="auto" w:line="360"/>
        <w:rPr>
          <w:rFonts w:ascii="宋体" w:cs="宋体" w:eastAsia="宋体" w:hAnsi="宋体" w:hint="eastAsia"/>
          <w:color w:val="auto"/>
          <w:sz w:val="28"/>
          <w:highlight w:val="none"/>
        </w:rPr>
        <w:sectPr>
          <w:pgSz w:w="11910" w:h="16840" w:orient="portrait"/>
          <w:pgMar w:top="1440" w:right="1080" w:bottom="1440" w:left="1080" w:header="878" w:footer="1130" w:gutter="0"/>
          <w:pgNumType w:fmt="decimal"/>
          <w:cols w:space="720" w:num="1"/>
        </w:sectPr>
      </w:pPr>
    </w:p>
    <w:p w14:paraId="19A7E43E">
      <w:pPr>
        <w:pStyle w:val="style66"/>
        <w:spacing w:before="2" w:lineRule="auto" w:line="360"/>
        <w:rPr>
          <w:rFonts w:ascii="宋体" w:cs="宋体" w:eastAsia="宋体" w:hAnsi="宋体" w:hint="eastAsia"/>
          <w:b/>
          <w:color w:val="auto"/>
          <w:sz w:val="28"/>
          <w:szCs w:val="28"/>
          <w:highlight w:val="none"/>
        </w:rPr>
      </w:pPr>
    </w:p>
    <w:bookmarkStart w:id="64" w:name="一、磋商响应函及报价一览表"/>
    <w:bookmarkEnd w:id="64"/>
    <w:p w14:paraId="45D691CC">
      <w:pPr>
        <w:pStyle w:val="style0"/>
        <w:tabs>
          <w:tab w:val="left" w:leader="none" w:pos="722"/>
        </w:tabs>
        <w:spacing w:lineRule="auto" w:line="360"/>
        <w:ind w:left="0"/>
        <w:jc w:val="center"/>
        <w:outlineLvl w:val="9"/>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目</w:t>
      </w:r>
      <w:r>
        <w:rPr>
          <w:rFonts w:ascii="宋体" w:cs="宋体" w:eastAsia="宋体" w:hAnsi="宋体" w:hint="eastAsia"/>
          <w:color w:val="auto"/>
          <w:sz w:val="28"/>
          <w:szCs w:val="28"/>
          <w:highlight w:val="none"/>
        </w:rPr>
        <w:tab/>
      </w:r>
      <w:r>
        <w:rPr>
          <w:rFonts w:ascii="宋体" w:cs="宋体" w:eastAsia="宋体" w:hAnsi="宋体" w:hint="eastAsia"/>
          <w:color w:val="auto"/>
          <w:sz w:val="28"/>
          <w:szCs w:val="28"/>
          <w:highlight w:val="none"/>
        </w:rPr>
        <w:t>录</w:t>
      </w:r>
    </w:p>
    <w:p w14:paraId="10614A07">
      <w:pPr>
        <w:pStyle w:val="style66"/>
        <w:spacing w:lineRule="auto" w:line="360"/>
        <w:rPr>
          <w:rFonts w:ascii="宋体" w:cs="宋体" w:eastAsia="宋体" w:hAnsi="宋体" w:hint="eastAsia"/>
          <w:b/>
          <w:color w:val="auto"/>
          <w:sz w:val="20"/>
          <w:highlight w:val="none"/>
        </w:rPr>
      </w:pPr>
    </w:p>
    <w:p w14:paraId="70E11161">
      <w:pPr>
        <w:pStyle w:val="style66"/>
        <w:spacing w:before="9" w:lineRule="auto" w:line="360"/>
        <w:rPr>
          <w:rFonts w:ascii="宋体" w:cs="宋体" w:eastAsia="宋体" w:hAnsi="宋体" w:hint="eastAsia"/>
          <w:b/>
          <w:color w:val="auto"/>
          <w:sz w:val="17"/>
          <w:highlight w:val="none"/>
        </w:rPr>
      </w:pPr>
    </w:p>
    <w:p w14:paraId="45EFE823">
      <w:pPr>
        <w:pStyle w:val="style66"/>
        <w:numPr>
          <w:ilvl w:val="0"/>
          <w:numId w:val="0"/>
        </w:numPr>
        <w:spacing w:lineRule="auto" w:line="360"/>
        <w:ind w:left="402" w:leftChars="0" w:right="3610" w:rightChars="0"/>
        <w:rPr>
          <w:rFonts w:ascii="宋体" w:cs="宋体" w:eastAsia="宋体" w:hAnsi="宋体" w:hint="eastAsia"/>
          <w:color w:val="auto"/>
          <w:highlight w:val="none"/>
          <w:lang w:eastAsia="zh-CN"/>
        </w:rPr>
      </w:pPr>
      <w:r>
        <w:rPr>
          <w:rFonts w:ascii="宋体" w:cs="宋体" w:eastAsia="宋体" w:hAnsi="宋体" w:hint="eastAsia"/>
          <w:color w:val="auto"/>
          <w:sz w:val="21"/>
          <w:szCs w:val="21"/>
          <w:highlight w:val="none"/>
          <w:lang w:val="en-US" w:bidi="ar-SA" w:eastAsia="zh-CN"/>
        </w:rPr>
        <w:t>一、</w:t>
      </w:r>
      <w:r>
        <w:rPr>
          <w:rFonts w:ascii="宋体" w:cs="宋体" w:eastAsia="宋体" w:hAnsi="宋体" w:hint="eastAsia"/>
          <w:color w:val="auto"/>
          <w:highlight w:val="none"/>
          <w:lang w:eastAsia="zh-CN"/>
        </w:rPr>
        <w:t>磋商响应函及报价一览表</w:t>
      </w:r>
    </w:p>
    <w:p w14:paraId="6BC2E68A">
      <w:pPr>
        <w:pStyle w:val="style66"/>
        <w:spacing w:lineRule="auto" w:line="360"/>
        <w:ind w:left="402" w:right="2510"/>
        <w:rPr>
          <w:rFonts w:ascii="宋体" w:cs="宋体" w:eastAsia="宋体" w:hAnsi="宋体" w:hint="eastAsia"/>
          <w:color w:val="auto"/>
          <w:highlight w:val="none"/>
          <w:lang w:eastAsia="zh-CN"/>
        </w:rPr>
      </w:pPr>
      <w:r>
        <w:rPr>
          <w:rFonts w:cs="宋体" w:hint="eastAsia"/>
          <w:color w:val="auto"/>
          <w:highlight w:val="none"/>
          <w:lang w:val="en-US" w:eastAsia="zh-CN"/>
        </w:rPr>
        <w:t>二</w:t>
      </w:r>
      <w:r>
        <w:rPr>
          <w:rFonts w:ascii="宋体" w:cs="宋体" w:eastAsia="宋体" w:hAnsi="宋体" w:hint="eastAsia"/>
          <w:color w:val="auto"/>
          <w:highlight w:val="none"/>
          <w:lang w:eastAsia="zh-CN"/>
        </w:rPr>
        <w:t>、法定代表人身份证明或附有法定代表人身份证明的授权委托书</w:t>
      </w:r>
    </w:p>
    <w:p w14:paraId="37B8A84D">
      <w:pPr>
        <w:pStyle w:val="style66"/>
        <w:spacing w:lineRule="auto" w:line="360"/>
        <w:ind w:right="3610" w:firstLine="420" w:firstLineChars="200"/>
        <w:rPr>
          <w:rFonts w:ascii="宋体" w:cs="宋体" w:eastAsia="宋体" w:hAnsi="宋体" w:hint="eastAsia"/>
          <w:color w:val="auto"/>
          <w:highlight w:val="none"/>
          <w:lang w:eastAsia="zh-CN"/>
        </w:rPr>
      </w:pPr>
      <w:r>
        <w:rPr>
          <w:rFonts w:cs="宋体" w:hint="eastAsia"/>
          <w:color w:val="auto"/>
          <w:highlight w:val="none"/>
          <w:lang w:val="en-US" w:eastAsia="zh-CN"/>
        </w:rPr>
        <w:t>三</w:t>
      </w:r>
      <w:r>
        <w:rPr>
          <w:rFonts w:ascii="宋体" w:cs="宋体" w:eastAsia="宋体" w:hAnsi="宋体" w:hint="eastAsia"/>
          <w:color w:val="auto"/>
          <w:highlight w:val="none"/>
          <w:lang w:eastAsia="zh-CN"/>
        </w:rPr>
        <w:t>、竞争性磋商承诺函</w:t>
      </w:r>
    </w:p>
    <w:p w14:paraId="19B196F3">
      <w:pPr>
        <w:pStyle w:val="style66"/>
        <w:spacing w:lineRule="auto" w:line="360"/>
        <w:ind w:left="402" w:right="3610"/>
        <w:rPr>
          <w:rFonts w:ascii="宋体" w:cs="宋体" w:eastAsia="宋体" w:hAnsi="宋体" w:hint="eastAsia"/>
          <w:color w:val="auto"/>
          <w:highlight w:val="none"/>
          <w:lang w:eastAsia="zh-CN"/>
        </w:rPr>
      </w:pPr>
      <w:r>
        <w:rPr>
          <w:rFonts w:cs="宋体" w:hint="eastAsia"/>
          <w:color w:val="auto"/>
          <w:highlight w:val="none"/>
          <w:lang w:val="en-US" w:eastAsia="zh-CN"/>
        </w:rPr>
        <w:t>四</w:t>
      </w:r>
      <w:r>
        <w:rPr>
          <w:rFonts w:ascii="宋体" w:cs="宋体" w:eastAsia="宋体" w:hAnsi="宋体" w:hint="eastAsia"/>
          <w:color w:val="auto"/>
          <w:highlight w:val="none"/>
          <w:lang w:eastAsia="zh-CN"/>
        </w:rPr>
        <w:t>、资格证明文件</w:t>
      </w:r>
    </w:p>
    <w:p w14:paraId="5D887DC5">
      <w:pPr>
        <w:pStyle w:val="style66"/>
        <w:spacing w:lineRule="auto" w:line="360"/>
        <w:ind w:left="402" w:right="1850"/>
        <w:rPr>
          <w:rFonts w:ascii="宋体" w:cs="宋体" w:eastAsia="宋体" w:hAnsi="宋体" w:hint="default"/>
          <w:color w:val="auto"/>
          <w:highlight w:val="none"/>
          <w:lang w:val="en-US" w:eastAsia="zh-CN"/>
        </w:rPr>
      </w:pPr>
      <w:r>
        <w:rPr>
          <w:rFonts w:cs="宋体" w:hint="eastAsia"/>
          <w:color w:val="auto"/>
          <w:highlight w:val="none"/>
          <w:lang w:val="en-US" w:eastAsia="zh-CN"/>
        </w:rPr>
        <w:t>五</w:t>
      </w:r>
      <w:r>
        <w:rPr>
          <w:rFonts w:ascii="宋体" w:cs="宋体" w:eastAsia="宋体" w:hAnsi="宋体" w:hint="eastAsia"/>
          <w:color w:val="auto"/>
          <w:highlight w:val="none"/>
          <w:lang w:eastAsia="zh-CN"/>
        </w:rPr>
        <w:t>、</w:t>
      </w:r>
      <w:r>
        <w:rPr>
          <w:rFonts w:cs="宋体" w:hint="eastAsia"/>
          <w:color w:val="auto"/>
          <w:highlight w:val="none"/>
          <w:lang w:val="en-US" w:eastAsia="zh-CN"/>
        </w:rPr>
        <w:t>技术标证明文件</w:t>
      </w:r>
    </w:p>
    <w:p w14:paraId="0DD865B6">
      <w:pPr>
        <w:pStyle w:val="style66"/>
        <w:spacing w:lineRule="auto" w:line="360"/>
        <w:ind w:left="402" w:right="3610"/>
        <w:rPr>
          <w:rFonts w:ascii="宋体" w:cs="宋体" w:eastAsia="宋体" w:hAnsi="宋体" w:hint="default"/>
          <w:color w:val="auto"/>
          <w:highlight w:val="none"/>
          <w:lang w:val="en-US" w:eastAsia="zh-CN"/>
        </w:rPr>
      </w:pPr>
      <w:r>
        <w:rPr>
          <w:rFonts w:cs="宋体" w:hint="eastAsia"/>
          <w:color w:val="auto"/>
          <w:highlight w:val="none"/>
          <w:lang w:val="en-US" w:eastAsia="zh-CN"/>
        </w:rPr>
        <w:t>六</w:t>
      </w:r>
      <w:r>
        <w:rPr>
          <w:rFonts w:ascii="宋体" w:cs="宋体" w:eastAsia="宋体" w:hAnsi="宋体" w:hint="eastAsia"/>
          <w:color w:val="auto"/>
          <w:highlight w:val="none"/>
          <w:lang w:eastAsia="zh-CN"/>
        </w:rPr>
        <w:t>、</w:t>
      </w:r>
      <w:r>
        <w:rPr>
          <w:rFonts w:cs="宋体" w:hint="eastAsia"/>
          <w:color w:val="auto"/>
          <w:highlight w:val="none"/>
          <w:lang w:val="en-US" w:eastAsia="zh-CN"/>
        </w:rPr>
        <w:t>综合标证明文件</w:t>
      </w:r>
    </w:p>
    <w:p w14:paraId="6674E226">
      <w:pPr>
        <w:pStyle w:val="style66"/>
        <w:spacing w:lineRule="auto" w:line="360"/>
        <w:ind w:left="402" w:right="3610"/>
        <w:rPr>
          <w:rFonts w:ascii="宋体" w:cs="宋体" w:eastAsia="宋体" w:hAnsi="宋体" w:hint="eastAsia"/>
          <w:color w:val="auto"/>
          <w:highlight w:val="none"/>
          <w:lang w:eastAsia="zh-CN"/>
        </w:rPr>
      </w:pPr>
      <w:r>
        <w:rPr>
          <w:rFonts w:cs="宋体" w:hint="eastAsia"/>
          <w:color w:val="auto"/>
          <w:highlight w:val="none"/>
          <w:lang w:val="en-US" w:eastAsia="zh-CN"/>
        </w:rPr>
        <w:t>七</w:t>
      </w:r>
      <w:r>
        <w:rPr>
          <w:rFonts w:ascii="宋体" w:cs="宋体" w:eastAsia="宋体" w:hAnsi="宋体" w:hint="eastAsia"/>
          <w:color w:val="auto"/>
          <w:highlight w:val="none"/>
          <w:lang w:eastAsia="zh-CN"/>
        </w:rPr>
        <w:t>、反商业贿赂承诺书</w:t>
      </w:r>
    </w:p>
    <w:p w14:paraId="06DC751B">
      <w:pPr>
        <w:pStyle w:val="style66"/>
        <w:spacing w:lineRule="auto" w:line="360"/>
        <w:ind w:left="402" w:right="3610"/>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r>
        <w:rPr>
          <w:rFonts w:cs="宋体" w:hint="eastAsia"/>
          <w:color w:val="auto"/>
          <w:highlight w:val="none"/>
          <w:lang w:val="en-US" w:eastAsia="zh-CN"/>
        </w:rPr>
        <w:t>八</w:t>
      </w:r>
      <w:r>
        <w:rPr>
          <w:rFonts w:ascii="宋体" w:cs="宋体" w:eastAsia="宋体" w:hAnsi="宋体" w:hint="eastAsia"/>
          <w:color w:val="auto"/>
          <w:highlight w:val="none"/>
          <w:lang w:eastAsia="zh-CN"/>
        </w:rPr>
        <w:t>、其他材料</w:t>
      </w:r>
    </w:p>
    <w:bookmarkStart w:id="65" w:name="_Toc4087"/>
    <w:bookmarkStart w:id="66" w:name="_Toc24743"/>
    <w:bookmarkStart w:id="67" w:name="_Toc13099"/>
    <w:p w14:paraId="136E0B25">
      <w:pPr>
        <w:pStyle w:val="style2"/>
        <w:spacing w:before="61" w:lineRule="auto" w:line="360"/>
        <w:jc w:val="center"/>
        <w:outlineLvl w:val="1"/>
        <w:rPr>
          <w:rFonts w:ascii="宋体" w:cs="宋体" w:eastAsia="宋体" w:hAnsi="宋体" w:hint="eastAsia"/>
          <w:b/>
          <w:bCs/>
          <w:color w:val="auto"/>
          <w:sz w:val="19"/>
          <w:highlight w:val="none"/>
          <w:lang w:eastAsia="zh-CN"/>
        </w:rPr>
      </w:pPr>
      <w:r>
        <w:rPr>
          <w:rFonts w:ascii="宋体" w:cs="宋体" w:eastAsia="宋体" w:hAnsi="宋体" w:hint="eastAsia"/>
          <w:b/>
          <w:bCs/>
          <w:color w:val="auto"/>
          <w:highlight w:val="none"/>
          <w:lang w:eastAsia="zh-CN"/>
        </w:rPr>
        <w:t>一、磋商响应函及报价一览表</w:t>
      </w:r>
      <w:bookmarkEnd w:id="65"/>
      <w:bookmarkEnd w:id="66"/>
      <w:bookmarkEnd w:id="67"/>
    </w:p>
    <w:bookmarkStart w:id="68" w:name="（一）磋商响应函"/>
    <w:bookmarkStart w:id="69" w:name="_Toc24098"/>
    <w:bookmarkStart w:id="70" w:name="_Toc11890"/>
    <w:bookmarkStart w:id="71" w:name="_Toc10472"/>
    <w:bookmarkEnd w:id="68"/>
    <w:p w14:paraId="374BFD35">
      <w:pPr>
        <w:pStyle w:val="style3"/>
        <w:spacing w:before="1" w:lineRule="auto" w:line="360"/>
        <w:ind w:right="1"/>
        <w:jc w:val="center"/>
        <w:outlineLvl w:val="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（一）磋商响应函</w:t>
      </w:r>
      <w:bookmarkEnd w:id="69"/>
      <w:bookmarkEnd w:id="70"/>
      <w:bookmarkEnd w:id="71"/>
    </w:p>
    <w:bookmarkStart w:id="72" w:name="二、分项报价表"/>
    <w:bookmarkStart w:id="73" w:name="_Toc20688"/>
    <w:bookmarkStart w:id="74" w:name="_Toc10154"/>
    <w:bookmarkEnd w:id="72"/>
    <w:p w14:paraId="4B05BA1B">
      <w:pPr>
        <w:pStyle w:val="style0"/>
        <w:widowControl/>
        <w:spacing w:lineRule="auto" w:line="360"/>
        <w:rPr>
          <w:rFonts w:ascii="宋体" w:cs="宋体" w:eastAsia="宋体" w:hAnsi="宋体" w:hint="eastAsia"/>
          <w:sz w:val="21"/>
          <w:szCs w:val="21"/>
          <w:lang w:val="en-US" w:eastAsia="zh-CN"/>
        </w:rPr>
      </w:pPr>
      <w:r>
        <w:rPr>
          <w:rFonts w:ascii="宋体" w:cs="宋体" w:eastAsia="宋体" w:hAnsi="宋体" w:hint="eastAsia"/>
          <w:sz w:val="21"/>
          <w:szCs w:val="21"/>
        </w:rPr>
        <w:t>致：</w:t>
      </w:r>
      <w:r>
        <w:rPr>
          <w:rFonts w:ascii="宋体" w:cs="宋体" w:eastAsia="宋体" w:hAnsi="宋体" w:hint="eastAsia"/>
          <w:i/>
          <w:iCs/>
          <w:sz w:val="21"/>
          <w:szCs w:val="21"/>
          <w:u w:val="single"/>
          <w:lang w:val="en-US" w:eastAsia="zh-CN"/>
        </w:rPr>
        <w:t xml:space="preserve">  </w:t>
      </w:r>
      <w:r>
        <w:rPr>
          <w:rFonts w:ascii="宋体" w:cs="宋体" w:eastAsia="宋体" w:hAnsi="宋体" w:hint="eastAsia"/>
          <w:i/>
          <w:iCs/>
          <w:sz w:val="21"/>
          <w:szCs w:val="21"/>
          <w:u w:val="single"/>
        </w:rPr>
        <w:t>（采购人</w:t>
      </w:r>
      <w:r>
        <w:rPr>
          <w:rFonts w:ascii="宋体" w:cs="宋体" w:eastAsia="宋体" w:hAnsi="宋体" w:hint="eastAsia"/>
          <w:i/>
          <w:iCs/>
          <w:sz w:val="21"/>
          <w:szCs w:val="21"/>
          <w:u w:val="single"/>
          <w:lang w:val="en-US" w:eastAsia="zh-CN"/>
        </w:rPr>
        <w:t>名称</w:t>
      </w:r>
      <w:r>
        <w:rPr>
          <w:rFonts w:ascii="宋体" w:cs="宋体" w:eastAsia="宋体" w:hAnsi="宋体" w:hint="eastAsia"/>
          <w:i/>
          <w:iCs/>
          <w:sz w:val="21"/>
          <w:szCs w:val="21"/>
          <w:u w:val="single"/>
        </w:rPr>
        <w:t>）</w:t>
      </w:r>
      <w:r>
        <w:rPr>
          <w:rFonts w:ascii="宋体" w:cs="宋体" w:eastAsia="宋体" w:hAnsi="宋体" w:hint="eastAsia"/>
          <w:i/>
          <w:iCs/>
          <w:sz w:val="21"/>
          <w:szCs w:val="21"/>
          <w:u w:val="single"/>
          <w:lang w:val="en-US" w:eastAsia="zh-CN"/>
        </w:rPr>
        <w:t xml:space="preserve">  </w:t>
      </w:r>
    </w:p>
    <w:p w14:paraId="60C133B9">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我</w:t>
      </w:r>
      <w:r>
        <w:rPr>
          <w:rFonts w:ascii="宋体" w:cs="宋体" w:eastAsia="宋体" w:hAnsi="宋体" w:hint="eastAsia"/>
          <w:sz w:val="21"/>
          <w:szCs w:val="21"/>
          <w:lang w:val="en-US" w:eastAsia="zh-CN"/>
        </w:rPr>
        <w:t>方获取了</w:t>
      </w:r>
      <w:r>
        <w:rPr>
          <w:rFonts w:ascii="宋体" w:cs="宋体" w:eastAsia="宋体" w:hAnsi="宋体" w:hint="eastAsia"/>
          <w:sz w:val="21"/>
          <w:szCs w:val="21"/>
          <w:u w:val="single"/>
          <w:lang w:val="en-US" w:eastAsia="zh-CN"/>
        </w:rPr>
        <w:t xml:space="preserve">    </w:t>
      </w:r>
      <w:r>
        <w:rPr>
          <w:rFonts w:ascii="宋体" w:cs="宋体" w:eastAsia="宋体" w:hAnsi="宋体" w:hint="eastAsia"/>
          <w:i/>
          <w:iCs/>
          <w:sz w:val="21"/>
          <w:szCs w:val="21"/>
          <w:u w:val="single"/>
          <w:lang w:val="en-US" w:eastAsia="zh-CN"/>
        </w:rPr>
        <w:t>（项目名称</w:t>
      </w:r>
      <w:r>
        <w:rPr>
          <w:rFonts w:ascii="宋体" w:cs="宋体" w:eastAsia="宋体" w:hAnsi="宋体" w:hint="eastAsia"/>
          <w:i/>
          <w:iCs/>
          <w:sz w:val="21"/>
          <w:szCs w:val="21"/>
          <w:u w:val="single"/>
        </w:rPr>
        <w:t>）</w:t>
      </w:r>
      <w:r>
        <w:rPr>
          <w:rFonts w:ascii="宋体" w:cs="宋体" w:eastAsia="宋体" w:hAnsi="宋体" w:hint="eastAsia"/>
          <w:sz w:val="21"/>
          <w:szCs w:val="21"/>
          <w:u w:val="single"/>
          <w:lang w:val="en-US" w:eastAsia="zh-CN"/>
        </w:rPr>
        <w:t xml:space="preserve">      </w:t>
      </w:r>
      <w:r>
        <w:rPr>
          <w:rFonts w:ascii="宋体" w:cs="宋体" w:eastAsia="宋体" w:hAnsi="宋体" w:hint="eastAsia"/>
          <w:sz w:val="21"/>
          <w:szCs w:val="21"/>
        </w:rPr>
        <w:t>的竞争性磋商文件，经详细研究，</w:t>
      </w:r>
      <w:r>
        <w:rPr>
          <w:rFonts w:ascii="宋体" w:cs="宋体" w:eastAsia="宋体" w:hAnsi="宋体" w:hint="eastAsia"/>
          <w:sz w:val="21"/>
          <w:szCs w:val="21"/>
          <w:lang w:val="en-US" w:eastAsia="zh-CN"/>
        </w:rPr>
        <w:t>我方</w:t>
      </w:r>
      <w:r>
        <w:rPr>
          <w:rFonts w:ascii="宋体" w:cs="宋体" w:eastAsia="宋体" w:hAnsi="宋体" w:hint="eastAsia"/>
          <w:sz w:val="21"/>
          <w:szCs w:val="21"/>
        </w:rPr>
        <w:t>决定参加该项目</w:t>
      </w:r>
      <w:r>
        <w:rPr>
          <w:rFonts w:cs="宋体" w:hint="eastAsia"/>
          <w:sz w:val="21"/>
          <w:szCs w:val="21"/>
          <w:lang w:val="en-US" w:eastAsia="zh-CN"/>
        </w:rPr>
        <w:t>包</w:t>
      </w:r>
      <w:r>
        <w:rPr>
          <w:rFonts w:cs="宋体" w:hint="eastAsia"/>
          <w:i/>
          <w:iCs/>
          <w:sz w:val="21"/>
          <w:szCs w:val="21"/>
          <w:u w:val="single"/>
          <w:lang w:val="en-US" w:eastAsia="zh-CN"/>
        </w:rPr>
        <w:t xml:space="preserve">    </w:t>
      </w:r>
      <w:r>
        <w:rPr>
          <w:rFonts w:ascii="宋体" w:cs="宋体" w:eastAsia="宋体" w:hAnsi="宋体" w:hint="eastAsia"/>
          <w:sz w:val="21"/>
          <w:szCs w:val="21"/>
        </w:rPr>
        <w:t>的磋商活动并提交响应文件。我们郑重声明以下诸点并负法律责任。</w:t>
      </w:r>
    </w:p>
    <w:p w14:paraId="690ED05F">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sz w:val="21"/>
          <w:szCs w:val="21"/>
          <w:lang w:val="en-US" w:eastAsia="zh-CN"/>
        </w:rPr>
        <w:t>我方</w:t>
      </w:r>
      <w:r>
        <w:rPr>
          <w:rFonts w:ascii="宋体" w:cs="宋体" w:eastAsia="宋体" w:hAnsi="宋体" w:hint="eastAsia"/>
          <w:sz w:val="21"/>
          <w:szCs w:val="21"/>
        </w:rPr>
        <w:t>愿按照竞争性磋商文件中规定的条款和要求，提供完成竞争性磋商文件规定的全部内容，</w:t>
      </w:r>
      <w:r>
        <w:rPr>
          <w:rFonts w:ascii="宋体" w:cs="宋体" w:eastAsia="宋体" w:hAnsi="宋体" w:hint="eastAsia"/>
          <w:sz w:val="21"/>
          <w:szCs w:val="21"/>
          <w:lang w:val="en-US" w:eastAsia="zh-CN"/>
        </w:rPr>
        <w:t>我方首次投标报价</w:t>
      </w:r>
      <w:r>
        <w:rPr>
          <w:rFonts w:ascii="宋体" w:cs="宋体" w:eastAsia="宋体" w:hAnsi="宋体" w:hint="eastAsia"/>
          <w:sz w:val="21"/>
          <w:szCs w:val="21"/>
        </w:rPr>
        <w:t>（大写）</w:t>
      </w:r>
      <w:r>
        <w:rPr>
          <w:rFonts w:ascii="宋体" w:cs="宋体" w:eastAsia="宋体" w:hAnsi="宋体" w:hint="eastAsia"/>
          <w:sz w:val="21"/>
          <w:szCs w:val="21"/>
          <w:u w:val="single"/>
          <w:lang w:val="en-US" w:eastAsia="zh-CN"/>
        </w:rPr>
        <w:t xml:space="preserve">             </w:t>
      </w:r>
      <w:r>
        <w:rPr>
          <w:rFonts w:cs="宋体" w:hint="eastAsia"/>
          <w:sz w:val="21"/>
          <w:szCs w:val="21"/>
          <w:u w:val="none"/>
          <w:lang w:val="en-US" w:eastAsia="zh-CN"/>
        </w:rPr>
        <w:t>（小写）</w:t>
      </w:r>
      <w:r>
        <w:rPr>
          <w:rFonts w:ascii="宋体" w:cs="宋体" w:eastAsia="宋体" w:hAnsi="宋体" w:hint="eastAsia"/>
          <w:sz w:val="21"/>
          <w:szCs w:val="21"/>
          <w:u w:val="single"/>
          <w:lang w:val="en-US" w:eastAsia="zh-CN"/>
        </w:rPr>
        <w:t xml:space="preserve">            </w:t>
      </w:r>
      <w:r>
        <w:rPr>
          <w:rFonts w:ascii="宋体" w:cs="宋体" w:eastAsia="宋体" w:hAnsi="宋体" w:hint="eastAsia"/>
          <w:sz w:val="21"/>
          <w:szCs w:val="21"/>
        </w:rPr>
        <w:t>。</w:t>
      </w:r>
    </w:p>
    <w:p w14:paraId="7E53F50F">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(2)如果</w:t>
      </w:r>
      <w:r>
        <w:rPr>
          <w:rFonts w:ascii="宋体" w:cs="宋体" w:eastAsia="宋体" w:hAnsi="宋体" w:hint="eastAsia"/>
          <w:sz w:val="21"/>
          <w:szCs w:val="21"/>
          <w:lang w:val="en-US" w:eastAsia="zh-CN"/>
        </w:rPr>
        <w:t>我方</w:t>
      </w:r>
      <w:r>
        <w:rPr>
          <w:rFonts w:ascii="宋体" w:cs="宋体" w:eastAsia="宋体" w:hAnsi="宋体" w:hint="eastAsia"/>
          <w:sz w:val="21"/>
          <w:szCs w:val="21"/>
        </w:rPr>
        <w:t>的</w:t>
      </w:r>
      <w:r>
        <w:rPr>
          <w:rFonts w:ascii="宋体" w:cs="宋体" w:eastAsia="宋体" w:hAnsi="宋体" w:hint="eastAsia"/>
          <w:sz w:val="21"/>
          <w:szCs w:val="21"/>
          <w:lang w:eastAsia="zh-CN"/>
        </w:rPr>
        <w:t>响应文件</w:t>
      </w:r>
      <w:r>
        <w:rPr>
          <w:rFonts w:ascii="宋体" w:cs="宋体" w:eastAsia="宋体" w:hAnsi="宋体" w:hint="eastAsia"/>
          <w:sz w:val="21"/>
          <w:szCs w:val="21"/>
        </w:rPr>
        <w:t>被接受，</w:t>
      </w:r>
      <w:r>
        <w:rPr>
          <w:rFonts w:ascii="宋体" w:cs="宋体" w:eastAsia="宋体" w:hAnsi="宋体" w:hint="eastAsia"/>
          <w:sz w:val="21"/>
          <w:szCs w:val="21"/>
          <w:lang w:val="en-US" w:eastAsia="zh-CN"/>
        </w:rPr>
        <w:t>我方</w:t>
      </w:r>
      <w:r>
        <w:rPr>
          <w:rFonts w:ascii="宋体" w:cs="宋体" w:eastAsia="宋体" w:hAnsi="宋体" w:hint="eastAsia"/>
          <w:sz w:val="21"/>
          <w:szCs w:val="21"/>
        </w:rPr>
        <w:t>将履行竞争性磋商文件中规定的各项要求。</w:t>
      </w:r>
    </w:p>
    <w:p w14:paraId="6A2FE409">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sz w:val="21"/>
          <w:szCs w:val="21"/>
          <w:lang w:val="en-US" w:eastAsia="zh-CN"/>
        </w:rPr>
        <w:t>我方</w:t>
      </w:r>
      <w:r>
        <w:rPr>
          <w:rFonts w:ascii="宋体" w:cs="宋体" w:eastAsia="宋体" w:hAnsi="宋体" w:hint="eastAsia"/>
          <w:sz w:val="21"/>
          <w:szCs w:val="21"/>
        </w:rPr>
        <w:t>同意按竞争性磋商文件中的规定，本</w:t>
      </w:r>
      <w:r>
        <w:rPr>
          <w:rFonts w:ascii="宋体" w:cs="宋体" w:eastAsia="宋体" w:hAnsi="宋体" w:hint="eastAsia"/>
          <w:sz w:val="21"/>
          <w:szCs w:val="21"/>
          <w:lang w:eastAsia="zh-CN"/>
        </w:rPr>
        <w:t>响应文件</w:t>
      </w:r>
      <w:r>
        <w:rPr>
          <w:rFonts w:ascii="宋体" w:cs="宋体" w:eastAsia="宋体" w:hAnsi="宋体" w:hint="eastAsia"/>
          <w:sz w:val="21"/>
          <w:szCs w:val="21"/>
        </w:rPr>
        <w:t>的有效期为提交</w:t>
      </w:r>
      <w:r>
        <w:rPr>
          <w:rFonts w:ascii="宋体" w:cs="宋体" w:eastAsia="宋体" w:hAnsi="宋体" w:hint="eastAsia"/>
          <w:sz w:val="21"/>
          <w:szCs w:val="21"/>
          <w:lang w:eastAsia="zh-CN"/>
        </w:rPr>
        <w:t>响应文件</w:t>
      </w:r>
      <w:r>
        <w:rPr>
          <w:rFonts w:ascii="宋体" w:cs="宋体" w:eastAsia="宋体" w:hAnsi="宋体" w:hint="eastAsia"/>
          <w:sz w:val="21"/>
          <w:szCs w:val="21"/>
        </w:rPr>
        <w:t>截止之日起60日历天。如果</w:t>
      </w:r>
      <w:r>
        <w:rPr>
          <w:rFonts w:ascii="宋体" w:cs="宋体" w:eastAsia="宋体" w:hAnsi="宋体" w:hint="eastAsia"/>
          <w:sz w:val="21"/>
          <w:szCs w:val="21"/>
          <w:lang w:val="en-US" w:eastAsia="zh-CN"/>
        </w:rPr>
        <w:t>成交</w:t>
      </w:r>
      <w:r>
        <w:rPr>
          <w:rFonts w:ascii="宋体" w:cs="宋体" w:eastAsia="宋体" w:hAnsi="宋体" w:hint="eastAsia"/>
          <w:sz w:val="21"/>
          <w:szCs w:val="21"/>
        </w:rPr>
        <w:t>，有效期延长至合同终止日止。</w:t>
      </w:r>
    </w:p>
    <w:p w14:paraId="17FB3C62">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(4)</w:t>
      </w:r>
      <w:r>
        <w:rPr>
          <w:rFonts w:ascii="宋体" w:cs="宋体" w:eastAsia="宋体" w:hAnsi="宋体" w:hint="eastAsia"/>
          <w:sz w:val="21"/>
          <w:szCs w:val="21"/>
          <w:lang w:val="en-US" w:eastAsia="zh-CN"/>
        </w:rPr>
        <w:t>我方</w:t>
      </w:r>
      <w:r>
        <w:rPr>
          <w:rFonts w:ascii="宋体" w:cs="宋体" w:eastAsia="宋体" w:hAnsi="宋体" w:hint="eastAsia"/>
          <w:sz w:val="21"/>
          <w:szCs w:val="21"/>
        </w:rPr>
        <w:t>愿提供竞争性磋商文件中要求的所有文件资料。</w:t>
      </w:r>
    </w:p>
    <w:p w14:paraId="00EE21CA">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(5)</w:t>
      </w:r>
      <w:r>
        <w:rPr>
          <w:rFonts w:ascii="宋体" w:cs="宋体" w:eastAsia="宋体" w:hAnsi="宋体" w:hint="eastAsia"/>
          <w:sz w:val="21"/>
          <w:szCs w:val="21"/>
          <w:lang w:val="en-US" w:eastAsia="zh-CN"/>
        </w:rPr>
        <w:t>我方</w:t>
      </w:r>
      <w:r>
        <w:rPr>
          <w:rFonts w:ascii="宋体" w:cs="宋体" w:eastAsia="宋体" w:hAnsi="宋体" w:hint="eastAsia"/>
          <w:sz w:val="21"/>
          <w:szCs w:val="21"/>
        </w:rPr>
        <w:t>已经详细审核了竞争性磋商文件全部</w:t>
      </w:r>
      <w:r>
        <w:rPr>
          <w:rFonts w:ascii="宋体" w:cs="宋体" w:eastAsia="宋体" w:hAnsi="宋体" w:hint="eastAsia"/>
          <w:sz w:val="21"/>
          <w:szCs w:val="21"/>
          <w:lang w:val="en-US" w:eastAsia="zh-CN"/>
        </w:rPr>
        <w:t>内容</w:t>
      </w:r>
      <w:r>
        <w:rPr>
          <w:rFonts w:ascii="宋体" w:cs="宋体" w:eastAsia="宋体" w:hAnsi="宋体" w:hint="eastAsia"/>
          <w:sz w:val="21"/>
          <w:szCs w:val="21"/>
        </w:rPr>
        <w:t>，如有需要澄清的问题，</w:t>
      </w:r>
      <w:r>
        <w:rPr>
          <w:rFonts w:ascii="宋体" w:cs="宋体" w:eastAsia="宋体" w:hAnsi="宋体" w:hint="eastAsia"/>
          <w:sz w:val="21"/>
          <w:szCs w:val="21"/>
          <w:lang w:val="en-US" w:eastAsia="zh-CN"/>
        </w:rPr>
        <w:t>我方</w:t>
      </w:r>
      <w:r>
        <w:rPr>
          <w:rFonts w:ascii="宋体" w:cs="宋体" w:eastAsia="宋体" w:hAnsi="宋体" w:hint="eastAsia"/>
          <w:sz w:val="21"/>
          <w:szCs w:val="21"/>
        </w:rPr>
        <w:t>同意按竞争性磋商文件规定的时间向</w:t>
      </w:r>
      <w:r>
        <w:rPr>
          <w:rFonts w:ascii="宋体" w:cs="宋体" w:eastAsia="宋体" w:hAnsi="宋体" w:hint="eastAsia"/>
          <w:sz w:val="21"/>
          <w:szCs w:val="21"/>
          <w:lang w:val="en-US" w:eastAsia="zh-CN"/>
        </w:rPr>
        <w:t>采购</w:t>
      </w:r>
      <w:r>
        <w:rPr>
          <w:rFonts w:ascii="宋体" w:cs="宋体" w:eastAsia="宋体" w:hAnsi="宋体" w:hint="eastAsia"/>
          <w:sz w:val="21"/>
          <w:szCs w:val="21"/>
        </w:rPr>
        <w:t>代理公司提出。逾期不提，</w:t>
      </w:r>
      <w:r>
        <w:rPr>
          <w:rFonts w:ascii="宋体" w:cs="宋体" w:eastAsia="宋体" w:hAnsi="宋体" w:hint="eastAsia"/>
          <w:sz w:val="21"/>
          <w:szCs w:val="21"/>
          <w:lang w:val="en-US" w:eastAsia="zh-CN"/>
        </w:rPr>
        <w:t>我方</w:t>
      </w:r>
      <w:r>
        <w:rPr>
          <w:rFonts w:ascii="宋体" w:cs="宋体" w:eastAsia="宋体" w:hAnsi="宋体" w:hint="eastAsia"/>
          <w:sz w:val="21"/>
          <w:szCs w:val="21"/>
        </w:rPr>
        <w:t>同意放弃对这方面有不明及误解的权利。</w:t>
      </w:r>
    </w:p>
    <w:p w14:paraId="230DF62E">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lang w:val="en-US" w:eastAsia="zh-CN"/>
        </w:rPr>
        <w:t>6</w:t>
      </w:r>
      <w:r>
        <w:rPr>
          <w:rFonts w:ascii="宋体" w:cs="宋体" w:eastAsia="宋体" w:hAnsi="宋体" w:hint="eastAsia"/>
          <w:sz w:val="21"/>
          <w:szCs w:val="21"/>
        </w:rPr>
        <w:t>)</w:t>
      </w:r>
      <w:r>
        <w:rPr>
          <w:rFonts w:ascii="宋体" w:cs="宋体" w:eastAsia="宋体" w:hAnsi="宋体" w:hint="eastAsia"/>
          <w:sz w:val="21"/>
          <w:szCs w:val="21"/>
          <w:lang w:val="en-US" w:eastAsia="zh-CN"/>
        </w:rPr>
        <w:t>我方</w:t>
      </w:r>
      <w:r>
        <w:rPr>
          <w:rFonts w:ascii="宋体" w:cs="宋体" w:eastAsia="宋体" w:hAnsi="宋体" w:hint="eastAsia"/>
          <w:sz w:val="21"/>
          <w:szCs w:val="21"/>
        </w:rPr>
        <w:t>同意提供按照贵方可能要求的与其磋商有关的一切数据或资料，完全理解贵方不一定接受最低磋商报价。</w:t>
      </w:r>
    </w:p>
    <w:p w14:paraId="21E758E8">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lang w:val="en-US" w:eastAsia="zh-CN"/>
        </w:rPr>
        <w:t>7</w:t>
      </w:r>
      <w:r>
        <w:rPr>
          <w:rFonts w:ascii="宋体" w:cs="宋体" w:eastAsia="宋体" w:hAnsi="宋体" w:hint="eastAsia"/>
          <w:sz w:val="21"/>
          <w:szCs w:val="21"/>
        </w:rPr>
        <w:t>)</w:t>
      </w:r>
      <w:r>
        <w:rPr>
          <w:rFonts w:ascii="宋体" w:cs="宋体" w:eastAsia="宋体" w:hAnsi="宋体" w:hint="eastAsia"/>
          <w:sz w:val="21"/>
          <w:szCs w:val="21"/>
          <w:lang w:val="en-US" w:eastAsia="zh-CN"/>
        </w:rPr>
        <w:t>我方</w:t>
      </w:r>
      <w:r>
        <w:rPr>
          <w:rFonts w:ascii="宋体" w:cs="宋体" w:eastAsia="宋体" w:hAnsi="宋体" w:hint="eastAsia"/>
          <w:sz w:val="21"/>
          <w:szCs w:val="21"/>
        </w:rPr>
        <w:t>承诺一旦</w:t>
      </w:r>
      <w:r>
        <w:rPr>
          <w:rFonts w:ascii="宋体" w:cs="宋体" w:eastAsia="宋体" w:hAnsi="宋体" w:hint="eastAsia"/>
          <w:sz w:val="21"/>
          <w:szCs w:val="21"/>
          <w:lang w:val="en-US" w:eastAsia="zh-CN"/>
        </w:rPr>
        <w:t>成交</w:t>
      </w:r>
      <w:r>
        <w:rPr>
          <w:rFonts w:ascii="宋体" w:cs="宋体" w:eastAsia="宋体" w:hAnsi="宋体" w:hint="eastAsia"/>
          <w:sz w:val="21"/>
          <w:szCs w:val="21"/>
        </w:rPr>
        <w:t>，按竞争性磋商文件的规定向采购代理机构交纳</w:t>
      </w:r>
      <w:r>
        <w:rPr>
          <w:rFonts w:ascii="宋体" w:cs="宋体" w:eastAsia="宋体" w:hAnsi="宋体" w:hint="eastAsia"/>
          <w:sz w:val="21"/>
          <w:szCs w:val="21"/>
          <w:lang w:val="en-US" w:eastAsia="zh-CN"/>
        </w:rPr>
        <w:t>代理</w:t>
      </w:r>
      <w:r>
        <w:rPr>
          <w:rFonts w:ascii="宋体" w:cs="宋体" w:eastAsia="宋体" w:hAnsi="宋体" w:hint="eastAsia"/>
          <w:sz w:val="21"/>
          <w:szCs w:val="21"/>
        </w:rPr>
        <w:t>服务费。</w:t>
      </w:r>
    </w:p>
    <w:p w14:paraId="62E1D9EE">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lang w:val="en-US" w:eastAsia="zh-CN"/>
        </w:rPr>
        <w:t>8</w:t>
      </w:r>
      <w:r>
        <w:rPr>
          <w:rFonts w:ascii="宋体" w:cs="宋体" w:eastAsia="宋体" w:hAnsi="宋体" w:hint="eastAsia"/>
          <w:sz w:val="21"/>
          <w:szCs w:val="21"/>
        </w:rPr>
        <w:t>)</w:t>
      </w:r>
      <w:r>
        <w:rPr>
          <w:rFonts w:ascii="宋体" w:cs="宋体" w:eastAsia="宋体" w:hAnsi="宋体" w:hint="eastAsia"/>
          <w:sz w:val="21"/>
          <w:szCs w:val="21"/>
          <w:lang w:val="en-US" w:eastAsia="zh-CN"/>
        </w:rPr>
        <w:t>我方</w:t>
      </w:r>
      <w:r>
        <w:rPr>
          <w:rFonts w:ascii="宋体" w:cs="宋体" w:eastAsia="宋体" w:hAnsi="宋体" w:hint="eastAsia"/>
          <w:sz w:val="21"/>
          <w:szCs w:val="21"/>
        </w:rPr>
        <w:t>愿按《中华人民共和国民法典》履行自己的全部责任。</w:t>
      </w:r>
    </w:p>
    <w:p w14:paraId="5364CE51">
      <w:pPr>
        <w:pStyle w:val="style0"/>
        <w:widowControl/>
        <w:spacing w:lineRule="auto" w:line="360"/>
        <w:ind w:firstLine="480"/>
        <w:rPr>
          <w:rFonts w:ascii="宋体" w:cs="宋体" w:eastAsia="宋体" w:hAnsi="宋体" w:hint="eastAsia"/>
          <w:sz w:val="21"/>
          <w:szCs w:val="21"/>
        </w:rPr>
      </w:pPr>
      <w:r>
        <w:rPr>
          <w:rFonts w:ascii="宋体" w:cs="宋体" w:eastAsia="宋体" w:hAnsi="宋体" w:hint="eastAsia"/>
          <w:sz w:val="21"/>
          <w:szCs w:val="21"/>
        </w:rPr>
        <w:t>与本次磋商有关的正式通讯地址：</w:t>
      </w:r>
    </w:p>
    <w:p w14:paraId="4372DB4A">
      <w:pPr>
        <w:pStyle w:val="style0"/>
        <w:widowControl/>
        <w:spacing w:lineRule="auto" w:line="480"/>
        <w:ind w:firstLine="480"/>
        <w:rPr>
          <w:rFonts w:ascii="宋体" w:cs="宋体" w:eastAsia="宋体" w:hAnsi="宋体" w:hint="eastAsia"/>
          <w:sz w:val="21"/>
          <w:szCs w:val="21"/>
        </w:rPr>
      </w:pPr>
      <w:r>
        <w:rPr>
          <w:rFonts w:ascii="宋体" w:cs="宋体" w:eastAsia="宋体" w:hAnsi="宋体" w:hint="eastAsia"/>
          <w:sz w:val="21"/>
          <w:szCs w:val="21"/>
        </w:rPr>
        <w:t>地</w:t>
      </w:r>
      <w:r>
        <w:rPr>
          <w:rFonts w:ascii="宋体" w:cs="宋体" w:eastAsia="宋体" w:hAnsi="宋体" w:hint="eastAsia"/>
          <w:sz w:val="21"/>
          <w:szCs w:val="21"/>
          <w:lang w:val="en-US" w:eastAsia="zh-CN"/>
        </w:rPr>
        <w:t xml:space="preserve"> </w:t>
      </w:r>
      <w:r>
        <w:rPr>
          <w:rFonts w:ascii="宋体" w:cs="宋体" w:eastAsia="宋体" w:hAnsi="宋体" w:hint="eastAsia"/>
          <w:sz w:val="21"/>
          <w:szCs w:val="21"/>
        </w:rPr>
        <w:t xml:space="preserve">址： </w:t>
      </w:r>
    </w:p>
    <w:p w14:paraId="539B0EC4">
      <w:pPr>
        <w:pStyle w:val="style0"/>
        <w:widowControl/>
        <w:spacing w:lineRule="auto" w:line="480"/>
        <w:ind w:firstLine="480"/>
        <w:rPr>
          <w:rFonts w:ascii="宋体" w:cs="宋体" w:eastAsia="宋体" w:hAnsi="宋体" w:hint="eastAsia"/>
          <w:sz w:val="21"/>
          <w:szCs w:val="21"/>
        </w:rPr>
      </w:pPr>
      <w:r>
        <w:rPr>
          <w:rFonts w:ascii="宋体" w:cs="宋体" w:eastAsia="宋体" w:hAnsi="宋体" w:hint="eastAsia"/>
          <w:sz w:val="21"/>
          <w:szCs w:val="21"/>
          <w:lang w:val="en-US" w:eastAsia="zh-CN"/>
        </w:rPr>
        <w:t>邮 箱</w:t>
      </w:r>
      <w:r>
        <w:rPr>
          <w:rFonts w:ascii="宋体" w:cs="宋体" w:eastAsia="宋体" w:hAnsi="宋体" w:hint="eastAsia"/>
          <w:sz w:val="21"/>
          <w:szCs w:val="21"/>
        </w:rPr>
        <w:t>：</w:t>
      </w:r>
    </w:p>
    <w:p w14:paraId="5068D928">
      <w:pPr>
        <w:pStyle w:val="style0"/>
        <w:widowControl/>
        <w:spacing w:lineRule="auto" w:line="480"/>
        <w:ind w:firstLine="480"/>
        <w:rPr>
          <w:rFonts w:ascii="宋体" w:cs="宋体" w:eastAsia="宋体" w:hAnsi="宋体" w:hint="eastAsia"/>
          <w:sz w:val="21"/>
          <w:szCs w:val="21"/>
        </w:rPr>
      </w:pPr>
      <w:r>
        <w:rPr>
          <w:rFonts w:ascii="宋体" w:cs="宋体" w:eastAsia="宋体" w:hAnsi="宋体" w:hint="eastAsia"/>
          <w:sz w:val="21"/>
          <w:szCs w:val="21"/>
        </w:rPr>
        <w:t xml:space="preserve">电 话： </w:t>
      </w:r>
    </w:p>
    <w:p w14:paraId="0DF71B7F">
      <w:pPr>
        <w:pStyle w:val="style0"/>
        <w:widowControl/>
        <w:spacing w:lineRule="auto" w:line="480"/>
        <w:ind w:firstLine="480"/>
        <w:rPr>
          <w:rFonts w:ascii="宋体" w:cs="宋体" w:eastAsia="宋体" w:hAnsi="宋体" w:hint="eastAsia"/>
          <w:sz w:val="21"/>
          <w:szCs w:val="21"/>
        </w:rPr>
      </w:pPr>
      <w:r>
        <w:rPr>
          <w:rFonts w:ascii="宋体" w:cs="宋体" w:eastAsia="宋体" w:hAnsi="宋体" w:hint="eastAsia"/>
          <w:sz w:val="21"/>
          <w:szCs w:val="21"/>
        </w:rPr>
        <w:t>传 真：</w:t>
      </w:r>
    </w:p>
    <w:p w14:paraId="271AE985">
      <w:pPr>
        <w:pStyle w:val="style0"/>
        <w:widowControl/>
        <w:spacing w:lineRule="auto" w:line="480"/>
        <w:ind w:firstLine="480"/>
        <w:rPr>
          <w:rFonts w:ascii="宋体" w:cs="宋体" w:eastAsia="宋体" w:hAnsi="宋体" w:hint="eastAsia"/>
          <w:sz w:val="21"/>
          <w:szCs w:val="21"/>
          <w:lang w:eastAsia="zh-CN"/>
        </w:rPr>
      </w:pPr>
      <w:r>
        <w:rPr>
          <w:rFonts w:ascii="宋体" w:cs="宋体" w:eastAsia="宋体" w:hAnsi="宋体" w:hint="eastAsia"/>
          <w:sz w:val="21"/>
          <w:szCs w:val="21"/>
          <w:lang w:eastAsia="zh-CN"/>
        </w:rPr>
        <w:t>供应商名称：</w:t>
      </w:r>
      <w:r>
        <w:rPr>
          <w:rFonts w:ascii="宋体" w:cs="宋体" w:eastAsia="宋体" w:hAnsi="宋体" w:hint="eastAsia"/>
          <w:sz w:val="21"/>
          <w:szCs w:val="21"/>
          <w:u w:val="single"/>
          <w:lang w:eastAsia="zh-CN"/>
        </w:rPr>
        <w:tab/>
      </w:r>
      <w:r>
        <w:rPr>
          <w:rFonts w:ascii="宋体" w:cs="宋体" w:eastAsia="宋体" w:hAnsi="宋体" w:hint="eastAsia"/>
          <w:sz w:val="21"/>
          <w:szCs w:val="21"/>
          <w:u w:val="single"/>
          <w:lang w:val="en-US" w:eastAsia="zh-CN"/>
        </w:rPr>
        <w:t xml:space="preserve">                   </w:t>
      </w:r>
      <w:r>
        <w:rPr>
          <w:rFonts w:ascii="宋体" w:cs="宋体" w:eastAsia="宋体" w:hAnsi="宋体" w:hint="eastAsia"/>
          <w:sz w:val="21"/>
          <w:szCs w:val="21"/>
          <w:lang w:eastAsia="zh-CN"/>
        </w:rPr>
        <w:t>（</w:t>
      </w:r>
      <w:r>
        <w:rPr>
          <w:rFonts w:ascii="宋体" w:cs="宋体" w:eastAsia="宋体" w:hAnsi="宋体" w:hint="eastAsia"/>
          <w:sz w:val="21"/>
          <w:szCs w:val="21"/>
          <w:lang w:val="en-US" w:eastAsia="zh-CN"/>
        </w:rPr>
        <w:t>加盖供应商电子签章</w:t>
      </w:r>
      <w:r>
        <w:rPr>
          <w:rFonts w:ascii="宋体" w:cs="宋体" w:eastAsia="宋体" w:hAnsi="宋体" w:hint="eastAsia"/>
          <w:sz w:val="21"/>
          <w:szCs w:val="21"/>
          <w:lang w:eastAsia="zh-CN"/>
        </w:rPr>
        <w:t>）</w:t>
      </w:r>
    </w:p>
    <w:p w14:paraId="2984F28B">
      <w:pPr>
        <w:pStyle w:val="style0"/>
        <w:widowControl/>
        <w:spacing w:lineRule="auto" w:line="480"/>
        <w:ind w:firstLine="480"/>
        <w:rPr>
          <w:rFonts w:ascii="宋体" w:cs="宋体" w:eastAsia="宋体" w:hAnsi="宋体" w:hint="eastAsia"/>
          <w:sz w:val="21"/>
          <w:szCs w:val="21"/>
          <w:lang w:eastAsia="zh-CN"/>
        </w:rPr>
      </w:pPr>
      <w:r>
        <w:rPr>
          <w:rFonts w:ascii="宋体" w:cs="宋体" w:eastAsia="宋体" w:hAnsi="宋体" w:hint="eastAsia"/>
          <w:sz w:val="21"/>
          <w:szCs w:val="21"/>
          <w:lang w:eastAsia="zh-CN"/>
        </w:rPr>
        <w:t>法定代表人或其委托代理人：</w:t>
      </w:r>
      <w:r>
        <w:rPr>
          <w:rFonts w:ascii="宋体" w:cs="宋体" w:eastAsia="宋体" w:hAnsi="宋体" w:hint="eastAsia"/>
          <w:sz w:val="21"/>
          <w:szCs w:val="21"/>
          <w:u w:val="single"/>
          <w:lang w:val="en-US" w:eastAsia="zh-CN"/>
        </w:rPr>
        <w:t xml:space="preserve">         </w:t>
      </w:r>
      <w:r>
        <w:rPr>
          <w:rFonts w:ascii="宋体" w:cs="宋体" w:eastAsia="宋体" w:hAnsi="宋体" w:hint="eastAsia"/>
          <w:sz w:val="21"/>
          <w:szCs w:val="21"/>
          <w:lang w:eastAsia="zh-CN"/>
        </w:rPr>
        <w:t>（签字或盖章）</w:t>
      </w:r>
    </w:p>
    <w:p w14:paraId="1DFC0B59">
      <w:pPr>
        <w:pStyle w:val="style0"/>
        <w:widowControl/>
        <w:spacing w:lineRule="auto" w:line="480"/>
        <w:ind w:firstLine="480"/>
        <w:rPr>
          <w:rFonts w:ascii="宋体" w:cs="宋体" w:eastAsia="宋体" w:hAnsi="宋体" w:hint="eastAsia"/>
          <w:sz w:val="21"/>
          <w:szCs w:val="21"/>
        </w:rPr>
      </w:pPr>
      <w:r>
        <w:rPr>
          <w:rFonts w:ascii="宋体" w:cs="宋体" w:eastAsia="宋体" w:hAnsi="宋体" w:hint="eastAsia"/>
          <w:sz w:val="21"/>
          <w:szCs w:val="21"/>
        </w:rPr>
        <w:t>日期： 年 月 日</w:t>
      </w:r>
    </w:p>
    <w:p w14:paraId="210992E1">
      <w:pPr>
        <w:pStyle w:val="style0"/>
        <w:rPr>
          <w:rFonts w:ascii="宋体" w:cs="宋体" w:eastAsia="宋体" w:hAnsi="宋体" w:hint="eastAsia"/>
          <w:color w:val="auto"/>
          <w:highlight w:val="none"/>
          <w:lang w:eastAsia="zh-CN"/>
        </w:rPr>
      </w:pPr>
    </w:p>
    <w:p w14:paraId="1DEC5757">
      <w:pPr>
        <w:pStyle w:val="style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br w:type="page"/>
      </w:r>
    </w:p>
    <w:bookmarkStart w:id="75" w:name="_Toc18236"/>
    <w:p w14:paraId="13AEDD61">
      <w:pPr>
        <w:pStyle w:val="style3"/>
        <w:spacing w:before="207" w:lineRule="auto" w:line="360"/>
        <w:ind w:right="1"/>
        <w:jc w:val="center"/>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（二）报价一览表</w:t>
      </w:r>
      <w:bookmarkEnd w:id="73"/>
      <w:bookmarkEnd w:id="74"/>
      <w:bookmarkEnd w:id="75"/>
    </w:p>
    <w:p w14:paraId="47713778">
      <w:pPr>
        <w:pStyle w:val="style66"/>
        <w:spacing w:lineRule="auto" w:line="360"/>
        <w:rPr>
          <w:rFonts w:ascii="宋体" w:cs="宋体" w:eastAsia="宋体" w:hAnsi="宋体" w:hint="eastAsia"/>
          <w:b/>
          <w:color w:val="auto"/>
          <w:sz w:val="20"/>
          <w:highlight w:val="none"/>
          <w:lang w:eastAsia="zh-CN"/>
        </w:rPr>
      </w:pPr>
    </w:p>
    <w:p w14:paraId="4ABA26A0">
      <w:pPr>
        <w:pStyle w:val="style66"/>
        <w:spacing w:before="8" w:after="1" w:lineRule="auto" w:line="360"/>
        <w:rPr>
          <w:rFonts w:ascii="宋体" w:cs="宋体" w:eastAsia="宋体" w:hAnsi="宋体" w:hint="eastAsia"/>
          <w:b/>
          <w:color w:val="auto"/>
          <w:sz w:val="11"/>
          <w:highlight w:val="none"/>
          <w:lang w:eastAsia="zh-CN"/>
        </w:rPr>
      </w:pPr>
    </w:p>
    <w:tbl>
      <w:tblPr>
        <w:tblStyle w:val="style105"/>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2475"/>
        <w:gridCol w:w="7270"/>
      </w:tblGrid>
      <w:tr w14:paraId="63BC7CD9">
        <w:trPr>
          <w:trHeight w:val="666" w:hRule="atLeast"/>
        </w:trPr>
        <w:tc>
          <w:tcPr>
            <w:tcW w:w="1270" w:type="pct"/>
            <w:tcBorders/>
            <w:vAlign w:val="center"/>
          </w:tcPr>
          <w:p w14:paraId="06FAD28F">
            <w:pPr>
              <w:pStyle w:val="style4105"/>
              <w:spacing w:lineRule="auto" w:line="360"/>
              <w:ind w:right="78"/>
              <w:jc w:val="center"/>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项目名称</w:t>
            </w:r>
          </w:p>
        </w:tc>
        <w:tc>
          <w:tcPr>
            <w:tcW w:w="3729" w:type="pct"/>
            <w:tcBorders/>
            <w:vAlign w:val="center"/>
          </w:tcPr>
          <w:p w14:paraId="7BA6B0DE">
            <w:pPr>
              <w:pStyle w:val="style4105"/>
              <w:spacing w:lineRule="auto" w:line="360"/>
              <w:jc w:val="center"/>
              <w:rPr>
                <w:rFonts w:ascii="宋体" w:cs="宋体" w:eastAsia="宋体" w:hAnsi="宋体" w:hint="eastAsia"/>
                <w:color w:val="auto"/>
                <w:sz w:val="21"/>
                <w:szCs w:val="21"/>
                <w:highlight w:val="none"/>
              </w:rPr>
            </w:pPr>
          </w:p>
        </w:tc>
      </w:tr>
      <w:tr w14:paraId="2A36FFDD">
        <w:tblPrEx/>
        <w:trPr>
          <w:trHeight w:val="666" w:hRule="atLeast"/>
        </w:trPr>
        <w:tc>
          <w:tcPr>
            <w:tcW w:w="1270" w:type="pct"/>
            <w:tcBorders/>
            <w:vAlign w:val="center"/>
          </w:tcPr>
          <w:p w14:paraId="50FBE3FE">
            <w:pPr>
              <w:pStyle w:val="style4105"/>
              <w:spacing w:lineRule="auto" w:line="360"/>
              <w:ind w:right="78"/>
              <w:jc w:val="center"/>
              <w:rPr>
                <w:rFonts w:ascii="宋体" w:cs="宋体" w:eastAsia="宋体" w:hAnsi="宋体" w:hint="default"/>
                <w:color w:val="auto"/>
                <w:sz w:val="21"/>
                <w:szCs w:val="21"/>
                <w:highlight w:val="none"/>
                <w:lang w:val="en-US" w:eastAsia="zh-CN"/>
              </w:rPr>
            </w:pPr>
            <w:r>
              <w:rPr>
                <w:rFonts w:cs="宋体" w:hint="eastAsia"/>
                <w:color w:val="auto"/>
                <w:sz w:val="21"/>
                <w:szCs w:val="21"/>
                <w:highlight w:val="none"/>
                <w:lang w:val="en-US" w:eastAsia="zh-CN"/>
              </w:rPr>
              <w:t>标包</w:t>
            </w:r>
          </w:p>
        </w:tc>
        <w:tc>
          <w:tcPr>
            <w:tcW w:w="3729" w:type="pct"/>
            <w:tcBorders/>
            <w:vAlign w:val="center"/>
          </w:tcPr>
          <w:p w14:paraId="5717C33F">
            <w:pPr>
              <w:pStyle w:val="style4105"/>
              <w:spacing w:lineRule="auto" w:line="360"/>
              <w:jc w:val="center"/>
              <w:rPr>
                <w:rFonts w:ascii="宋体" w:cs="宋体" w:eastAsia="宋体" w:hAnsi="宋体" w:hint="default"/>
                <w:color w:val="auto"/>
                <w:sz w:val="21"/>
                <w:szCs w:val="21"/>
                <w:highlight w:val="none"/>
                <w:lang w:val="en-US" w:eastAsia="zh-CN"/>
              </w:rPr>
            </w:pPr>
            <w:r>
              <w:rPr>
                <w:rFonts w:cs="宋体" w:hint="eastAsia"/>
                <w:color w:val="auto"/>
                <w:sz w:val="21"/>
                <w:szCs w:val="21"/>
                <w:highlight w:val="none"/>
                <w:lang w:val="en-US" w:eastAsia="zh-CN"/>
              </w:rPr>
              <w:t>包</w:t>
            </w:r>
            <w:r>
              <w:rPr>
                <w:rFonts w:cs="宋体" w:hint="eastAsia"/>
                <w:color w:val="auto"/>
                <w:sz w:val="21"/>
                <w:szCs w:val="21"/>
                <w:highlight w:val="none"/>
                <w:u w:val="single"/>
                <w:lang w:val="en-US" w:eastAsia="zh-CN"/>
              </w:rPr>
              <w:t xml:space="preserve">    </w:t>
            </w:r>
          </w:p>
        </w:tc>
      </w:tr>
      <w:tr w14:paraId="0D634869">
        <w:tblPrEx/>
        <w:trPr>
          <w:trHeight w:val="704" w:hRule="atLeast"/>
        </w:trPr>
        <w:tc>
          <w:tcPr>
            <w:tcW w:w="1270" w:type="pct"/>
            <w:tcBorders/>
            <w:vAlign w:val="center"/>
          </w:tcPr>
          <w:p w14:paraId="77A9E536">
            <w:pPr>
              <w:pStyle w:val="style4105"/>
              <w:spacing w:lineRule="auto" w:line="360"/>
              <w:ind w:right="78"/>
              <w:jc w:val="center"/>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供应商名称</w:t>
            </w:r>
          </w:p>
        </w:tc>
        <w:tc>
          <w:tcPr>
            <w:tcW w:w="3729" w:type="pct"/>
            <w:tcBorders/>
          </w:tcPr>
          <w:p w14:paraId="2895531D">
            <w:pPr>
              <w:pStyle w:val="style4105"/>
              <w:spacing w:lineRule="auto" w:line="360"/>
              <w:rPr>
                <w:rFonts w:ascii="宋体" w:cs="宋体" w:eastAsia="宋体" w:hAnsi="宋体" w:hint="eastAsia"/>
                <w:color w:val="auto"/>
                <w:sz w:val="21"/>
                <w:szCs w:val="21"/>
                <w:highlight w:val="none"/>
              </w:rPr>
            </w:pPr>
          </w:p>
        </w:tc>
      </w:tr>
      <w:tr w14:paraId="27E7A61F">
        <w:tblPrEx/>
        <w:trPr>
          <w:trHeight w:val="1032" w:hRule="atLeast"/>
        </w:trPr>
        <w:tc>
          <w:tcPr>
            <w:tcW w:w="1270" w:type="pct"/>
            <w:tcBorders/>
            <w:vAlign w:val="center"/>
          </w:tcPr>
          <w:p w14:paraId="7EE52AFC">
            <w:pPr>
              <w:pStyle w:val="style4105"/>
              <w:spacing w:lineRule="auto" w:line="360"/>
              <w:ind w:right="78"/>
              <w:jc w:val="center"/>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val="en-US" w:eastAsia="zh-CN"/>
              </w:rPr>
              <w:t>投标</w:t>
            </w:r>
            <w:r>
              <w:rPr>
                <w:rFonts w:ascii="宋体" w:cs="宋体" w:eastAsia="宋体" w:hAnsi="宋体" w:hint="eastAsia"/>
                <w:color w:val="auto"/>
                <w:sz w:val="21"/>
                <w:szCs w:val="21"/>
                <w:highlight w:val="none"/>
                <w:lang w:eastAsia="zh-CN"/>
              </w:rPr>
              <w:t>报价（</w:t>
            </w:r>
            <w:r>
              <w:rPr>
                <w:rFonts w:cs="宋体" w:hint="eastAsia"/>
                <w:color w:val="auto"/>
                <w:sz w:val="21"/>
                <w:szCs w:val="21"/>
                <w:highlight w:val="none"/>
                <w:lang w:val="en-US" w:eastAsia="zh-CN"/>
              </w:rPr>
              <w:t>元</w:t>
            </w:r>
            <w:r>
              <w:rPr>
                <w:rFonts w:ascii="宋体" w:cs="宋体" w:eastAsia="宋体" w:hAnsi="宋体" w:hint="eastAsia"/>
                <w:color w:val="auto"/>
                <w:sz w:val="21"/>
                <w:szCs w:val="21"/>
                <w:highlight w:val="none"/>
                <w:lang w:eastAsia="zh-CN"/>
              </w:rPr>
              <w:t>）</w:t>
            </w:r>
          </w:p>
        </w:tc>
        <w:tc>
          <w:tcPr>
            <w:tcW w:w="3729" w:type="pct"/>
            <w:tcBorders/>
          </w:tcPr>
          <w:p w14:paraId="6368ABBC">
            <w:pPr>
              <w:pStyle w:val="style4105"/>
              <w:spacing w:before="140" w:lineRule="auto" w:line="360"/>
              <w:ind w:left="107"/>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大写：</w:t>
            </w:r>
          </w:p>
          <w:p w14:paraId="48F90497">
            <w:pPr>
              <w:pStyle w:val="style4105"/>
              <w:spacing w:before="5" w:lineRule="auto" w:line="360"/>
              <w:rPr>
                <w:rFonts w:ascii="宋体" w:cs="宋体" w:eastAsia="宋体" w:hAnsi="宋体" w:hint="eastAsia"/>
                <w:b/>
                <w:color w:val="auto"/>
                <w:sz w:val="21"/>
                <w:szCs w:val="21"/>
                <w:highlight w:val="none"/>
              </w:rPr>
            </w:pPr>
          </w:p>
          <w:p w14:paraId="73A773A4">
            <w:pPr>
              <w:pStyle w:val="style4105"/>
              <w:tabs>
                <w:tab w:val="left" w:leader="none" w:pos="1681"/>
              </w:tabs>
              <w:spacing w:before="1" w:lineRule="auto" w:line="360"/>
              <w:ind w:left="107"/>
              <w:rPr>
                <w:rFonts w:ascii="宋体" w:cs="宋体" w:eastAsia="宋体" w:hAnsi="宋体" w:hint="default"/>
                <w:color w:val="auto"/>
                <w:sz w:val="21"/>
                <w:szCs w:val="21"/>
                <w:highlight w:val="none"/>
                <w:lang w:val="en-US" w:eastAsia="zh-CN"/>
              </w:rPr>
            </w:pPr>
            <w:r>
              <w:rPr>
                <w:rFonts w:ascii="宋体" w:cs="宋体" w:eastAsia="宋体" w:hAnsi="宋体" w:hint="eastAsia"/>
                <w:color w:val="auto"/>
                <w:sz w:val="21"/>
                <w:szCs w:val="21"/>
                <w:highlight w:val="none"/>
              </w:rPr>
              <w:t>小写：</w:t>
            </w:r>
          </w:p>
        </w:tc>
      </w:tr>
      <w:tr w14:paraId="460D6C36">
        <w:tblPrEx/>
        <w:trPr>
          <w:trHeight w:val="796" w:hRule="atLeast"/>
        </w:trPr>
        <w:tc>
          <w:tcPr>
            <w:tcW w:w="1270" w:type="pct"/>
            <w:tcBorders/>
            <w:vAlign w:val="center"/>
          </w:tcPr>
          <w:p w14:paraId="42CC21F4">
            <w:pPr>
              <w:pStyle w:val="style0"/>
              <w:spacing w:before="10" w:lineRule="auto" w:line="360"/>
              <w:jc w:val="center"/>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交货期</w:t>
            </w:r>
          </w:p>
        </w:tc>
        <w:tc>
          <w:tcPr>
            <w:tcW w:w="3729" w:type="pct"/>
            <w:tcBorders/>
          </w:tcPr>
          <w:p w14:paraId="5937436F">
            <w:pPr>
              <w:pStyle w:val="style4105"/>
              <w:spacing w:lineRule="auto" w:line="360"/>
              <w:rPr>
                <w:rFonts w:ascii="宋体" w:cs="宋体" w:eastAsia="宋体" w:hAnsi="宋体" w:hint="eastAsia"/>
                <w:color w:val="auto"/>
                <w:sz w:val="21"/>
                <w:szCs w:val="21"/>
                <w:highlight w:val="none"/>
              </w:rPr>
            </w:pPr>
          </w:p>
        </w:tc>
      </w:tr>
      <w:tr w14:paraId="2BD05D96">
        <w:tblPrEx/>
        <w:trPr>
          <w:trHeight w:val="693" w:hRule="atLeast"/>
        </w:trPr>
        <w:tc>
          <w:tcPr>
            <w:tcW w:w="1270" w:type="pct"/>
            <w:tcBorders/>
            <w:vAlign w:val="center"/>
          </w:tcPr>
          <w:p w14:paraId="055A7B91">
            <w:pPr>
              <w:pStyle w:val="style0"/>
              <w:spacing w:before="10" w:lineRule="auto" w:line="360"/>
              <w:jc w:val="center"/>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交货地点</w:t>
            </w:r>
          </w:p>
        </w:tc>
        <w:tc>
          <w:tcPr>
            <w:tcW w:w="3729" w:type="pct"/>
            <w:tcBorders/>
          </w:tcPr>
          <w:p w14:paraId="33634F7E">
            <w:pPr>
              <w:pStyle w:val="style4105"/>
              <w:spacing w:lineRule="auto" w:line="360"/>
              <w:rPr>
                <w:rFonts w:ascii="宋体" w:cs="宋体" w:eastAsia="宋体" w:hAnsi="宋体" w:hint="eastAsia"/>
                <w:color w:val="auto"/>
                <w:sz w:val="21"/>
                <w:szCs w:val="21"/>
                <w:highlight w:val="none"/>
              </w:rPr>
            </w:pPr>
          </w:p>
        </w:tc>
      </w:tr>
      <w:tr w14:paraId="0CF98EFD">
        <w:tblPrEx/>
        <w:trPr>
          <w:trHeight w:val="693" w:hRule="atLeast"/>
        </w:trPr>
        <w:tc>
          <w:tcPr>
            <w:tcW w:w="1270" w:type="pct"/>
            <w:tcBorders/>
            <w:vAlign w:val="center"/>
          </w:tcPr>
          <w:p w14:paraId="45E40B53">
            <w:pPr>
              <w:pStyle w:val="style0"/>
              <w:spacing w:before="10" w:lineRule="auto" w:line="360"/>
              <w:jc w:val="center"/>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质量要求</w:t>
            </w:r>
          </w:p>
        </w:tc>
        <w:tc>
          <w:tcPr>
            <w:tcW w:w="3729" w:type="pct"/>
            <w:tcBorders/>
          </w:tcPr>
          <w:p w14:paraId="11243C17">
            <w:pPr>
              <w:pStyle w:val="style4105"/>
              <w:spacing w:lineRule="auto" w:line="360"/>
              <w:rPr>
                <w:rFonts w:ascii="宋体" w:cs="宋体" w:eastAsia="宋体" w:hAnsi="宋体" w:hint="eastAsia"/>
                <w:color w:val="auto"/>
                <w:sz w:val="21"/>
                <w:szCs w:val="21"/>
                <w:highlight w:val="none"/>
              </w:rPr>
            </w:pPr>
          </w:p>
        </w:tc>
      </w:tr>
      <w:tr w14:paraId="71EE0097">
        <w:tblPrEx/>
        <w:trPr>
          <w:trHeight w:val="703" w:hRule="atLeast"/>
        </w:trPr>
        <w:tc>
          <w:tcPr>
            <w:tcW w:w="1270" w:type="pct"/>
            <w:tcBorders/>
            <w:vAlign w:val="center"/>
          </w:tcPr>
          <w:p w14:paraId="75449945">
            <w:pPr>
              <w:pStyle w:val="style0"/>
              <w:spacing w:before="10" w:lineRule="auto" w:line="360"/>
              <w:jc w:val="center"/>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质量保证期</w:t>
            </w:r>
          </w:p>
        </w:tc>
        <w:tc>
          <w:tcPr>
            <w:tcW w:w="3729" w:type="pct"/>
            <w:tcBorders/>
          </w:tcPr>
          <w:p w14:paraId="409788CF">
            <w:pPr>
              <w:pStyle w:val="style4105"/>
              <w:spacing w:lineRule="auto" w:line="360"/>
              <w:rPr>
                <w:rFonts w:ascii="宋体" w:cs="宋体" w:eastAsia="宋体" w:hAnsi="宋体" w:hint="eastAsia"/>
                <w:color w:val="auto"/>
                <w:sz w:val="21"/>
                <w:szCs w:val="21"/>
                <w:highlight w:val="none"/>
              </w:rPr>
            </w:pPr>
          </w:p>
        </w:tc>
      </w:tr>
      <w:tr w14:paraId="3129A494">
        <w:tblPrEx/>
        <w:trPr>
          <w:trHeight w:val="703" w:hRule="atLeast"/>
        </w:trPr>
        <w:tc>
          <w:tcPr>
            <w:tcW w:w="1270" w:type="pct"/>
            <w:tcBorders/>
            <w:vAlign w:val="center"/>
          </w:tcPr>
          <w:p w14:paraId="737851DB">
            <w:pPr>
              <w:pStyle w:val="style0"/>
              <w:spacing w:before="10" w:lineRule="auto" w:line="360"/>
              <w:jc w:val="center"/>
              <w:rPr>
                <w:rFonts w:ascii="宋体" w:cs="宋体" w:eastAsia="宋体" w:hAnsi="宋体" w:hint="eastAsia"/>
                <w:color w:val="auto"/>
                <w:sz w:val="21"/>
                <w:szCs w:val="21"/>
                <w:highlight w:val="none"/>
                <w:lang w:eastAsia="zh-CN"/>
              </w:rPr>
            </w:pPr>
            <w:r>
              <w:rPr>
                <w:rFonts w:ascii="宋体" w:cs="宋体" w:eastAsia="宋体" w:hAnsi="宋体" w:hint="eastAsia"/>
                <w:color w:val="auto"/>
                <w:sz w:val="21"/>
                <w:szCs w:val="21"/>
                <w:highlight w:val="none"/>
                <w:lang w:eastAsia="zh-CN"/>
              </w:rPr>
              <w:t>磋商</w:t>
            </w:r>
            <w:r>
              <w:rPr>
                <w:rFonts w:ascii="宋体" w:cs="宋体" w:eastAsia="宋体" w:hAnsi="宋体" w:hint="eastAsia"/>
                <w:color w:val="auto"/>
                <w:sz w:val="21"/>
                <w:szCs w:val="21"/>
                <w:highlight w:val="none"/>
              </w:rPr>
              <w:t>有效期</w:t>
            </w:r>
          </w:p>
        </w:tc>
        <w:tc>
          <w:tcPr>
            <w:tcW w:w="3729" w:type="pct"/>
            <w:tcBorders/>
          </w:tcPr>
          <w:p w14:paraId="70CA1932">
            <w:pPr>
              <w:pStyle w:val="style4105"/>
              <w:spacing w:lineRule="auto" w:line="360"/>
              <w:rPr>
                <w:rFonts w:ascii="宋体" w:cs="宋体" w:eastAsia="宋体" w:hAnsi="宋体" w:hint="eastAsia"/>
                <w:color w:val="auto"/>
                <w:sz w:val="21"/>
                <w:szCs w:val="21"/>
                <w:highlight w:val="none"/>
              </w:rPr>
            </w:pPr>
          </w:p>
        </w:tc>
      </w:tr>
      <w:tr w14:paraId="22962F95">
        <w:tblPrEx/>
        <w:trPr>
          <w:trHeight w:val="686" w:hRule="atLeast"/>
        </w:trPr>
        <w:tc>
          <w:tcPr>
            <w:tcW w:w="1270" w:type="pct"/>
            <w:tcBorders/>
            <w:vAlign w:val="center"/>
          </w:tcPr>
          <w:p w14:paraId="53DCB13C">
            <w:pPr>
              <w:pStyle w:val="style4105"/>
              <w:spacing w:lineRule="auto" w:line="360"/>
              <w:ind w:right="78"/>
              <w:jc w:val="center"/>
              <w:rPr>
                <w:rFonts w:ascii="宋体" w:cs="宋体" w:eastAsia="宋体" w:hAnsi="宋体" w:hint="eastAsia"/>
                <w:color w:val="auto"/>
                <w:sz w:val="21"/>
                <w:szCs w:val="21"/>
                <w:highlight w:val="none"/>
              </w:rPr>
            </w:pPr>
            <w:r>
              <w:rPr>
                <w:rFonts w:ascii="宋体" w:cs="宋体" w:eastAsia="宋体" w:hAnsi="宋体" w:hint="eastAsia"/>
                <w:color w:val="auto"/>
                <w:sz w:val="21"/>
                <w:szCs w:val="21"/>
                <w:highlight w:val="none"/>
              </w:rPr>
              <w:t>其他声明</w:t>
            </w:r>
          </w:p>
        </w:tc>
        <w:tc>
          <w:tcPr>
            <w:tcW w:w="3729" w:type="pct"/>
            <w:tcBorders/>
          </w:tcPr>
          <w:p w14:paraId="28B82483">
            <w:pPr>
              <w:pStyle w:val="style4105"/>
              <w:spacing w:lineRule="auto" w:line="360"/>
              <w:rPr>
                <w:rFonts w:ascii="宋体" w:cs="宋体" w:eastAsia="宋体" w:hAnsi="宋体" w:hint="eastAsia"/>
                <w:color w:val="auto"/>
                <w:sz w:val="21"/>
                <w:szCs w:val="21"/>
                <w:highlight w:val="none"/>
              </w:rPr>
            </w:pPr>
          </w:p>
        </w:tc>
      </w:tr>
    </w:tbl>
    <w:p w14:paraId="52E954C2">
      <w:pPr>
        <w:pStyle w:val="style66"/>
        <w:spacing w:before="7" w:lineRule="auto" w:line="360"/>
        <w:rPr>
          <w:rFonts w:ascii="宋体" w:cs="宋体" w:eastAsia="宋体" w:hAnsi="宋体" w:hint="eastAsia"/>
          <w:b/>
          <w:color w:val="auto"/>
          <w:sz w:val="26"/>
          <w:highlight w:val="none"/>
        </w:rPr>
      </w:pPr>
    </w:p>
    <w:p w14:paraId="7D7D7435">
      <w:pPr>
        <w:pStyle w:val="style0"/>
        <w:rPr>
          <w:rFonts w:eastAsia="宋体" w:hint="default"/>
          <w:lang w:val="en-US" w:eastAsia="zh-CN"/>
        </w:rPr>
      </w:pPr>
    </w:p>
    <w:p w14:paraId="068F3631">
      <w:pPr>
        <w:pStyle w:val="style66"/>
        <w:spacing w:before="10" w:lineRule="auto" w:line="480"/>
        <w:rPr>
          <w:rFonts w:ascii="宋体" w:cs="宋体" w:eastAsia="宋体" w:hAnsi="宋体" w:hint="eastAsia"/>
          <w:color w:val="auto"/>
          <w:sz w:val="22"/>
          <w:highlight w:val="none"/>
          <w:lang w:eastAsia="zh-CN"/>
        </w:rPr>
      </w:pPr>
    </w:p>
    <w:p w14:paraId="23551E29">
      <w:pPr>
        <w:pStyle w:val="style66"/>
        <w:tabs>
          <w:tab w:val="left" w:leader="none" w:pos="2816"/>
        </w:tabs>
        <w:spacing w:lineRule="auto" w:line="480"/>
        <w:ind w:left="402"/>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供应商名称：</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w:t>
      </w:r>
      <w:r>
        <w:rPr>
          <w:rFonts w:ascii="宋体" w:cs="宋体" w:eastAsia="宋体" w:hAnsi="宋体" w:hint="eastAsia"/>
          <w:color w:val="auto"/>
          <w:highlight w:val="none"/>
          <w:lang w:val="en-US" w:eastAsia="zh-CN"/>
        </w:rPr>
        <w:t>加盖供应商电子签章</w:t>
      </w:r>
      <w:r>
        <w:rPr>
          <w:rFonts w:ascii="宋体" w:cs="宋体" w:eastAsia="宋体" w:hAnsi="宋体" w:hint="eastAsia"/>
          <w:color w:val="auto"/>
          <w:highlight w:val="none"/>
          <w:lang w:eastAsia="zh-CN"/>
        </w:rPr>
        <w:t>）</w:t>
      </w:r>
    </w:p>
    <w:p w14:paraId="7C72CCCA">
      <w:pPr>
        <w:pStyle w:val="style66"/>
        <w:tabs>
          <w:tab w:val="left" w:leader="none" w:pos="4707"/>
        </w:tabs>
        <w:spacing w:before="106" w:lineRule="auto" w:line="480"/>
        <w:ind w:left="402"/>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法定代表人或其委托代理人：</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u w:val="none"/>
          <w:lang w:eastAsia="zh-CN"/>
        </w:rPr>
        <w:t>（签字或盖章）</w:t>
      </w:r>
    </w:p>
    <w:p w14:paraId="1BC56CF6">
      <w:pPr>
        <w:pStyle w:val="style66"/>
        <w:tabs>
          <w:tab w:val="left" w:leader="none" w:pos="1033"/>
          <w:tab w:val="left" w:leader="none" w:pos="1976"/>
          <w:tab w:val="left" w:leader="none" w:pos="2922"/>
        </w:tabs>
        <w:spacing w:before="139" w:lineRule="auto" w:line="480"/>
        <w:ind w:left="401"/>
        <w:jc w:val="right"/>
        <w:rPr>
          <w:rFonts w:ascii="宋体" w:cs="宋体" w:eastAsia="宋体" w:hAnsi="宋体" w:hint="eastAsia"/>
          <w:color w:val="auto"/>
          <w:highlight w:val="none"/>
          <w:lang w:eastAsia="zh-CN"/>
        </w:rPr>
      </w:pP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日</w:t>
      </w:r>
    </w:p>
    <w:p w14:paraId="1E26EA0F">
      <w:pPr>
        <w:pStyle w:val="style0"/>
        <w:spacing w:lineRule="auto" w:line="360"/>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p>
    <w:p w14:paraId="366BE24C">
      <w:pPr>
        <w:pStyle w:val="style66"/>
        <w:spacing w:before="12" w:lineRule="auto" w:line="360"/>
        <w:rPr>
          <w:rFonts w:ascii="宋体" w:cs="宋体" w:eastAsia="宋体" w:hAnsi="宋体" w:hint="eastAsia"/>
          <w:color w:val="auto"/>
          <w:sz w:val="8"/>
          <w:highlight w:val="none"/>
          <w:lang w:eastAsia="zh-CN"/>
        </w:rPr>
      </w:pPr>
    </w:p>
    <w:bookmarkStart w:id="76" w:name="三、法定代表人身份证明或附有法定代表人身份证明的授权委托书"/>
    <w:bookmarkStart w:id="77" w:name="_Toc14083"/>
    <w:bookmarkEnd w:id="76"/>
    <w:p w14:paraId="5C297DEF">
      <w:pPr>
        <w:pStyle w:val="style0"/>
        <w:jc w:val="right"/>
        <w:rPr>
          <w:rFonts w:ascii="宋体" w:cs="宋体" w:eastAsia="宋体" w:hAnsi="宋体" w:hint="eastAsia"/>
          <w:color w:val="auto"/>
          <w:highlight w:val="none"/>
          <w:lang w:eastAsia="zh-CN"/>
        </w:rPr>
      </w:pPr>
    </w:p>
    <w:bookmarkStart w:id="78" w:name="_Toc775"/>
    <w:bookmarkStart w:id="79" w:name="_Toc5716"/>
    <w:p w14:paraId="34A45DE7">
      <w:pPr>
        <w:pStyle w:val="style2"/>
        <w:spacing w:lineRule="auto" w:line="360"/>
        <w:ind w:left="25" w:right="1"/>
        <w:outlineLvl w:val="1"/>
        <w:rPr>
          <w:rFonts w:ascii="宋体" w:cs="宋体" w:eastAsia="宋体" w:hAnsi="宋体" w:hint="eastAsia"/>
          <w:b/>
          <w:bCs/>
          <w:color w:val="auto"/>
          <w:sz w:val="28"/>
          <w:szCs w:val="28"/>
          <w:highlight w:val="none"/>
          <w:lang w:eastAsia="zh-CN"/>
        </w:rPr>
      </w:pPr>
      <w:r>
        <w:rPr>
          <w:rFonts w:cs="宋体" w:hint="eastAsia"/>
          <w:b/>
          <w:bCs/>
          <w:color w:val="auto"/>
          <w:sz w:val="28"/>
          <w:szCs w:val="28"/>
          <w:highlight w:val="none"/>
          <w:lang w:val="en-US" w:eastAsia="zh-CN"/>
        </w:rPr>
        <w:t>二</w:t>
      </w:r>
      <w:r>
        <w:rPr>
          <w:rFonts w:ascii="宋体" w:cs="宋体" w:eastAsia="宋体" w:hAnsi="宋体" w:hint="eastAsia"/>
          <w:b/>
          <w:bCs/>
          <w:color w:val="auto"/>
          <w:sz w:val="28"/>
          <w:szCs w:val="28"/>
          <w:highlight w:val="none"/>
          <w:lang w:eastAsia="zh-CN"/>
        </w:rPr>
        <w:t>、法定代表人身份证明或附有法定代表人身份证明的授权委托书</w:t>
      </w:r>
      <w:bookmarkEnd w:id="77"/>
      <w:bookmarkEnd w:id="78"/>
      <w:bookmarkEnd w:id="79"/>
    </w:p>
    <w:p w14:paraId="68CB19A8">
      <w:pPr>
        <w:pStyle w:val="style66"/>
        <w:spacing w:lineRule="auto" w:line="360"/>
        <w:rPr>
          <w:rFonts w:ascii="宋体" w:cs="宋体" w:eastAsia="宋体" w:hAnsi="宋体" w:hint="eastAsia"/>
          <w:b/>
          <w:color w:val="auto"/>
          <w:sz w:val="24"/>
          <w:highlight w:val="none"/>
          <w:lang w:eastAsia="zh-CN"/>
        </w:rPr>
      </w:pPr>
    </w:p>
    <w:bookmarkStart w:id="80" w:name="（一）法定代表人（或非法人组织负责人）身份证明书"/>
    <w:bookmarkStart w:id="81" w:name="_Toc23779"/>
    <w:bookmarkStart w:id="82" w:name="_Toc6657"/>
    <w:bookmarkStart w:id="83" w:name="_Toc15477"/>
    <w:bookmarkEnd w:id="80"/>
    <w:p w14:paraId="57A7EB02">
      <w:pPr>
        <w:pStyle w:val="style3"/>
        <w:spacing w:before="158" w:lineRule="auto" w:line="360"/>
        <w:ind w:left="20" w:right="1"/>
        <w:outlineLvl w:val="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（一）法定代表人（或非法人组织负责人）身份证明书</w:t>
      </w:r>
      <w:bookmarkEnd w:id="81"/>
      <w:bookmarkEnd w:id="82"/>
      <w:bookmarkEnd w:id="83"/>
    </w:p>
    <w:p w14:paraId="47B0E853">
      <w:pPr>
        <w:pStyle w:val="style66"/>
        <w:keepNext w:val="false"/>
        <w:keepLines w:val="false"/>
        <w:pageBreakBefore w:val="false"/>
        <w:widowControl w:val="false"/>
        <w:tabs>
          <w:tab w:val="left" w:leader="none" w:pos="5073"/>
        </w:tabs>
        <w:kinsoku/>
        <w:wordWrap/>
        <w:overflowPunct/>
        <w:topLinePunct w:val="false"/>
        <w:autoSpaceDE w:val="false"/>
        <w:autoSpaceDN w:val="false"/>
        <w:bidi w:val="false"/>
        <w:adjustRightInd/>
        <w:snapToGrid/>
        <w:spacing w:before="190" w:lineRule="auto" w:line="360"/>
        <w:ind w:left="822" w:right="0"/>
        <w:textAlignment w:val="auto"/>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供应商名称：</w:t>
      </w:r>
      <w:r>
        <w:rPr>
          <w:rFonts w:ascii="宋体" w:cs="宋体" w:eastAsia="宋体" w:hAnsi="宋体" w:hint="eastAsia"/>
          <w:color w:val="auto"/>
          <w:highlight w:val="none"/>
          <w:u w:val="single"/>
          <w:lang w:eastAsia="zh-CN"/>
        </w:rPr>
        <w:tab/>
      </w:r>
    </w:p>
    <w:p w14:paraId="28AF0686">
      <w:pPr>
        <w:pStyle w:val="style66"/>
        <w:keepNext w:val="false"/>
        <w:keepLines w:val="false"/>
        <w:pageBreakBefore w:val="false"/>
        <w:widowControl w:val="false"/>
        <w:tabs>
          <w:tab w:val="left" w:leader="none" w:pos="5179"/>
        </w:tabs>
        <w:kinsoku/>
        <w:wordWrap/>
        <w:overflowPunct/>
        <w:topLinePunct w:val="false"/>
        <w:autoSpaceDE w:val="false"/>
        <w:autoSpaceDN w:val="false"/>
        <w:bidi w:val="false"/>
        <w:adjustRightInd/>
        <w:snapToGrid/>
        <w:spacing w:before="76" w:lineRule="auto" w:line="360"/>
        <w:ind w:left="822" w:right="0"/>
        <w:textAlignment w:val="auto"/>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 xml:space="preserve">单位性质： </w:t>
      </w:r>
      <w:r>
        <w:rPr>
          <w:rFonts w:ascii="宋体" w:cs="宋体" w:eastAsia="宋体" w:hAnsi="宋体" w:hint="eastAsia"/>
          <w:color w:val="auto"/>
          <w:highlight w:val="none"/>
          <w:u w:val="single"/>
          <w:lang w:eastAsia="zh-CN"/>
        </w:rPr>
        <w:tab/>
      </w:r>
    </w:p>
    <w:p w14:paraId="5B4E2911">
      <w:pPr>
        <w:pStyle w:val="style66"/>
        <w:keepNext w:val="false"/>
        <w:keepLines w:val="false"/>
        <w:pageBreakBefore w:val="false"/>
        <w:widowControl w:val="false"/>
        <w:tabs>
          <w:tab w:val="left" w:leader="none" w:pos="5179"/>
        </w:tabs>
        <w:kinsoku/>
        <w:wordWrap/>
        <w:overflowPunct/>
        <w:topLinePunct w:val="false"/>
        <w:autoSpaceDE w:val="false"/>
        <w:autoSpaceDN w:val="false"/>
        <w:bidi w:val="false"/>
        <w:adjustRightInd/>
        <w:snapToGrid/>
        <w:spacing w:before="76" w:lineRule="auto" w:line="360"/>
        <w:ind w:left="822" w:right="0"/>
        <w:textAlignment w:val="auto"/>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 xml:space="preserve">地址： </w:t>
      </w:r>
      <w:r>
        <w:rPr>
          <w:rFonts w:ascii="宋体" w:cs="宋体" w:eastAsia="宋体" w:hAnsi="宋体" w:hint="eastAsia"/>
          <w:color w:val="auto"/>
          <w:highlight w:val="none"/>
          <w:u w:val="single"/>
          <w:lang w:eastAsia="zh-CN"/>
        </w:rPr>
        <w:tab/>
      </w:r>
    </w:p>
    <w:p w14:paraId="71EFAEE4">
      <w:pPr>
        <w:pStyle w:val="style66"/>
        <w:keepNext w:val="false"/>
        <w:keepLines w:val="false"/>
        <w:pageBreakBefore w:val="false"/>
        <w:widowControl w:val="false"/>
        <w:tabs>
          <w:tab w:val="left" w:leader="none" w:pos="2816"/>
          <w:tab w:val="left" w:leader="none" w:pos="3762"/>
          <w:tab w:val="left" w:leader="none" w:pos="4707"/>
          <w:tab w:val="left" w:leader="none" w:pos="5179"/>
        </w:tabs>
        <w:kinsoku/>
        <w:wordWrap/>
        <w:overflowPunct/>
        <w:topLinePunct w:val="false"/>
        <w:autoSpaceDE w:val="false"/>
        <w:autoSpaceDN w:val="false"/>
        <w:bidi w:val="false"/>
        <w:adjustRightInd/>
        <w:snapToGrid/>
        <w:spacing w:before="76" w:lineRule="auto" w:line="360"/>
        <w:ind w:left="822" w:right="0"/>
        <w:textAlignment w:val="auto"/>
        <w:rPr>
          <w:rFonts w:ascii="宋体" w:cs="宋体" w:eastAsia="宋体" w:hAnsi="宋体" w:hint="eastAsia"/>
          <w:color w:val="auto"/>
          <w:highlight w:val="none"/>
          <w:lang w:val="en-US" w:eastAsia="zh-CN"/>
        </w:rPr>
      </w:pPr>
      <w:r>
        <w:rPr>
          <w:rFonts w:ascii="宋体" w:cs="宋体" w:eastAsia="宋体" w:hAnsi="宋体" w:hint="eastAsia"/>
          <w:color w:val="auto"/>
          <w:highlight w:val="none"/>
          <w:lang w:eastAsia="zh-CN"/>
        </w:rPr>
        <w:t>成立时间：</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日 经营期限：</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p>
    <w:p w14:paraId="545682DF">
      <w:pPr>
        <w:pStyle w:val="style66"/>
        <w:keepNext w:val="false"/>
        <w:keepLines w:val="false"/>
        <w:pageBreakBefore w:val="false"/>
        <w:widowControl w:val="false"/>
        <w:tabs>
          <w:tab w:val="left" w:leader="none" w:pos="2344"/>
          <w:tab w:val="left" w:leader="none" w:pos="4024"/>
          <w:tab w:val="left" w:leader="none" w:pos="5547"/>
          <w:tab w:val="left" w:leader="none" w:pos="7487"/>
        </w:tabs>
        <w:kinsoku/>
        <w:wordWrap/>
        <w:overflowPunct/>
        <w:topLinePunct w:val="false"/>
        <w:autoSpaceDE w:val="false"/>
        <w:autoSpaceDN w:val="false"/>
        <w:bidi w:val="false"/>
        <w:adjustRightInd/>
        <w:snapToGrid/>
        <w:spacing w:lineRule="auto" w:line="360"/>
        <w:ind w:left="822" w:right="0"/>
        <w:textAlignment w:val="auto"/>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姓名：</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性别：</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年龄：</w:t>
      </w:r>
      <w:r>
        <w:rPr>
          <w:rFonts w:ascii="宋体" w:cs="宋体" w:eastAsia="宋体" w:hAnsi="宋体" w:hint="eastAsia"/>
          <w:color w:val="auto"/>
          <w:highlight w:val="none"/>
          <w:u w:val="single"/>
          <w:lang w:eastAsia="zh-CN"/>
        </w:rPr>
        <w:tab/>
      </w:r>
      <w:r>
        <w:rPr>
          <w:rFonts w:ascii="宋体" w:cs="宋体" w:eastAsia="宋体" w:hAnsi="宋体" w:hint="eastAsia"/>
          <w:color w:val="auto"/>
          <w:w w:val="95"/>
          <w:highlight w:val="none"/>
          <w:lang w:eastAsia="zh-CN"/>
        </w:rPr>
        <w:t>现任职务：</w:t>
      </w:r>
      <w:r>
        <w:rPr>
          <w:rFonts w:ascii="宋体" w:cs="宋体" w:eastAsia="宋体" w:hAnsi="宋体" w:hint="eastAsia"/>
          <w:color w:val="auto"/>
          <w:highlight w:val="none"/>
          <w:u w:val="single"/>
          <w:lang w:eastAsia="zh-CN"/>
        </w:rPr>
        <w:tab/>
      </w:r>
    </w:p>
    <w:p w14:paraId="3E63E805">
      <w:pPr>
        <w:pStyle w:val="style66"/>
        <w:keepNext w:val="false"/>
        <w:keepLines w:val="false"/>
        <w:pageBreakBefore w:val="false"/>
        <w:widowControl w:val="false"/>
        <w:tabs>
          <w:tab w:val="left" w:leader="none" w:pos="4130"/>
        </w:tabs>
        <w:kinsoku/>
        <w:wordWrap/>
        <w:overflowPunct/>
        <w:topLinePunct w:val="false"/>
        <w:autoSpaceDE w:val="false"/>
        <w:autoSpaceDN w:val="false"/>
        <w:bidi w:val="false"/>
        <w:adjustRightInd/>
        <w:snapToGrid/>
        <w:spacing w:before="77" w:lineRule="auto" w:line="360"/>
        <w:ind w:left="402" w:right="0" w:firstLine="420"/>
        <w:textAlignment w:val="auto"/>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系</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（供应商名称</w:t>
      </w:r>
      <w:r>
        <w:rPr>
          <w:rFonts w:ascii="宋体" w:cs="宋体" w:eastAsia="宋体" w:hAnsi="宋体" w:hint="eastAsia"/>
          <w:color w:val="auto"/>
          <w:spacing w:val="-34"/>
          <w:highlight w:val="none"/>
          <w:lang w:eastAsia="zh-CN"/>
        </w:rPr>
        <w:t>）</w:t>
      </w:r>
      <w:r>
        <w:rPr>
          <w:rFonts w:ascii="宋体" w:cs="宋体" w:eastAsia="宋体" w:hAnsi="宋体" w:hint="eastAsia"/>
          <w:color w:val="auto"/>
          <w:highlight w:val="none"/>
          <w:lang w:eastAsia="zh-CN"/>
        </w:rPr>
        <w:t>的法定代表</w:t>
      </w:r>
      <w:r>
        <w:rPr>
          <w:rFonts w:ascii="宋体" w:cs="宋体" w:eastAsia="宋体" w:hAnsi="宋体" w:hint="eastAsia"/>
          <w:color w:val="auto"/>
          <w:spacing w:val="-32"/>
          <w:highlight w:val="none"/>
          <w:lang w:eastAsia="zh-CN"/>
        </w:rPr>
        <w:t>人</w:t>
      </w:r>
      <w:r>
        <w:rPr>
          <w:rFonts w:ascii="宋体" w:cs="宋体" w:eastAsia="宋体" w:hAnsi="宋体" w:hint="eastAsia"/>
          <w:color w:val="auto"/>
          <w:highlight w:val="none"/>
          <w:lang w:eastAsia="zh-CN"/>
        </w:rPr>
        <w:t>（或非法人组织负责人）。</w:t>
      </w:r>
    </w:p>
    <w:p w14:paraId="74AF5DBF">
      <w:pPr>
        <w:pStyle w:val="style66"/>
        <w:spacing w:before="3" w:lineRule="auto" w:line="360"/>
        <w:rPr>
          <w:rFonts w:ascii="宋体" w:cs="宋体" w:eastAsia="宋体" w:hAnsi="宋体" w:hint="eastAsia"/>
          <w:color w:val="auto"/>
          <w:sz w:val="17"/>
          <w:highlight w:val="none"/>
          <w:lang w:eastAsia="zh-CN"/>
        </w:rPr>
      </w:pPr>
    </w:p>
    <w:p w14:paraId="69AFCCC9">
      <w:pPr>
        <w:pStyle w:val="style66"/>
        <w:spacing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特此证明。</w:t>
      </w:r>
    </w:p>
    <w:p w14:paraId="359804F3">
      <w:pPr>
        <w:pStyle w:val="style66"/>
        <w:spacing w:lineRule="auto" w:line="360"/>
        <w:rPr>
          <w:rFonts w:ascii="宋体" w:cs="宋体" w:eastAsia="宋体" w:hAnsi="宋体" w:hint="eastAsia"/>
          <w:color w:val="auto"/>
          <w:sz w:val="20"/>
          <w:highlight w:val="none"/>
          <w:lang w:eastAsia="zh-CN"/>
        </w:rPr>
      </w:pPr>
    </w:p>
    <w:p w14:paraId="405282E1">
      <w:pPr>
        <w:pStyle w:val="style66"/>
        <w:spacing w:before="8" w:lineRule="auto" w:line="360"/>
        <w:rPr>
          <w:rFonts w:ascii="宋体" w:cs="宋体" w:eastAsia="宋体" w:hAnsi="宋体" w:hint="eastAsia"/>
          <w:color w:val="auto"/>
          <w:sz w:val="22"/>
          <w:highlight w:val="none"/>
          <w:lang w:eastAsia="zh-CN"/>
        </w:rPr>
      </w:pPr>
      <w:r>
        <w:rPr>
          <w:rFonts w:ascii="宋体" w:cs="宋体" w:eastAsia="宋体" w:hAnsi="宋体" w:hint="eastAsia"/>
          <w:color w:val="auto"/>
          <w:highlight w:val="none"/>
          <w:lang w:eastAsia="zh-CN"/>
        </w:rPr>
        <mc:AlternateContent>
          <mc:Choice Requires="wps">
            <w:drawing>
              <wp:anchor distT="0" distB="0" distL="0" distR="0" simplePos="false" relativeHeight="2" behindDoc="false" locked="false" layoutInCell="true" allowOverlap="true">
                <wp:simplePos x="0" y="0"/>
                <wp:positionH relativeFrom="page">
                  <wp:posOffset>1167130</wp:posOffset>
                </wp:positionH>
                <wp:positionV relativeFrom="paragraph">
                  <wp:posOffset>212090</wp:posOffset>
                </wp:positionV>
                <wp:extent cx="5224780" cy="1831340"/>
                <wp:effectExtent l="4445" t="4445" r="9525" b="12065"/>
                <wp:wrapTopAndBottom/>
                <wp:docPr id="102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24780" cy="1831340"/>
                        </a:xfrm>
                        <a:prstGeom prst="rect"/>
                        <a:ln cmpd="sng" cap="flat" w="6096">
                          <a:solidFill>
                            <a:srgbClr val="000000"/>
                          </a:solidFill>
                          <a:prstDash val="solid"/>
                          <a:miter/>
                          <a:headEnd len="med" w="med" type="none"/>
                          <a:tailEnd len="med" w="med" type="none"/>
                        </a:ln>
                      </wps:spPr>
                      <wps:txbx id="1027">
                        <w:txbxContent>
                          <w:p w14:paraId="67A346ED">
                            <w:pPr>
                              <w:pStyle w:val="style66"/>
                              <w:spacing w:before="103"/>
                              <w:ind w:left="959"/>
                              <w:rPr>
                                <w:lang w:eastAsia="zh-CN"/>
                              </w:rPr>
                            </w:pPr>
                            <w:r>
                              <w:rPr>
                                <w:lang w:eastAsia="zh-CN"/>
                              </w:rPr>
                              <w:t>（※法定代表人（或非法人组织负责人）身份证正、反面扫描件※）</w:t>
                            </w:r>
                          </w:p>
                        </w:txbxContent>
                      </wps:txbx>
                      <wps:bodyPr lIns="0" rIns="0" tIns="0" bIns="0" upright="true">
                        <a:prstTxWarp prst="textNoShape"/>
                      </wps:bodyPr>
                    </wps:wsp>
                  </a:graphicData>
                </a:graphic>
              </wp:anchor>
            </w:drawing>
          </mc:Choice>
          <mc:Fallback>
            <w:pict>
              <v:rect id="1027" filled="f" stroked="t" style="position:absolute;margin-left:91.9pt;margin-top:16.7pt;width:411.4pt;height:144.2pt;z-index:2;mso-position-horizontal-relative:page;mso-position-vertical-relative:text;mso-width-relative:page;mso-height-relative:page;mso-wrap-distance-left:0.0pt;mso-wrap-distance-right:0.0pt;visibility:visible;">
                <v:stroke joinstyle="miter" weight="0.48pt"/>
                <w10:wrap type="topAndBottom"/>
                <v:fill/>
                <v:textbox inset="0.0pt,0.0pt,0.0pt,0.0pt">
                  <w:txbxContent>
                    <w:p w14:paraId="67A346ED">
                      <w:pPr>
                        <w:pStyle w:val="style66"/>
                        <w:spacing w:before="103"/>
                        <w:ind w:left="959"/>
                        <w:rPr>
                          <w:lang w:eastAsia="zh-CN"/>
                        </w:rPr>
                      </w:pPr>
                      <w:r>
                        <w:rPr>
                          <w:lang w:eastAsia="zh-CN"/>
                        </w:rPr>
                        <w:t>（※法定代表人（或非法人组织负责人）身份证正、反面扫描件※）</w:t>
                      </w:r>
                    </w:p>
                  </w:txbxContent>
                </v:textbox>
              </v:rect>
            </w:pict>
          </mc:Fallback>
        </mc:AlternateContent>
      </w:r>
    </w:p>
    <w:p w14:paraId="39FD75FD">
      <w:pPr>
        <w:pStyle w:val="style66"/>
        <w:spacing w:lineRule="auto" w:line="360"/>
        <w:rPr>
          <w:rFonts w:ascii="宋体" w:cs="宋体" w:eastAsia="宋体" w:hAnsi="宋体" w:hint="eastAsia"/>
          <w:color w:val="auto"/>
          <w:sz w:val="20"/>
          <w:highlight w:val="none"/>
          <w:lang w:eastAsia="zh-CN"/>
        </w:rPr>
      </w:pPr>
    </w:p>
    <w:p w14:paraId="350B34BD">
      <w:pPr>
        <w:pStyle w:val="style66"/>
        <w:spacing w:before="2" w:lineRule="auto" w:line="360"/>
        <w:jc w:val="right"/>
        <w:rPr>
          <w:rFonts w:ascii="宋体" w:cs="宋体" w:eastAsia="宋体" w:hAnsi="宋体" w:hint="eastAsia"/>
          <w:color w:val="auto"/>
          <w:sz w:val="17"/>
          <w:highlight w:val="none"/>
          <w:lang w:eastAsia="zh-CN"/>
        </w:rPr>
      </w:pPr>
    </w:p>
    <w:p w14:paraId="7B69504D">
      <w:pPr>
        <w:pStyle w:val="style66"/>
        <w:tabs>
          <w:tab w:val="left" w:leader="none" w:pos="2816"/>
        </w:tabs>
        <w:spacing w:before="76" w:lineRule="auto" w:line="480"/>
        <w:ind w:left="402"/>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供应商名称：</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w:t>
      </w:r>
      <w:r>
        <w:rPr>
          <w:rFonts w:ascii="宋体" w:cs="宋体" w:eastAsia="宋体" w:hAnsi="宋体" w:hint="eastAsia"/>
          <w:color w:val="auto"/>
          <w:highlight w:val="none"/>
          <w:lang w:val="en-US" w:eastAsia="zh-CN"/>
        </w:rPr>
        <w:t>加盖供应商电子签章</w:t>
      </w:r>
      <w:r>
        <w:rPr>
          <w:rFonts w:ascii="宋体" w:cs="宋体" w:eastAsia="宋体" w:hAnsi="宋体" w:hint="eastAsia"/>
          <w:color w:val="auto"/>
          <w:highlight w:val="none"/>
          <w:lang w:eastAsia="zh-CN"/>
        </w:rPr>
        <w:t>）</w:t>
      </w:r>
    </w:p>
    <w:p w14:paraId="4152219D">
      <w:pPr>
        <w:pStyle w:val="style66"/>
        <w:spacing w:before="11" w:lineRule="auto" w:line="480"/>
        <w:jc w:val="right"/>
        <w:rPr>
          <w:rFonts w:ascii="宋体" w:cs="宋体" w:eastAsia="宋体" w:hAnsi="宋体" w:hint="eastAsia"/>
          <w:color w:val="auto"/>
          <w:sz w:val="10"/>
          <w:highlight w:val="none"/>
          <w:lang w:eastAsia="zh-CN"/>
        </w:rPr>
      </w:pPr>
    </w:p>
    <w:p w14:paraId="2E98D5D0">
      <w:pPr>
        <w:pStyle w:val="style66"/>
        <w:tabs>
          <w:tab w:val="left" w:leader="none" w:pos="1347"/>
          <w:tab w:val="left" w:leader="none" w:pos="2187"/>
          <w:tab w:val="left" w:leader="none" w:pos="2764"/>
        </w:tabs>
        <w:spacing w:before="69" w:lineRule="auto" w:line="480"/>
        <w:ind w:left="401"/>
        <w:jc w:val="right"/>
        <w:rPr>
          <w:rFonts w:ascii="宋体" w:cs="宋体" w:eastAsia="宋体" w:hAnsi="宋体" w:hint="eastAsia"/>
          <w:color w:val="auto"/>
          <w:highlight w:val="none"/>
          <w:lang w:eastAsia="zh-CN"/>
        </w:rPr>
      </w:pP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日</w:t>
      </w:r>
    </w:p>
    <w:p w14:paraId="73BF2CDF">
      <w:pPr>
        <w:pStyle w:val="style0"/>
        <w:spacing w:lineRule="auto" w:line="360"/>
        <w:rPr>
          <w:rFonts w:ascii="宋体" w:cs="宋体" w:eastAsia="宋体" w:hAnsi="宋体" w:hint="eastAsia"/>
          <w:color w:val="auto"/>
          <w:highlight w:val="none"/>
          <w:lang w:eastAsia="zh-CN"/>
        </w:rPr>
        <w:sectPr>
          <w:footerReference w:type="default" r:id="rId13"/>
          <w:pgSz w:w="11910" w:h="16840" w:orient="portrait"/>
          <w:pgMar w:top="1440" w:right="1080" w:bottom="1440" w:left="1080" w:header="878" w:footer="1130" w:gutter="0"/>
          <w:pgNumType w:fmt="decimal"/>
          <w:cols w:space="720" w:num="1"/>
        </w:sectPr>
      </w:pPr>
    </w:p>
    <w:bookmarkStart w:id="84" w:name="四、竞争性磋商承诺函"/>
    <w:bookmarkStart w:id="85" w:name="_Toc167"/>
    <w:bookmarkStart w:id="86" w:name="_Toc31065"/>
    <w:bookmarkStart w:id="87" w:name="_Toc15555"/>
    <w:bookmarkEnd w:id="84"/>
    <w:p w14:paraId="2B0425DD">
      <w:pPr>
        <w:pStyle w:val="style3"/>
        <w:spacing w:before="145" w:lineRule="auto" w:line="360"/>
        <w:ind w:left="1672"/>
        <w:jc w:val="lef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（二）法定代表人（或非法人组织负责人）授权委托书</w:t>
      </w:r>
      <w:bookmarkEnd w:id="85"/>
      <w:bookmarkEnd w:id="86"/>
      <w:bookmarkEnd w:id="87"/>
    </w:p>
    <w:p w14:paraId="7F040993">
      <w:pPr>
        <w:pStyle w:val="style66"/>
        <w:tabs>
          <w:tab w:val="left" w:leader="none" w:pos="1976"/>
          <w:tab w:val="left" w:leader="none" w:pos="3870"/>
          <w:tab w:val="left" w:leader="none" w:pos="8281"/>
        </w:tabs>
        <w:spacing w:before="190" w:lineRule="auto" w:line="360"/>
        <w:ind w:left="402" w:right="301" w:firstLine="42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本人</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（姓名）系</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（供应商名称）的法定代表人（或非法人组织负责人），现委托</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（姓名）为我方代理人。代理人根据授权，以我方名义签署、澄清、说明、补正、递交、撤回、修改</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（项目名称）响应文件、签订合同和处理一切与之有关的事宜，其法律后果由我方承担。</w:t>
      </w:r>
    </w:p>
    <w:p w14:paraId="2EAB8B6D">
      <w:pPr>
        <w:pStyle w:val="style66"/>
        <w:tabs>
          <w:tab w:val="left" w:leader="none" w:pos="3236"/>
        </w:tabs>
        <w:spacing w:lineRule="auto" w:line="360"/>
        <w:ind w:left="822" w:right="5658"/>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委托期限：</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w:t>
      </w:r>
    </w:p>
    <w:p w14:paraId="00FF30EB">
      <w:pPr>
        <w:pStyle w:val="style66"/>
        <w:tabs>
          <w:tab w:val="left" w:leader="none" w:pos="3236"/>
        </w:tabs>
        <w:spacing w:lineRule="auto" w:line="360"/>
        <w:ind w:left="822" w:right="5658"/>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代理人无转委托权。</w:t>
      </w:r>
    </w:p>
    <w:p w14:paraId="76E5E4F3">
      <w:pPr>
        <w:pStyle w:val="style66"/>
        <w:tabs>
          <w:tab w:val="left" w:leader="none" w:pos="2187"/>
          <w:tab w:val="left" w:leader="none" w:pos="2713"/>
          <w:tab w:val="left" w:leader="none" w:pos="3236"/>
        </w:tabs>
        <w:spacing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本授权书于</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日签字或盖章生效，</w:t>
      </w:r>
      <w:r>
        <w:rPr>
          <w:rFonts w:ascii="宋体" w:cs="宋体" w:eastAsia="宋体" w:hAnsi="宋体" w:hint="eastAsia"/>
          <w:b/>
          <w:color w:val="auto"/>
          <w:highlight w:val="none"/>
          <w:lang w:eastAsia="zh-CN"/>
        </w:rPr>
        <w:t>无转委托，</w:t>
      </w:r>
      <w:r>
        <w:rPr>
          <w:rFonts w:ascii="宋体" w:cs="宋体" w:eastAsia="宋体" w:hAnsi="宋体" w:hint="eastAsia"/>
          <w:color w:val="auto"/>
          <w:highlight w:val="none"/>
          <w:lang w:eastAsia="zh-CN"/>
        </w:rPr>
        <w:t>特此声明。</w:t>
      </w:r>
    </w:p>
    <w:p w14:paraId="0D20F41B">
      <w:pPr>
        <w:pStyle w:val="style66"/>
        <w:spacing w:before="7" w:lineRule="auto" w:line="360"/>
        <w:rPr>
          <w:rFonts w:ascii="宋体" w:cs="宋体" w:eastAsia="宋体" w:hAnsi="宋体" w:hint="eastAsia"/>
          <w:color w:val="auto"/>
          <w:sz w:val="16"/>
          <w:highlight w:val="none"/>
          <w:lang w:eastAsia="zh-CN"/>
        </w:rPr>
      </w:pPr>
      <w:r>
        <w:rPr>
          <w:rFonts w:ascii="宋体" w:cs="宋体" w:eastAsia="宋体" w:hAnsi="宋体" w:hint="eastAsia"/>
          <w:color w:val="auto"/>
          <w:highlight w:val="none"/>
          <w:lang w:eastAsia="zh-CN"/>
        </w:rPr>
        <mc:AlternateContent>
          <mc:Choice Requires="wps">
            <w:drawing>
              <wp:anchor distT="0" distB="0" distL="0" distR="0" simplePos="false" relativeHeight="3" behindDoc="false" locked="false" layoutInCell="true" allowOverlap="true">
                <wp:simplePos x="0" y="0"/>
                <wp:positionH relativeFrom="page">
                  <wp:posOffset>1169035</wp:posOffset>
                </wp:positionH>
                <wp:positionV relativeFrom="paragraph">
                  <wp:posOffset>162560</wp:posOffset>
                </wp:positionV>
                <wp:extent cx="5224780" cy="1529715"/>
                <wp:effectExtent l="4445" t="4445" r="9525" b="8890"/>
                <wp:wrapTopAndBottom/>
                <wp:docPr id="1028"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24780" cy="1529715"/>
                        </a:xfrm>
                        <a:prstGeom prst="rect"/>
                        <a:ln cmpd="sng" cap="flat" w="6096">
                          <a:solidFill>
                            <a:srgbClr val="000000"/>
                          </a:solidFill>
                          <a:prstDash val="solid"/>
                          <a:miter/>
                          <a:headEnd len="med" w="med" type="none"/>
                          <a:tailEnd len="med" w="med" type="none"/>
                        </a:ln>
                      </wps:spPr>
                      <wps:txbx id="1028">
                        <w:txbxContent>
                          <w:p w14:paraId="6BD483E3">
                            <w:pPr>
                              <w:pStyle w:val="style66"/>
                              <w:spacing w:before="105"/>
                              <w:ind w:left="2324"/>
                              <w:rPr>
                                <w:lang w:eastAsia="zh-CN"/>
                              </w:rPr>
                            </w:pPr>
                            <w:r>
                              <w:rPr>
                                <w:lang w:eastAsia="zh-CN"/>
                              </w:rPr>
                              <w:t>（※</w:t>
                            </w:r>
                            <w:r>
                              <w:rPr>
                                <w:rFonts w:hint="eastAsia"/>
                                <w:lang w:val="en-US" w:eastAsia="zh-CN"/>
                              </w:rPr>
                              <w:t>委托</w:t>
                            </w:r>
                            <w:r>
                              <w:rPr>
                                <w:rFonts w:hint="eastAsia"/>
                                <w:lang w:eastAsia="zh-CN"/>
                              </w:rPr>
                              <w:t>代理人</w:t>
                            </w:r>
                            <w:r>
                              <w:rPr>
                                <w:lang w:eastAsia="zh-CN"/>
                              </w:rPr>
                              <w:t>身份证正、反面扫描件※）</w:t>
                            </w:r>
                          </w:p>
                        </w:txbxContent>
                      </wps:txbx>
                      <wps:bodyPr lIns="0" rIns="0" tIns="0" bIns="0" upright="true">
                        <a:prstTxWarp prst="textNoShape"/>
                      </wps:bodyPr>
                    </wps:wsp>
                  </a:graphicData>
                </a:graphic>
              </wp:anchor>
            </w:drawing>
          </mc:Choice>
          <mc:Fallback>
            <w:pict>
              <v:rect id="1028" filled="f" stroked="t" style="position:absolute;margin-left:92.05pt;margin-top:12.8pt;width:411.4pt;height:120.45pt;z-index:3;mso-position-horizontal-relative:page;mso-position-vertical-relative:text;mso-width-relative:page;mso-height-relative:page;mso-wrap-distance-left:0.0pt;mso-wrap-distance-right:0.0pt;visibility:visible;">
                <v:stroke joinstyle="miter" weight="0.48pt"/>
                <w10:wrap type="topAndBottom"/>
                <v:fill/>
                <v:textbox inset="0.0pt,0.0pt,0.0pt,0.0pt">
                  <w:txbxContent>
                    <w:p w14:paraId="6BD483E3">
                      <w:pPr>
                        <w:pStyle w:val="style66"/>
                        <w:spacing w:before="105"/>
                        <w:ind w:left="2324"/>
                        <w:rPr>
                          <w:lang w:eastAsia="zh-CN"/>
                        </w:rPr>
                      </w:pPr>
                      <w:r>
                        <w:rPr>
                          <w:lang w:eastAsia="zh-CN"/>
                        </w:rPr>
                        <w:t>（※</w:t>
                      </w:r>
                      <w:r>
                        <w:rPr>
                          <w:rFonts w:hint="eastAsia"/>
                          <w:lang w:val="en-US" w:eastAsia="zh-CN"/>
                        </w:rPr>
                        <w:t>委托</w:t>
                      </w:r>
                      <w:r>
                        <w:rPr>
                          <w:rFonts w:hint="eastAsia"/>
                          <w:lang w:eastAsia="zh-CN"/>
                        </w:rPr>
                        <w:t>代理人</w:t>
                      </w:r>
                      <w:r>
                        <w:rPr>
                          <w:lang w:eastAsia="zh-CN"/>
                        </w:rPr>
                        <w:t>身份证正、反面扫描件※）</w:t>
                      </w:r>
                    </w:p>
                  </w:txbxContent>
                </v:textbox>
              </v:rect>
            </w:pict>
          </mc:Fallback>
        </mc:AlternateContent>
      </w:r>
    </w:p>
    <w:p w14:paraId="1050E62F">
      <w:pPr>
        <w:pStyle w:val="style66"/>
        <w:spacing w:lineRule="auto" w:line="360"/>
        <w:rPr>
          <w:rFonts w:ascii="宋体" w:cs="宋体" w:eastAsia="宋体" w:hAnsi="宋体" w:hint="eastAsia"/>
          <w:color w:val="auto"/>
          <w:sz w:val="22"/>
          <w:highlight w:val="none"/>
          <w:lang w:eastAsia="zh-CN"/>
        </w:rPr>
      </w:pPr>
    </w:p>
    <w:p w14:paraId="3E783AE9">
      <w:pPr>
        <w:pStyle w:val="style66"/>
        <w:spacing w:lineRule="auto" w:line="360"/>
        <w:rPr>
          <w:rFonts w:ascii="宋体" w:cs="宋体" w:eastAsia="宋体" w:hAnsi="宋体" w:hint="eastAsia"/>
          <w:color w:val="auto"/>
          <w:sz w:val="22"/>
          <w:highlight w:val="none"/>
          <w:lang w:eastAsia="zh-CN"/>
        </w:rPr>
      </w:pPr>
    </w:p>
    <w:p w14:paraId="35D3936E">
      <w:pPr>
        <w:pStyle w:val="style66"/>
        <w:tabs>
          <w:tab w:val="left" w:leader="none" w:pos="5336"/>
        </w:tabs>
        <w:spacing w:before="188" w:lineRule="auto" w:line="600"/>
        <w:ind w:left="822"/>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供应商名称：</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w:t>
      </w:r>
      <w:r>
        <w:rPr>
          <w:rFonts w:ascii="宋体" w:cs="宋体" w:eastAsia="宋体" w:hAnsi="宋体" w:hint="eastAsia"/>
          <w:color w:val="auto"/>
          <w:highlight w:val="none"/>
          <w:lang w:val="en-US" w:eastAsia="zh-CN"/>
        </w:rPr>
        <w:t>加盖供应商电子签章</w:t>
      </w:r>
      <w:r>
        <w:rPr>
          <w:rFonts w:ascii="宋体" w:cs="宋体" w:eastAsia="宋体" w:hAnsi="宋体" w:hint="eastAsia"/>
          <w:color w:val="auto"/>
          <w:highlight w:val="none"/>
          <w:lang w:eastAsia="zh-CN"/>
        </w:rPr>
        <w:t>）</w:t>
      </w:r>
    </w:p>
    <w:p w14:paraId="39CDD3EA">
      <w:pPr>
        <w:pStyle w:val="style66"/>
        <w:tabs>
          <w:tab w:val="left" w:leader="none" w:pos="5336"/>
        </w:tabs>
        <w:spacing w:lineRule="auto" w:line="600"/>
        <w:ind w:left="822"/>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法定代表人：</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（签字或盖章）</w:t>
      </w:r>
    </w:p>
    <w:p w14:paraId="7C7CA0FB">
      <w:pPr>
        <w:pStyle w:val="style66"/>
        <w:tabs>
          <w:tab w:val="left" w:leader="none" w:pos="5336"/>
        </w:tabs>
        <w:spacing w:lineRule="auto" w:line="600"/>
        <w:ind w:firstLine="3780" w:firstLineChars="1800"/>
        <w:jc w:val="both"/>
        <w:rPr>
          <w:rFonts w:ascii="宋体" w:cs="宋体" w:eastAsia="宋体" w:hAnsi="宋体" w:hint="eastAsia"/>
          <w:color w:val="auto"/>
          <w:highlight w:val="none"/>
          <w:lang w:val="en-US" w:eastAsia="zh-CN"/>
        </w:rPr>
      </w:pPr>
      <w:r>
        <w:rPr>
          <w:rFonts w:ascii="宋体" w:cs="宋体" w:eastAsia="宋体" w:hAnsi="宋体" w:hint="eastAsia"/>
          <w:color w:val="auto"/>
          <w:highlight w:val="none"/>
          <w:lang w:eastAsia="zh-CN"/>
        </w:rPr>
        <w:t>身份证号码：</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val="en-US" w:eastAsia="zh-CN"/>
        </w:rPr>
        <w:t xml:space="preserve"> </w:t>
      </w:r>
    </w:p>
    <w:p w14:paraId="05742AA7">
      <w:pPr>
        <w:pStyle w:val="style66"/>
        <w:tabs>
          <w:tab w:val="left" w:leader="none" w:pos="5756"/>
        </w:tabs>
        <w:spacing w:lineRule="auto" w:line="600"/>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委托代理人：</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（签字）</w:t>
      </w:r>
    </w:p>
    <w:p w14:paraId="1639F592">
      <w:pPr>
        <w:pStyle w:val="style66"/>
        <w:tabs>
          <w:tab w:val="left" w:leader="none" w:pos="3919"/>
        </w:tabs>
        <w:spacing w:lineRule="auto" w:line="600"/>
        <w:ind w:left="822"/>
        <w:jc w:val="center"/>
        <w:rPr>
          <w:rFonts w:ascii="宋体" w:cs="宋体" w:eastAsia="宋体" w:hAnsi="宋体" w:hint="eastAsia"/>
          <w:color w:val="auto"/>
          <w:highlight w:val="none"/>
          <w:lang w:val="en-US" w:eastAsia="zh-CN"/>
        </w:rPr>
      </w:pPr>
      <w:r>
        <w:rPr>
          <w:rFonts w:ascii="宋体" w:cs="宋体" w:eastAsia="宋体" w:hAnsi="宋体" w:hint="eastAsia"/>
          <w:color w:val="auto"/>
          <w:highlight w:val="none"/>
          <w:lang w:eastAsia="zh-CN"/>
        </w:rPr>
        <w:t>身份证号码：</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p>
    <w:p w14:paraId="65506B27">
      <w:pPr>
        <w:pStyle w:val="style66"/>
        <w:tabs>
          <w:tab w:val="left" w:leader="none" w:pos="1504"/>
          <w:tab w:val="left" w:leader="none" w:pos="2622"/>
          <w:tab w:val="left" w:leader="none" w:pos="3567"/>
        </w:tabs>
        <w:spacing w:before="69" w:lineRule="auto" w:line="600"/>
        <w:ind w:left="613"/>
        <w:jc w:val="right"/>
        <w:rPr>
          <w:rFonts w:ascii="宋体" w:cs="宋体" w:eastAsia="宋体" w:hAnsi="宋体" w:hint="eastAsia"/>
          <w:color w:val="auto"/>
          <w:highlight w:val="none"/>
          <w:lang w:eastAsia="zh-CN"/>
        </w:rPr>
      </w:pP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日</w:t>
      </w:r>
    </w:p>
    <w:p w14:paraId="3FAB6C53">
      <w:pPr>
        <w:pStyle w:val="style0"/>
        <w:spacing w:lineRule="auto" w:line="360"/>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p>
    <w:bookmarkStart w:id="88" w:name="_Toc1826"/>
    <w:bookmarkStart w:id="89" w:name="_Toc26375"/>
    <w:bookmarkStart w:id="90" w:name="_Toc13212"/>
    <w:p w14:paraId="736D2894">
      <w:pPr>
        <w:pStyle w:val="style0"/>
        <w:spacing w:before="203" w:lineRule="auto" w:line="360"/>
        <w:ind w:left="1" w:right="1"/>
        <w:jc w:val="center"/>
        <w:outlineLvl w:val="1"/>
        <w:rPr>
          <w:rFonts w:ascii="宋体" w:cs="宋体" w:eastAsia="宋体" w:hAnsi="宋体" w:hint="eastAsia"/>
          <w:b/>
          <w:color w:val="auto"/>
          <w:sz w:val="28"/>
          <w:szCs w:val="28"/>
          <w:highlight w:val="none"/>
          <w:lang w:eastAsia="zh-CN"/>
        </w:rPr>
      </w:pPr>
      <w:r>
        <w:rPr>
          <w:rFonts w:cs="宋体" w:hint="eastAsia"/>
          <w:b/>
          <w:color w:val="auto"/>
          <w:sz w:val="28"/>
          <w:szCs w:val="28"/>
          <w:highlight w:val="none"/>
          <w:lang w:val="en-US" w:eastAsia="zh-CN"/>
        </w:rPr>
        <w:t>三</w:t>
      </w:r>
      <w:r>
        <w:rPr>
          <w:rFonts w:ascii="宋体" w:cs="宋体" w:eastAsia="宋体" w:hAnsi="宋体" w:hint="eastAsia"/>
          <w:b/>
          <w:color w:val="auto"/>
          <w:sz w:val="28"/>
          <w:szCs w:val="28"/>
          <w:highlight w:val="none"/>
          <w:lang w:eastAsia="zh-CN"/>
        </w:rPr>
        <w:t>、竞争性磋商承诺函</w:t>
      </w:r>
      <w:bookmarkEnd w:id="88"/>
      <w:bookmarkEnd w:id="89"/>
      <w:bookmarkEnd w:id="90"/>
    </w:p>
    <w:bookmarkStart w:id="91" w:name="（一）磋商承诺函"/>
    <w:bookmarkEnd w:id="91"/>
    <w:p w14:paraId="119D404B">
      <w:pPr>
        <w:pStyle w:val="style66"/>
        <w:spacing w:before="156" w:lineRule="auto" w:line="360"/>
        <w:ind w:left="822"/>
        <w:rPr>
          <w:rFonts w:ascii="宋体" w:cs="宋体" w:eastAsia="宋体" w:hAnsi="宋体" w:hint="eastAsia"/>
          <w:color w:val="auto"/>
          <w:highlight w:val="none"/>
          <w:lang w:eastAsia="zh-CN"/>
        </w:rPr>
      </w:pPr>
    </w:p>
    <w:p w14:paraId="0C9D71FD">
      <w:pPr>
        <w:pStyle w:val="style66"/>
        <w:spacing w:before="156" w:lineRule="auto" w:line="360"/>
        <w:ind w:left="822"/>
        <w:rPr>
          <w:rFonts w:ascii="宋体" w:cs="宋体" w:eastAsia="宋体" w:hAnsi="宋体" w:hint="eastAsia"/>
          <w:color w:val="auto"/>
          <w:highlight w:val="none"/>
          <w:lang w:val="en-US" w:eastAsia="zh-CN"/>
        </w:rPr>
      </w:pPr>
      <w:r>
        <w:rPr>
          <w:rFonts w:ascii="宋体" w:cs="宋体" w:eastAsia="宋体" w:hAnsi="宋体" w:hint="eastAsia"/>
          <w:color w:val="auto"/>
          <w:highlight w:val="none"/>
          <w:lang w:eastAsia="zh-CN"/>
        </w:rPr>
        <w:t>致：</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u w:val="single"/>
          <w:lang w:eastAsia="zh-CN"/>
        </w:rPr>
        <w:t>（</w:t>
      </w:r>
      <w:r>
        <w:rPr>
          <w:rFonts w:ascii="宋体" w:cs="宋体" w:eastAsia="宋体" w:hAnsi="宋体" w:hint="eastAsia"/>
          <w:i/>
          <w:iCs/>
          <w:color w:val="auto"/>
          <w:highlight w:val="none"/>
          <w:u w:val="single"/>
          <w:lang w:eastAsia="zh-CN"/>
        </w:rPr>
        <w:t>采购人及采购代理机构</w:t>
      </w:r>
      <w:r>
        <w:rPr>
          <w:rFonts w:ascii="宋体" w:cs="宋体" w:eastAsia="宋体" w:hAnsi="宋体" w:hint="eastAsia"/>
          <w:color w:val="auto"/>
          <w:highlight w:val="none"/>
          <w:u w:val="single"/>
          <w:lang w:eastAsia="zh-CN"/>
        </w:rPr>
        <w:t>）</w:t>
      </w:r>
      <w:r>
        <w:rPr>
          <w:rFonts w:ascii="宋体" w:cs="宋体" w:eastAsia="宋体" w:hAnsi="宋体" w:hint="eastAsia"/>
          <w:color w:val="auto"/>
          <w:highlight w:val="none"/>
          <w:u w:val="single"/>
          <w:lang w:val="en-US" w:eastAsia="zh-CN"/>
        </w:rPr>
        <w:t xml:space="preserve">  </w:t>
      </w:r>
    </w:p>
    <w:p w14:paraId="3BCC299C">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我公司作为本次采购项目的供应商，根据磋商文件要求，现郑重承诺如下：</w:t>
      </w:r>
    </w:p>
    <w:p w14:paraId="7919AE12">
      <w:pPr>
        <w:pStyle w:val="style66"/>
        <w:spacing w:before="139"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一、具备《中华人民共和国政府采购法》第二十二条第一款和本项目规定的条件：</w:t>
      </w:r>
    </w:p>
    <w:p w14:paraId="5449705E">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（一）具有独立承担民事责任的能力；</w:t>
      </w:r>
    </w:p>
    <w:p w14:paraId="49649E21">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（二）具有良好的商业信誉和健全的财务会计制度；</w:t>
      </w:r>
    </w:p>
    <w:p w14:paraId="03BA545B">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（三）具有履行合同所必需的设备和专业技术能力；</w:t>
      </w:r>
    </w:p>
    <w:p w14:paraId="2C037869">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（四）有依法缴纳税收和社会保障资金的良好记录；</w:t>
      </w:r>
    </w:p>
    <w:p w14:paraId="16F0B73E">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（五）参加政府采购活动前三年内，在经营活动中没有重大违法记录；</w:t>
      </w:r>
    </w:p>
    <w:p w14:paraId="2CA896F5">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（六）法律、行政法规规定的其他条件；</w:t>
      </w:r>
    </w:p>
    <w:p w14:paraId="5055BA50">
      <w:pPr>
        <w:pStyle w:val="style66"/>
        <w:spacing w:before="139"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（七）根据采购项目提出的特殊条件。</w:t>
      </w:r>
    </w:p>
    <w:p w14:paraId="203F7157">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14:paraId="6B47ACA6">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三、参加本次采购活动，不存在与单位负责人为同一人或者存在直接控股、管理关系的其他供应商参与同一合同项下的政府采购活动的行为。</w:t>
      </w:r>
    </w:p>
    <w:p w14:paraId="0F3945E9">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四、参加本次采购活动，不存在为采购项目提供整体设计、规范编制或者项目管理、监理、检测等服务的行为。</w:t>
      </w:r>
    </w:p>
    <w:p w14:paraId="68A8648E">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五、参加本次采购活动，不存在和其他供应商在同一合同项下的采购项目中，同时委托同一个自然人、同一家庭的人员、同一单位的人员作为代理人的行为。</w:t>
      </w:r>
    </w:p>
    <w:p w14:paraId="3A1608FA">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六、供应商参加本次政府采购活动要求在近三年内供应商和其法定代表人没有行贿犯罪行为。</w:t>
      </w:r>
    </w:p>
    <w:p w14:paraId="30A5EA2F">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七、参加本次采购活动，不存在联合体磋商。</w:t>
      </w:r>
    </w:p>
    <w:p w14:paraId="607FD4C6">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八、响应文件中提供的能够给予我公司带来优惠、好处的任何材料资料和技术、服务、综合等响应承诺情况都是真实的、有效的、合法的。</w:t>
      </w:r>
    </w:p>
    <w:p w14:paraId="7AD7F760">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九、存在以下行为之一的愿意接受相关部门的处理：</w:t>
      </w:r>
    </w:p>
    <w:p w14:paraId="65CA961F">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（一）磋商有效期内撤销响应文件的；</w:t>
      </w:r>
    </w:p>
    <w:p w14:paraId="64862FAD">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（二）在采购人确定成交</w:t>
      </w:r>
      <w:r>
        <w:rPr>
          <w:rFonts w:ascii="宋体" w:cs="宋体" w:eastAsia="宋体" w:hAnsi="宋体" w:hint="eastAsia"/>
          <w:color w:val="auto"/>
          <w:highlight w:val="none"/>
          <w:lang w:val="en-US" w:eastAsia="zh-CN"/>
        </w:rPr>
        <w:t>供应商</w:t>
      </w:r>
      <w:r>
        <w:rPr>
          <w:rFonts w:ascii="宋体" w:cs="宋体" w:eastAsia="宋体" w:hAnsi="宋体" w:hint="eastAsia"/>
          <w:color w:val="auto"/>
          <w:highlight w:val="none"/>
          <w:lang w:eastAsia="zh-CN"/>
        </w:rPr>
        <w:t>以前放弃成交候选资格的；</w:t>
      </w:r>
    </w:p>
    <w:p w14:paraId="4C8C68BF">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（三）由于成交</w:t>
      </w:r>
      <w:r>
        <w:rPr>
          <w:rFonts w:ascii="宋体" w:cs="宋体" w:eastAsia="宋体" w:hAnsi="宋体" w:hint="eastAsia"/>
          <w:color w:val="auto"/>
          <w:highlight w:val="none"/>
          <w:lang w:val="en-US" w:eastAsia="zh-CN"/>
        </w:rPr>
        <w:t>供应商</w:t>
      </w:r>
      <w:r>
        <w:rPr>
          <w:rFonts w:ascii="宋体" w:cs="宋体" w:eastAsia="宋体" w:hAnsi="宋体" w:hint="eastAsia"/>
          <w:color w:val="auto"/>
          <w:highlight w:val="none"/>
          <w:lang w:eastAsia="zh-CN"/>
        </w:rPr>
        <w:t>的原因未能按照磋商文件的规定与采购人签订合同；</w:t>
      </w:r>
    </w:p>
    <w:p w14:paraId="7EC3CCA5">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（四）由于成交</w:t>
      </w:r>
      <w:r>
        <w:rPr>
          <w:rFonts w:ascii="宋体" w:cs="宋体" w:eastAsia="宋体" w:hAnsi="宋体" w:hint="eastAsia"/>
          <w:color w:val="auto"/>
          <w:highlight w:val="none"/>
          <w:lang w:val="en-US" w:eastAsia="zh-CN"/>
        </w:rPr>
        <w:t>供应商</w:t>
      </w:r>
      <w:r>
        <w:rPr>
          <w:rFonts w:ascii="宋体" w:cs="宋体" w:eastAsia="宋体" w:hAnsi="宋体" w:hint="eastAsia"/>
          <w:color w:val="auto"/>
          <w:highlight w:val="none"/>
          <w:lang w:eastAsia="zh-CN"/>
        </w:rPr>
        <w:t>的原因未能按照磋商文件的规定交纳履约保证金（如有）；</w:t>
      </w:r>
    </w:p>
    <w:p w14:paraId="6015093D">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（五）在响应文件中提供虚假材料谋取成交；</w:t>
      </w:r>
    </w:p>
    <w:bookmarkStart w:id="92" w:name="（二）采购代理服务费承诺函"/>
    <w:bookmarkEnd w:id="92"/>
    <w:p w14:paraId="5AA511DC">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（六）与采购人、其他供应商或者采购代理机构恶意串通的；</w:t>
      </w:r>
    </w:p>
    <w:p w14:paraId="301A3032">
      <w:pPr>
        <w:pStyle w:val="style66"/>
        <w:spacing w:before="142" w:lineRule="auto" w:line="360"/>
        <w:ind w:left="82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（七）磋商有效期内，供应商在政府采购活动中有违法、违规、违纪行为。</w:t>
      </w:r>
    </w:p>
    <w:p w14:paraId="7E8C519F">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由此产生的一切法律后果和责任由我公司承担。我公司声明放弃对此提出任何异议和追索的权利。</w:t>
      </w:r>
    </w:p>
    <w:p w14:paraId="16549401">
      <w:pPr>
        <w:pStyle w:val="style66"/>
        <w:spacing w:before="142" w:lineRule="auto" w:line="360"/>
        <w:ind w:firstLine="420" w:firstLineChars="20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本公司对上述承诺的内容事项真实性负责。如经查实上述承诺的内容事项存在虚假，我公司愿意接受以提供虚假材料谋取中标追究法律责任。</w:t>
      </w:r>
    </w:p>
    <w:p w14:paraId="30298CAB">
      <w:pPr>
        <w:pStyle w:val="style66"/>
        <w:spacing w:lineRule="auto" w:line="360"/>
        <w:rPr>
          <w:rFonts w:ascii="宋体" w:cs="宋体" w:eastAsia="宋体" w:hAnsi="宋体" w:hint="eastAsia"/>
          <w:color w:val="auto"/>
          <w:sz w:val="20"/>
          <w:highlight w:val="none"/>
          <w:lang w:eastAsia="zh-CN"/>
        </w:rPr>
      </w:pPr>
    </w:p>
    <w:p w14:paraId="3DA972A8">
      <w:pPr>
        <w:pStyle w:val="style66"/>
        <w:spacing w:lineRule="auto" w:line="360"/>
        <w:rPr>
          <w:rFonts w:ascii="宋体" w:cs="宋体" w:eastAsia="宋体" w:hAnsi="宋体" w:hint="eastAsia"/>
          <w:color w:val="auto"/>
          <w:sz w:val="20"/>
          <w:highlight w:val="none"/>
          <w:lang w:eastAsia="zh-CN"/>
        </w:rPr>
      </w:pPr>
    </w:p>
    <w:p w14:paraId="64191A05">
      <w:pPr>
        <w:pStyle w:val="style66"/>
        <w:spacing w:lineRule="auto" w:line="360"/>
        <w:rPr>
          <w:rFonts w:ascii="宋体" w:cs="宋体" w:eastAsia="宋体" w:hAnsi="宋体" w:hint="eastAsia"/>
          <w:color w:val="auto"/>
          <w:sz w:val="20"/>
          <w:highlight w:val="none"/>
          <w:lang w:eastAsia="zh-CN"/>
        </w:rPr>
      </w:pPr>
    </w:p>
    <w:p w14:paraId="215A57E1">
      <w:pPr>
        <w:pStyle w:val="style66"/>
        <w:tabs>
          <w:tab w:val="left" w:leader="none" w:pos="6567"/>
        </w:tabs>
        <w:spacing w:lineRule="auto" w:line="480"/>
        <w:ind w:left="2999"/>
        <w:jc w:val="right"/>
        <w:rPr>
          <w:rFonts w:ascii="宋体" w:cs="宋体" w:eastAsia="宋体" w:hAnsi="宋体" w:hint="eastAsia"/>
          <w:color w:val="auto"/>
          <w:sz w:val="10"/>
          <w:highlight w:val="none"/>
          <w:lang w:eastAsia="zh-CN"/>
        </w:rPr>
      </w:pPr>
      <w:r>
        <w:rPr>
          <w:rFonts w:ascii="宋体" w:cs="宋体" w:eastAsia="宋体" w:hAnsi="宋体" w:hint="eastAsia"/>
          <w:color w:val="auto"/>
          <w:highlight w:val="none"/>
          <w:lang w:eastAsia="zh-CN"/>
        </w:rPr>
        <w:t>供应商名称：</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u w:val="single"/>
          <w:lang w:eastAsia="zh-CN"/>
        </w:rPr>
        <w:t>（</w:t>
      </w:r>
      <w:r>
        <w:rPr>
          <w:rFonts w:ascii="宋体" w:cs="宋体" w:eastAsia="宋体" w:hAnsi="宋体" w:hint="eastAsia"/>
          <w:color w:val="auto"/>
          <w:highlight w:val="none"/>
          <w:u w:val="single"/>
          <w:lang w:val="en-US" w:eastAsia="zh-CN"/>
        </w:rPr>
        <w:t>加盖供应商电子签章</w:t>
      </w:r>
      <w:r>
        <w:rPr>
          <w:rFonts w:ascii="宋体" w:cs="宋体" w:eastAsia="宋体" w:hAnsi="宋体" w:hint="eastAsia"/>
          <w:color w:val="auto"/>
          <w:highlight w:val="none"/>
          <w:u w:val="single"/>
          <w:lang w:eastAsia="zh-CN"/>
        </w:rPr>
        <w:t>）</w:t>
      </w:r>
    </w:p>
    <w:p w14:paraId="37465286">
      <w:pPr>
        <w:pStyle w:val="style66"/>
        <w:tabs>
          <w:tab w:val="left" w:leader="none" w:pos="7062"/>
        </w:tabs>
        <w:spacing w:before="70" w:lineRule="auto" w:line="480"/>
        <w:ind w:left="2862"/>
        <w:jc w:val="right"/>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法定代表人或其委托代理人：</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u w:val="single"/>
          <w:lang w:eastAsia="zh-CN"/>
        </w:rPr>
        <w:t>（签字或盖章）</w:t>
      </w:r>
    </w:p>
    <w:p w14:paraId="66288B53">
      <w:pPr>
        <w:pStyle w:val="style66"/>
        <w:tabs>
          <w:tab w:val="left" w:leader="none" w:pos="1033"/>
          <w:tab w:val="left" w:leader="none" w:pos="1976"/>
          <w:tab w:val="left" w:leader="none" w:pos="2922"/>
        </w:tabs>
        <w:spacing w:before="139" w:lineRule="auto" w:line="480"/>
        <w:ind w:left="401"/>
        <w:jc w:val="right"/>
        <w:rPr>
          <w:rFonts w:ascii="宋体" w:cs="宋体" w:eastAsia="宋体" w:hAnsi="宋体" w:hint="eastAsia"/>
          <w:color w:val="auto"/>
          <w:highlight w:val="none"/>
          <w:lang w:eastAsia="zh-CN"/>
        </w:rPr>
      </w:pP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val="en-US" w:eastAsia="zh-CN"/>
        </w:rPr>
        <w:t xml:space="preserve">     </w:t>
      </w:r>
      <w:r>
        <w:rPr>
          <w:rFonts w:ascii="宋体" w:cs="宋体" w:eastAsia="宋体" w:hAnsi="宋体" w:hint="eastAsia"/>
          <w:color w:val="auto"/>
          <w:highlight w:val="none"/>
          <w:lang w:eastAsia="zh-CN"/>
        </w:rPr>
        <w:t>日</w:t>
      </w:r>
    </w:p>
    <w:p w14:paraId="5BB581F0">
      <w:pPr>
        <w:pStyle w:val="style0"/>
        <w:spacing w:lineRule="auto" w:line="360"/>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p>
    <w:bookmarkStart w:id="93" w:name="五、供应商基本情况表"/>
    <w:bookmarkStart w:id="94" w:name="六、企业业绩信息"/>
    <w:bookmarkStart w:id="95" w:name="_Toc32490"/>
    <w:bookmarkStart w:id="96" w:name="_Toc23132"/>
    <w:bookmarkStart w:id="97" w:name="_Toc12065"/>
    <w:bookmarkEnd w:id="93"/>
    <w:bookmarkEnd w:id="94"/>
    <w:p w14:paraId="670B8473">
      <w:pPr>
        <w:pStyle w:val="style2"/>
        <w:spacing w:before="67" w:lineRule="auto" w:line="360"/>
        <w:ind w:left="8" w:right="1"/>
        <w:outlineLvl w:val="1"/>
        <w:rPr>
          <w:rFonts w:ascii="宋体" w:cs="宋体" w:eastAsia="宋体" w:hAnsi="宋体" w:hint="eastAsia"/>
          <w:b/>
          <w:bCs/>
          <w:color w:val="auto"/>
          <w:highlight w:val="none"/>
          <w:lang w:eastAsia="zh-CN"/>
        </w:rPr>
      </w:pPr>
      <w:r>
        <w:rPr>
          <w:rFonts w:cs="宋体" w:hint="eastAsia"/>
          <w:b/>
          <w:bCs/>
          <w:color w:val="auto"/>
          <w:highlight w:val="none"/>
          <w:lang w:val="en-US" w:eastAsia="zh-CN"/>
        </w:rPr>
        <w:t>四</w:t>
      </w:r>
      <w:r>
        <w:rPr>
          <w:rFonts w:ascii="宋体" w:cs="宋体" w:eastAsia="宋体" w:hAnsi="宋体" w:hint="eastAsia"/>
          <w:b/>
          <w:bCs/>
          <w:color w:val="auto"/>
          <w:highlight w:val="none"/>
          <w:lang w:eastAsia="zh-CN"/>
        </w:rPr>
        <w:t>、</w:t>
      </w:r>
      <w:bookmarkEnd w:id="95"/>
      <w:bookmarkEnd w:id="96"/>
      <w:r>
        <w:rPr>
          <w:rFonts w:ascii="宋体" w:cs="宋体" w:eastAsia="宋体" w:hAnsi="宋体" w:hint="eastAsia"/>
          <w:b/>
          <w:bCs/>
          <w:color w:val="auto"/>
          <w:highlight w:val="none"/>
          <w:lang w:eastAsia="zh-CN"/>
        </w:rPr>
        <w:t>资格证明文件</w:t>
      </w:r>
      <w:bookmarkEnd w:id="97"/>
    </w:p>
    <w:p w14:paraId="5119E98A">
      <w:pPr>
        <w:pStyle w:val="style0"/>
        <w:rPr>
          <w:rFonts w:ascii="宋体" w:cs="宋体" w:eastAsia="宋体" w:hAnsi="宋体" w:hint="eastAsia"/>
          <w:color w:val="auto"/>
          <w:highlight w:val="none"/>
          <w:lang w:eastAsia="zh-CN"/>
        </w:rPr>
      </w:pPr>
    </w:p>
    <w:p w14:paraId="34DA27A7">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zh-CN" w:eastAsia="zh-CN"/>
        </w:rPr>
        <w:t>1、满足《中华人民共和国政府采购法》第二十二条规定；</w:t>
      </w:r>
    </w:p>
    <w:p w14:paraId="63AB7581">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en-US" w:eastAsia="zh-CN"/>
        </w:rPr>
        <w:t>1.1</w:t>
      </w:r>
      <w:r>
        <w:rPr>
          <w:rFonts w:ascii="宋体" w:cs="宋体" w:eastAsia="宋体" w:hAnsi="宋体" w:hint="eastAsia"/>
          <w:color w:val="auto"/>
          <w:kern w:val="0"/>
          <w:sz w:val="21"/>
          <w:szCs w:val="21"/>
          <w:highlight w:val="none"/>
          <w:lang w:val="zh-CN" w:eastAsia="zh-CN"/>
        </w:rPr>
        <w:t>.具有独立承担民事责任的能力：</w:t>
      </w:r>
      <w:r>
        <w:rPr>
          <w:rFonts w:ascii="宋体" w:cs="宋体" w:eastAsia="宋体" w:hAnsi="宋体" w:hint="eastAsia"/>
          <w:color w:val="auto"/>
          <w:kern w:val="0"/>
          <w:sz w:val="21"/>
          <w:szCs w:val="21"/>
          <w:highlight w:val="none"/>
          <w:lang w:eastAsia="zh-CN"/>
        </w:rPr>
        <w:t>提供有效的营业执照或事业单位法人证书等证明材料</w:t>
      </w:r>
      <w:r>
        <w:rPr>
          <w:rFonts w:ascii="宋体" w:cs="宋体" w:eastAsia="宋体" w:hAnsi="宋体" w:hint="eastAsia"/>
          <w:color w:val="auto"/>
          <w:kern w:val="0"/>
          <w:sz w:val="21"/>
          <w:szCs w:val="21"/>
          <w:highlight w:val="none"/>
          <w:lang w:val="zh-CN" w:eastAsia="zh-CN"/>
        </w:rPr>
        <w:t>。</w:t>
      </w:r>
    </w:p>
    <w:p w14:paraId="07BBA4FD">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en-US" w:eastAsia="zh-CN"/>
        </w:rPr>
        <w:t>1.2</w:t>
      </w:r>
      <w:r>
        <w:rPr>
          <w:rFonts w:ascii="宋体" w:cs="宋体" w:eastAsia="宋体" w:hAnsi="宋体" w:hint="eastAsia"/>
          <w:color w:val="auto"/>
          <w:kern w:val="0"/>
          <w:sz w:val="21"/>
          <w:szCs w:val="21"/>
          <w:highlight w:val="none"/>
          <w:lang w:val="zh-CN" w:eastAsia="zh-CN"/>
        </w:rPr>
        <w:t>.具有良好的商业信誉和健全的财务会计制度：提供相关证明材料或承诺书。</w:t>
      </w:r>
    </w:p>
    <w:p w14:paraId="57D99FFB">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en-US" w:eastAsia="zh-CN"/>
        </w:rPr>
        <w:t>1.3</w:t>
      </w:r>
      <w:r>
        <w:rPr>
          <w:rFonts w:ascii="宋体" w:cs="宋体" w:eastAsia="宋体" w:hAnsi="宋体" w:hint="eastAsia"/>
          <w:color w:val="auto"/>
          <w:kern w:val="0"/>
          <w:sz w:val="21"/>
          <w:szCs w:val="21"/>
          <w:highlight w:val="none"/>
          <w:lang w:val="zh-CN" w:eastAsia="zh-CN"/>
        </w:rPr>
        <w:t>.具有履行合同所必需的设备和专业技术能力：提供相关证明材料或承诺书。</w:t>
      </w:r>
    </w:p>
    <w:p w14:paraId="44385DD3">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en-US" w:eastAsia="zh-CN"/>
        </w:rPr>
        <w:t>1.4</w:t>
      </w:r>
      <w:r>
        <w:rPr>
          <w:rFonts w:ascii="宋体" w:cs="宋体" w:eastAsia="宋体" w:hAnsi="宋体" w:hint="eastAsia"/>
          <w:color w:val="auto"/>
          <w:kern w:val="0"/>
          <w:sz w:val="21"/>
          <w:szCs w:val="21"/>
          <w:highlight w:val="none"/>
          <w:lang w:val="zh-CN" w:eastAsia="zh-CN"/>
        </w:rPr>
        <w:t>.有依法缴纳税收和社会保障资金的良好记录：提供相关证明材料或承诺书。</w:t>
      </w:r>
    </w:p>
    <w:p w14:paraId="273885E1">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en-US" w:eastAsia="zh-CN"/>
        </w:rPr>
        <w:t>1.5</w:t>
      </w:r>
      <w:r>
        <w:rPr>
          <w:rFonts w:ascii="宋体" w:cs="宋体" w:eastAsia="宋体" w:hAnsi="宋体" w:hint="eastAsia"/>
          <w:color w:val="auto"/>
          <w:kern w:val="0"/>
          <w:sz w:val="21"/>
          <w:szCs w:val="21"/>
          <w:highlight w:val="none"/>
          <w:lang w:val="zh-CN" w:eastAsia="zh-CN"/>
        </w:rPr>
        <w:t>.参加政府采购活动前三年内，在经营活动中没有重大违法记录：</w:t>
      </w:r>
      <w:r>
        <w:rPr>
          <w:rFonts w:ascii="宋体" w:cs="宋体" w:eastAsia="宋体" w:hAnsi="宋体" w:hint="eastAsia"/>
          <w:color w:val="auto"/>
          <w:kern w:val="0"/>
          <w:sz w:val="21"/>
          <w:szCs w:val="21"/>
          <w:highlight w:val="none"/>
          <w:lang w:val="en-US" w:eastAsia="zh-CN"/>
        </w:rPr>
        <w:t>提供</w:t>
      </w:r>
      <w:r>
        <w:rPr>
          <w:rFonts w:ascii="宋体" w:cs="宋体" w:eastAsia="宋体" w:hAnsi="宋体" w:hint="eastAsia"/>
          <w:color w:val="auto"/>
          <w:kern w:val="0"/>
          <w:sz w:val="21"/>
          <w:szCs w:val="21"/>
          <w:highlight w:val="none"/>
          <w:lang w:val="zh-CN" w:eastAsia="zh-CN"/>
        </w:rPr>
        <w:t>承诺书（格式自拟）。</w:t>
      </w:r>
    </w:p>
    <w:p w14:paraId="353DCFEC">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zh-CN" w:eastAsia="zh-CN"/>
        </w:rPr>
        <w:t>2、落实政府采购政策满足的资格要求：本项目非专门面向中小企业采购。供应商为中小微企业、监狱企业、残疾人福利性单位，落实中小企业价格评审优惠政策，中小企业划型标准请依据工信部联企业〔2011〕300号文件之规定</w:t>
      </w:r>
    </w:p>
    <w:p w14:paraId="56426B1B">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zh-CN" w:eastAsia="zh-CN"/>
        </w:rPr>
      </w:pPr>
      <w:r>
        <w:rPr>
          <w:rFonts w:ascii="宋体" w:cs="宋体" w:eastAsia="宋体" w:hAnsi="宋体" w:hint="eastAsia"/>
          <w:color w:val="auto"/>
          <w:kern w:val="0"/>
          <w:sz w:val="21"/>
          <w:szCs w:val="21"/>
          <w:highlight w:val="none"/>
          <w:lang w:val="zh-CN" w:eastAsia="zh-CN"/>
        </w:rPr>
        <w:t>3、本项目的特定资格要求</w:t>
      </w:r>
    </w:p>
    <w:p w14:paraId="24C79113">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lang w:val="en-US" w:eastAsia="zh-CN"/>
        </w:rPr>
      </w:pPr>
      <w:r>
        <w:rPr>
          <w:rFonts w:ascii="宋体" w:cs="宋体" w:eastAsia="宋体" w:hAnsi="宋体" w:hint="eastAsia"/>
          <w:color w:val="auto"/>
          <w:kern w:val="0"/>
          <w:sz w:val="21"/>
          <w:szCs w:val="21"/>
          <w:highlight w:val="none"/>
          <w:lang w:val="en-US" w:eastAsia="zh-CN"/>
        </w:rPr>
        <w:t>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采购代理机构在开标当天将对所有参与本项目磋商的供应商信用情况进行查询、打印留存。若在开标当天查询到供应商有相关负面信息的，则该供应商为无效响应。</w:t>
      </w:r>
    </w:p>
    <w:p w14:paraId="232201A9">
      <w:pPr>
        <w:pStyle w:val="style0"/>
        <w:numPr>
          <w:ilvl w:val="0"/>
          <w:numId w:val="0"/>
        </w:numPr>
        <w:autoSpaceDE w:val="false"/>
        <w:autoSpaceDN w:val="false"/>
        <w:adjustRightInd w:val="false"/>
        <w:spacing w:lineRule="auto" w:line="360"/>
        <w:ind w:firstLine="420" w:firstLineChars="200"/>
        <w:jc w:val="left"/>
        <w:rPr>
          <w:rFonts w:ascii="宋体" w:cs="宋体" w:eastAsia="宋体" w:hAnsi="宋体" w:hint="eastAsia"/>
          <w:color w:val="auto"/>
          <w:kern w:val="0"/>
          <w:sz w:val="21"/>
          <w:szCs w:val="21"/>
          <w:highlight w:val="none"/>
        </w:rPr>
      </w:pPr>
      <w:r>
        <w:rPr>
          <w:rFonts w:ascii="宋体" w:cs="宋体" w:eastAsia="宋体" w:hAnsi="宋体" w:hint="eastAsia"/>
          <w:bCs/>
          <w:sz w:val="21"/>
          <w:szCs w:val="21"/>
          <w:highlight w:val="none"/>
          <w:lang w:val="en-US" w:eastAsia="zh-CN"/>
        </w:rPr>
        <w:t>单位负责人为同一人或者存在直接控股、管理关系的不同供应商，不得参加同一合同项下的政府采购活动，供应商</w:t>
      </w:r>
      <w:r>
        <w:rPr>
          <w:rFonts w:cs="宋体" w:hint="eastAsia"/>
          <w:bCs/>
          <w:sz w:val="21"/>
          <w:szCs w:val="21"/>
          <w:highlight w:val="none"/>
          <w:lang w:val="en-US" w:eastAsia="zh-CN"/>
        </w:rPr>
        <w:t>提供</w:t>
      </w:r>
      <w:r>
        <w:rPr>
          <w:rFonts w:ascii="宋体" w:cs="宋体" w:eastAsia="宋体" w:hAnsi="宋体" w:hint="eastAsia"/>
          <w:bCs/>
          <w:sz w:val="21"/>
          <w:szCs w:val="21"/>
          <w:highlight w:val="none"/>
          <w:lang w:val="en-US" w:eastAsia="zh-CN"/>
        </w:rPr>
        <w:t>书面承诺</w:t>
      </w:r>
      <w:r>
        <w:rPr>
          <w:rFonts w:cs="宋体" w:hint="eastAsia"/>
          <w:bCs/>
          <w:sz w:val="21"/>
          <w:szCs w:val="21"/>
          <w:highlight w:val="none"/>
          <w:lang w:val="en-US" w:eastAsia="zh-CN"/>
        </w:rPr>
        <w:t>和</w:t>
      </w:r>
      <w:r>
        <w:rPr>
          <w:rFonts w:ascii="宋体" w:cs="宋体" w:eastAsia="宋体" w:hAnsi="宋体" w:hint="eastAsia"/>
          <w:bCs/>
          <w:sz w:val="21"/>
          <w:szCs w:val="21"/>
          <w:highlight w:val="none"/>
          <w:lang w:val="en-US" w:eastAsia="zh-CN"/>
        </w:rPr>
        <w:t>“国家企业信用信息公示系统”网站查询结果网页截图，查询截图需显示公司基本信息、出资人或股东信息、主</w:t>
      </w:r>
      <w:r>
        <w:rPr>
          <w:rFonts w:ascii="宋体" w:cs="宋体" w:eastAsia="宋体" w:hAnsi="宋体" w:hint="eastAsia"/>
          <w:bCs/>
          <w:color w:val="auto"/>
          <w:sz w:val="21"/>
          <w:szCs w:val="21"/>
          <w:highlight w:val="none"/>
          <w:lang w:val="en-US" w:eastAsia="zh-CN"/>
        </w:rPr>
        <w:t>要人员信息</w:t>
      </w:r>
      <w:r>
        <w:rPr>
          <w:rFonts w:ascii="宋体" w:cs="宋体" w:eastAsia="宋体" w:hAnsi="宋体" w:hint="eastAsia"/>
          <w:color w:val="auto"/>
          <w:kern w:val="0"/>
          <w:sz w:val="21"/>
          <w:szCs w:val="21"/>
          <w:highlight w:val="none"/>
          <w:lang w:eastAsia="zh-CN"/>
        </w:rPr>
        <w:t>。</w:t>
      </w:r>
    </w:p>
    <w:p w14:paraId="54493BA9">
      <w:pPr>
        <w:pStyle w:val="style4097"/>
        <w:spacing w:lineRule="auto" w:line="360"/>
        <w:rPr>
          <w:rFonts w:ascii="宋体" w:cs="宋体" w:eastAsia="宋体" w:hAnsi="宋体" w:hint="eastAsia"/>
          <w:color w:val="auto"/>
          <w:sz w:val="21"/>
          <w:szCs w:val="21"/>
          <w:highlight w:val="none"/>
          <w:lang w:eastAsia="zh-CN"/>
        </w:rPr>
        <w:sectPr>
          <w:pgSz w:w="11910" w:h="16840" w:orient="portrait"/>
          <w:pgMar w:top="1440" w:right="1080" w:bottom="1440" w:left="1080" w:header="878" w:footer="1130" w:gutter="0"/>
          <w:pgNumType w:fmt="decimal"/>
          <w:cols w:space="720" w:num="1"/>
        </w:sectPr>
      </w:pPr>
    </w:p>
    <w:bookmarkStart w:id="98" w:name="八、服务保障方案"/>
    <w:bookmarkStart w:id="99" w:name="七、货物（服务）规格、技术参数偏离表"/>
    <w:bookmarkStart w:id="100" w:name="九、售后服务承诺"/>
    <w:bookmarkStart w:id="101" w:name="_Toc14930"/>
    <w:bookmarkStart w:id="102" w:name="_Toc17069"/>
    <w:bookmarkStart w:id="103" w:name="_Toc14226"/>
    <w:bookmarkEnd w:id="98"/>
    <w:bookmarkEnd w:id="99"/>
    <w:bookmarkEnd w:id="100"/>
    <w:p w14:paraId="32A28D32">
      <w:pPr>
        <w:pStyle w:val="style2"/>
        <w:spacing w:lineRule="auto" w:line="360"/>
        <w:ind w:right="1"/>
        <w:jc w:val="center"/>
        <w:outlineLvl w:val="1"/>
        <w:rPr>
          <w:rFonts w:ascii="宋体" w:cs="宋体" w:eastAsia="宋体" w:hAnsi="宋体" w:hint="default"/>
          <w:b/>
          <w:bCs/>
          <w:color w:val="auto"/>
          <w:highlight w:val="none"/>
          <w:lang w:val="en-US" w:eastAsia="zh-CN"/>
        </w:rPr>
      </w:pPr>
      <w:r>
        <w:rPr>
          <w:rFonts w:cs="宋体" w:hint="eastAsia"/>
          <w:b/>
          <w:bCs/>
          <w:color w:val="auto"/>
          <w:highlight w:val="none"/>
          <w:lang w:val="en-US" w:eastAsia="zh-CN"/>
        </w:rPr>
        <w:t>五</w:t>
      </w:r>
      <w:r>
        <w:rPr>
          <w:rFonts w:ascii="宋体" w:cs="宋体" w:eastAsia="宋体" w:hAnsi="宋体" w:hint="eastAsia"/>
          <w:b/>
          <w:bCs/>
          <w:color w:val="auto"/>
          <w:highlight w:val="none"/>
          <w:lang w:eastAsia="zh-CN"/>
        </w:rPr>
        <w:t>、</w:t>
      </w:r>
      <w:bookmarkEnd w:id="101"/>
      <w:bookmarkEnd w:id="102"/>
      <w:r>
        <w:rPr>
          <w:rFonts w:cs="宋体" w:hint="eastAsia"/>
          <w:b/>
          <w:bCs/>
          <w:color w:val="auto"/>
          <w:szCs w:val="21"/>
          <w:highlight w:val="none"/>
          <w:lang w:val="en-US" w:eastAsia="zh-CN"/>
        </w:rPr>
        <w:t>技术标证明文件</w:t>
      </w:r>
      <w:bookmarkEnd w:id="103"/>
    </w:p>
    <w:p w14:paraId="688C890B">
      <w:pPr>
        <w:pStyle w:val="style66"/>
        <w:spacing w:lineRule="auto" w:line="360"/>
        <w:ind w:left="1" w:right="1"/>
        <w:jc w:val="center"/>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（供应商需根据自身情况结合评分办法拟定针对本项目的</w:t>
      </w:r>
      <w:r>
        <w:rPr>
          <w:rFonts w:ascii="宋体" w:cs="宋体" w:eastAsia="宋体" w:hAnsi="宋体" w:hint="eastAsia"/>
          <w:color w:val="auto"/>
          <w:highlight w:val="none"/>
          <w:lang w:val="en-US" w:eastAsia="zh-CN"/>
        </w:rPr>
        <w:t>技术标</w:t>
      </w:r>
      <w:r>
        <w:rPr>
          <w:rFonts w:ascii="宋体" w:cs="宋体" w:eastAsia="宋体" w:hAnsi="宋体" w:hint="eastAsia"/>
          <w:color w:val="auto"/>
          <w:highlight w:val="none"/>
          <w:lang w:eastAsia="zh-CN"/>
        </w:rPr>
        <w:t>内容）</w:t>
      </w:r>
    </w:p>
    <w:p w14:paraId="45CD1EDF">
      <w:pPr>
        <w:pStyle w:val="style0"/>
        <w:spacing w:lineRule="auto" w:line="360"/>
        <w:jc w:val="center"/>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p>
    <w:bookmarkStart w:id="104" w:name="十、关于资格的声明函"/>
    <w:bookmarkStart w:id="105" w:name="_Toc14799"/>
    <w:bookmarkStart w:id="106" w:name="_Toc15860"/>
    <w:bookmarkStart w:id="107" w:name="_Toc27445"/>
    <w:bookmarkEnd w:id="104"/>
    <w:p w14:paraId="1B218285">
      <w:pPr>
        <w:pStyle w:val="style2"/>
        <w:spacing w:lineRule="auto" w:line="360"/>
        <w:ind w:right="1"/>
        <w:outlineLvl w:val="1"/>
        <w:rPr>
          <w:rFonts w:ascii="宋体" w:cs="宋体" w:eastAsia="宋体" w:hAnsi="宋体" w:hint="default"/>
          <w:b/>
          <w:bCs/>
          <w:color w:val="auto"/>
          <w:highlight w:val="none"/>
          <w:lang w:val="en-US" w:eastAsia="zh-CN"/>
        </w:rPr>
      </w:pPr>
      <w:r>
        <w:rPr>
          <w:rFonts w:cs="宋体" w:hint="eastAsia"/>
          <w:b/>
          <w:bCs/>
          <w:color w:val="auto"/>
          <w:highlight w:val="none"/>
          <w:lang w:val="en-US" w:eastAsia="zh-CN"/>
        </w:rPr>
        <w:t>六</w:t>
      </w:r>
      <w:r>
        <w:rPr>
          <w:rFonts w:ascii="宋体" w:cs="宋体" w:eastAsia="宋体" w:hAnsi="宋体" w:hint="eastAsia"/>
          <w:b/>
          <w:bCs/>
          <w:color w:val="auto"/>
          <w:highlight w:val="none"/>
          <w:lang w:eastAsia="zh-CN"/>
        </w:rPr>
        <w:t>、</w:t>
      </w:r>
      <w:bookmarkEnd w:id="105"/>
      <w:bookmarkEnd w:id="106"/>
      <w:r>
        <w:rPr>
          <w:rFonts w:ascii="宋体" w:cs="宋体" w:eastAsia="宋体" w:hAnsi="宋体" w:hint="eastAsia"/>
          <w:b/>
          <w:bCs/>
          <w:color w:val="auto"/>
          <w:highlight w:val="none"/>
          <w:lang w:eastAsia="zh-CN"/>
        </w:rPr>
        <w:t>综合</w:t>
      </w:r>
      <w:r>
        <w:rPr>
          <w:rFonts w:ascii="宋体" w:cs="宋体" w:eastAsia="宋体" w:hAnsi="宋体" w:hint="eastAsia"/>
          <w:b/>
          <w:bCs/>
          <w:color w:val="auto"/>
          <w:highlight w:val="none"/>
          <w:lang w:val="en-US" w:eastAsia="zh-CN"/>
        </w:rPr>
        <w:t>标</w:t>
      </w:r>
      <w:r>
        <w:rPr>
          <w:rFonts w:cs="宋体" w:hint="eastAsia"/>
          <w:b/>
          <w:bCs/>
          <w:color w:val="auto"/>
          <w:highlight w:val="none"/>
          <w:lang w:val="en-US" w:eastAsia="zh-CN"/>
        </w:rPr>
        <w:t>证明文件</w:t>
      </w:r>
      <w:bookmarkEnd w:id="107"/>
    </w:p>
    <w:p w14:paraId="712DE4AE">
      <w:pPr>
        <w:pStyle w:val="style66"/>
        <w:spacing w:lineRule="auto" w:line="360"/>
        <w:rPr>
          <w:rFonts w:ascii="宋体" w:cs="宋体" w:eastAsia="宋体" w:hAnsi="宋体" w:hint="eastAsia"/>
          <w:b/>
          <w:color w:val="auto"/>
          <w:sz w:val="22"/>
          <w:highlight w:val="none"/>
          <w:lang w:eastAsia="zh-CN"/>
        </w:rPr>
      </w:pPr>
    </w:p>
    <w:p w14:paraId="5AFD4D4E">
      <w:pPr>
        <w:pStyle w:val="style66"/>
        <w:spacing w:lineRule="auto" w:line="360"/>
        <w:jc w:val="center"/>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（供应商需根据自身情况自行拟定针对本项目的综合</w:t>
      </w:r>
      <w:r>
        <w:rPr>
          <w:rFonts w:ascii="宋体" w:cs="宋体" w:eastAsia="宋体" w:hAnsi="宋体" w:hint="eastAsia"/>
          <w:color w:val="auto"/>
          <w:highlight w:val="none"/>
          <w:lang w:val="en-US" w:eastAsia="zh-CN"/>
        </w:rPr>
        <w:t>标</w:t>
      </w:r>
      <w:r>
        <w:rPr>
          <w:rFonts w:ascii="宋体" w:cs="宋体" w:eastAsia="宋体" w:hAnsi="宋体" w:hint="eastAsia"/>
          <w:color w:val="auto"/>
          <w:highlight w:val="none"/>
          <w:lang w:eastAsia="zh-CN"/>
        </w:rPr>
        <w:t>内容）</w:t>
      </w:r>
    </w:p>
    <w:p w14:paraId="7E6DA514">
      <w:pPr>
        <w:pStyle w:val="style0"/>
        <w:spacing w:lineRule="auto" w:line="360"/>
        <w:jc w:val="center"/>
        <w:rPr>
          <w:rFonts w:ascii="宋体" w:cs="宋体" w:eastAsia="宋体" w:hAnsi="宋体" w:hint="eastAsia"/>
          <w:color w:val="auto"/>
          <w:highlight w:val="none"/>
          <w:lang w:eastAsia="zh-CN"/>
        </w:rPr>
        <w:sectPr>
          <w:pgSz w:w="11910" w:h="16840" w:orient="portrait"/>
          <w:pgMar w:top="1440" w:right="1080" w:bottom="1440" w:left="1080" w:header="878" w:footer="1130" w:gutter="0"/>
          <w:pgNumType w:fmt="decimal"/>
          <w:cols w:space="720" w:num="1"/>
        </w:sectPr>
      </w:pPr>
    </w:p>
    <w:bookmarkStart w:id="108" w:name="十一、反商业贿赂承诺书"/>
    <w:bookmarkEnd w:id="108"/>
    <w:p w14:paraId="0F2C5A80">
      <w:pPr>
        <w:pStyle w:val="style4097"/>
        <w:rPr>
          <w:rFonts w:ascii="宋体" w:cs="宋体" w:eastAsia="宋体" w:hAnsi="宋体" w:hint="eastAsia"/>
          <w:color w:val="auto"/>
          <w:highlight w:val="none"/>
          <w:lang w:eastAsia="zh-CN"/>
        </w:rPr>
      </w:pPr>
    </w:p>
    <w:bookmarkStart w:id="109" w:name="十二、其他材料"/>
    <w:bookmarkStart w:id="110" w:name="_Toc10200"/>
    <w:bookmarkStart w:id="111" w:name="_Toc30345"/>
    <w:bookmarkStart w:id="112" w:name="_Toc15946"/>
    <w:bookmarkEnd w:id="109"/>
    <w:p w14:paraId="172E682D">
      <w:pPr>
        <w:pStyle w:val="style2"/>
        <w:spacing w:before="67" w:lineRule="auto" w:line="360"/>
        <w:ind w:left="8" w:right="1"/>
        <w:outlineLvl w:val="1"/>
        <w:rPr>
          <w:rFonts w:ascii="宋体" w:cs="宋体" w:eastAsia="宋体" w:hAnsi="宋体" w:hint="eastAsia"/>
          <w:b/>
          <w:bCs/>
          <w:color w:val="auto"/>
          <w:highlight w:val="none"/>
          <w:lang w:eastAsia="zh-CN"/>
        </w:rPr>
      </w:pPr>
      <w:r>
        <w:rPr>
          <w:rFonts w:cs="宋体" w:hint="eastAsia"/>
          <w:b/>
          <w:bCs/>
          <w:color w:val="auto"/>
          <w:highlight w:val="none"/>
          <w:lang w:val="en-US" w:eastAsia="zh-CN"/>
        </w:rPr>
        <w:t>七</w:t>
      </w:r>
      <w:r>
        <w:rPr>
          <w:rFonts w:ascii="宋体" w:cs="宋体" w:eastAsia="宋体" w:hAnsi="宋体" w:hint="eastAsia"/>
          <w:b/>
          <w:bCs/>
          <w:color w:val="auto"/>
          <w:highlight w:val="none"/>
          <w:lang w:eastAsia="zh-CN"/>
        </w:rPr>
        <w:t>、反商业贿赂承诺书</w:t>
      </w:r>
      <w:bookmarkEnd w:id="110"/>
      <w:bookmarkEnd w:id="111"/>
      <w:bookmarkEnd w:id="112"/>
    </w:p>
    <w:p w14:paraId="707B1C44">
      <w:pPr>
        <w:pStyle w:val="style66"/>
        <w:spacing w:lineRule="auto" w:line="360"/>
        <w:rPr>
          <w:rFonts w:ascii="宋体" w:cs="宋体" w:eastAsia="宋体" w:hAnsi="宋体" w:hint="eastAsia"/>
          <w:b/>
          <w:color w:val="auto"/>
          <w:sz w:val="20"/>
          <w:highlight w:val="none"/>
          <w:lang w:eastAsia="zh-CN"/>
        </w:rPr>
      </w:pPr>
    </w:p>
    <w:p w14:paraId="3C9C4D82">
      <w:pPr>
        <w:pStyle w:val="style66"/>
        <w:spacing w:before="3" w:lineRule="auto" w:line="360"/>
        <w:rPr>
          <w:rFonts w:ascii="宋体" w:cs="宋体" w:eastAsia="宋体" w:hAnsi="宋体" w:hint="eastAsia"/>
          <w:b/>
          <w:color w:val="auto"/>
          <w:sz w:val="16"/>
          <w:highlight w:val="none"/>
          <w:lang w:eastAsia="zh-CN"/>
        </w:rPr>
      </w:pPr>
    </w:p>
    <w:p w14:paraId="002FFF62">
      <w:pPr>
        <w:pStyle w:val="style66"/>
        <w:spacing w:lineRule="auto" w:line="360"/>
        <w:ind w:left="402"/>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我公司承诺：</w:t>
      </w:r>
    </w:p>
    <w:p w14:paraId="6208260E">
      <w:pPr>
        <w:pStyle w:val="style66"/>
        <w:spacing w:before="12" w:lineRule="auto" w:line="360"/>
        <w:rPr>
          <w:rFonts w:ascii="宋体" w:cs="宋体" w:eastAsia="宋体" w:hAnsi="宋体" w:hint="eastAsia"/>
          <w:color w:val="auto"/>
          <w:sz w:val="17"/>
          <w:highlight w:val="none"/>
          <w:lang w:eastAsia="zh-CN"/>
        </w:rPr>
      </w:pPr>
    </w:p>
    <w:p w14:paraId="5248D9BE">
      <w:pPr>
        <w:pStyle w:val="style66"/>
        <w:spacing w:lineRule="auto" w:line="360"/>
        <w:ind w:left="402" w:right="301" w:firstLine="42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在</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eastAsia="zh-CN"/>
        </w:rPr>
        <w:t>（项目名称）</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采购活动中，我公司保证做到：</w:t>
      </w:r>
    </w:p>
    <w:p w14:paraId="6347EBCE">
      <w:pPr>
        <w:pStyle w:val="style66"/>
        <w:spacing w:lineRule="auto" w:line="360"/>
        <w:ind w:left="402" w:right="301" w:firstLine="420"/>
        <w:rPr>
          <w:rFonts w:ascii="宋体" w:cs="宋体" w:eastAsia="宋体" w:hAnsi="宋体" w:hint="eastAsia"/>
          <w:color w:val="auto"/>
          <w:spacing w:val="-7"/>
          <w:highlight w:val="none"/>
          <w:lang w:eastAsia="zh-CN"/>
        </w:rPr>
      </w:pPr>
      <w:r>
        <w:rPr>
          <w:rFonts w:ascii="宋体" w:cs="宋体" w:eastAsia="宋体" w:hAnsi="宋体" w:hint="eastAsia"/>
          <w:color w:val="auto"/>
          <w:spacing w:val="-7"/>
          <w:highlight w:val="none"/>
          <w:lang w:eastAsia="zh-CN"/>
        </w:rPr>
        <w:t>一、公平竞争参加本次采购活动。</w:t>
      </w:r>
    </w:p>
    <w:p w14:paraId="53A1C671">
      <w:pPr>
        <w:pStyle w:val="style66"/>
        <w:spacing w:lineRule="auto" w:line="360"/>
        <w:ind w:left="402" w:right="301" w:firstLine="420"/>
        <w:rPr>
          <w:rFonts w:ascii="宋体" w:cs="宋体" w:eastAsia="宋体" w:hAnsi="宋体" w:hint="eastAsia"/>
          <w:color w:val="auto"/>
          <w:spacing w:val="-7"/>
          <w:highlight w:val="none"/>
          <w:lang w:eastAsia="zh-CN"/>
        </w:rPr>
      </w:pPr>
      <w:r>
        <w:rPr>
          <w:rFonts w:ascii="宋体" w:cs="宋体" w:eastAsia="宋体" w:hAnsi="宋体" w:hint="eastAsia"/>
          <w:color w:val="auto"/>
          <w:spacing w:val="-7"/>
          <w:highlight w:val="none"/>
          <w:lang w:eastAsia="zh-CN"/>
        </w:rPr>
        <w:t>二、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w:t>
      </w:r>
    </w:p>
    <w:p w14:paraId="2CA62A78">
      <w:pPr>
        <w:pStyle w:val="style66"/>
        <w:spacing w:lineRule="auto" w:line="360"/>
        <w:ind w:left="402" w:right="301" w:firstLine="420"/>
        <w:rPr>
          <w:rFonts w:ascii="宋体" w:cs="宋体" w:eastAsia="宋体" w:hAnsi="宋体" w:hint="eastAsia"/>
          <w:color w:val="auto"/>
          <w:spacing w:val="-7"/>
          <w:highlight w:val="none"/>
          <w:lang w:eastAsia="zh-CN"/>
        </w:rPr>
      </w:pPr>
      <w:r>
        <w:rPr>
          <w:rFonts w:ascii="宋体" w:cs="宋体" w:eastAsia="宋体" w:hAnsi="宋体" w:hint="eastAsia"/>
          <w:color w:val="auto"/>
          <w:spacing w:val="-7"/>
          <w:highlight w:val="none"/>
          <w:lang w:eastAsia="zh-CN"/>
        </w:rPr>
        <w:t>三、若出现上述行为，我公司及参与投标的工作人员愿意接受按照国家法律法规等有关规定给予的处罚。</w:t>
      </w:r>
    </w:p>
    <w:p w14:paraId="3F5F3A06">
      <w:pPr>
        <w:pStyle w:val="style66"/>
        <w:spacing w:lineRule="auto" w:line="360"/>
        <w:rPr>
          <w:rFonts w:ascii="宋体" w:cs="宋体" w:eastAsia="宋体" w:hAnsi="宋体" w:hint="eastAsia"/>
          <w:color w:val="auto"/>
          <w:sz w:val="20"/>
          <w:highlight w:val="none"/>
          <w:lang w:eastAsia="zh-CN"/>
        </w:rPr>
      </w:pPr>
    </w:p>
    <w:p w14:paraId="406DD6B2">
      <w:pPr>
        <w:pStyle w:val="style66"/>
        <w:spacing w:before="11" w:lineRule="auto" w:line="360"/>
        <w:rPr>
          <w:rFonts w:ascii="宋体" w:cs="宋体" w:eastAsia="宋体" w:hAnsi="宋体" w:hint="eastAsia"/>
          <w:color w:val="auto"/>
          <w:sz w:val="18"/>
          <w:highlight w:val="none"/>
          <w:lang w:eastAsia="zh-CN"/>
        </w:rPr>
      </w:pPr>
    </w:p>
    <w:p w14:paraId="1FC01874">
      <w:pPr>
        <w:pStyle w:val="style66"/>
        <w:tabs>
          <w:tab w:val="left" w:leader="none" w:pos="7227"/>
        </w:tabs>
        <w:spacing w:lineRule="auto" w:line="360"/>
        <w:ind w:left="3448"/>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供应商名称：</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eastAsia="zh-CN"/>
        </w:rPr>
        <w:t>（盖单位公章）</w:t>
      </w:r>
    </w:p>
    <w:p w14:paraId="7A031032">
      <w:pPr>
        <w:pStyle w:val="style66"/>
        <w:spacing w:lineRule="auto" w:line="360"/>
        <w:rPr>
          <w:rFonts w:ascii="宋体" w:cs="宋体" w:eastAsia="宋体" w:hAnsi="宋体" w:hint="eastAsia"/>
          <w:color w:val="auto"/>
          <w:sz w:val="12"/>
          <w:highlight w:val="none"/>
          <w:lang w:eastAsia="zh-CN"/>
        </w:rPr>
      </w:pPr>
    </w:p>
    <w:p w14:paraId="0D910B9E">
      <w:pPr>
        <w:pStyle w:val="style66"/>
        <w:tabs>
          <w:tab w:val="left" w:leader="none" w:pos="7273"/>
        </w:tabs>
        <w:spacing w:before="76" w:lineRule="auto" w:line="360"/>
        <w:ind w:left="3493"/>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t>法定代表人或其委托代理人：</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u w:val="single"/>
          <w:lang w:eastAsia="zh-CN"/>
        </w:rPr>
        <w:t>（签字或盖章）</w:t>
      </w:r>
    </w:p>
    <w:p w14:paraId="685EC7D8">
      <w:pPr>
        <w:pStyle w:val="style66"/>
        <w:spacing w:before="9" w:lineRule="auto" w:line="360"/>
        <w:rPr>
          <w:rFonts w:ascii="宋体" w:cs="宋体" w:eastAsia="宋体" w:hAnsi="宋体" w:hint="eastAsia"/>
          <w:color w:val="auto"/>
          <w:sz w:val="12"/>
          <w:highlight w:val="none"/>
          <w:lang w:eastAsia="zh-CN"/>
        </w:rPr>
      </w:pPr>
    </w:p>
    <w:p w14:paraId="4A390586">
      <w:pPr>
        <w:pStyle w:val="style66"/>
        <w:tabs>
          <w:tab w:val="left" w:leader="none" w:pos="4602"/>
          <w:tab w:val="left" w:leader="none" w:pos="5599"/>
          <w:tab w:val="left" w:leader="none" w:pos="6807"/>
        </w:tabs>
        <w:spacing w:before="70" w:lineRule="auto" w:line="360"/>
        <w:ind w:left="3656"/>
        <w:rPr>
          <w:rFonts w:ascii="宋体" w:cs="宋体" w:eastAsia="宋体" w:hAnsi="宋体" w:hint="eastAsia"/>
          <w:color w:val="auto"/>
          <w:highlight w:val="none"/>
          <w:lang w:eastAsia="zh-CN"/>
        </w:rPr>
      </w:pP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年</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月</w:t>
      </w:r>
      <w:r>
        <w:rPr>
          <w:rFonts w:ascii="宋体" w:cs="宋体" w:eastAsia="宋体" w:hAnsi="宋体" w:hint="eastAsia"/>
          <w:color w:val="auto"/>
          <w:highlight w:val="none"/>
          <w:u w:val="single"/>
          <w:lang w:eastAsia="zh-CN"/>
        </w:rPr>
        <w:tab/>
      </w:r>
      <w:r>
        <w:rPr>
          <w:rFonts w:ascii="宋体" w:cs="宋体" w:eastAsia="宋体" w:hAnsi="宋体" w:hint="eastAsia"/>
          <w:color w:val="auto"/>
          <w:highlight w:val="none"/>
          <w:lang w:eastAsia="zh-CN"/>
        </w:rPr>
        <w:t>日</w:t>
      </w:r>
    </w:p>
    <w:p w14:paraId="272F0087">
      <w:pPr>
        <w:pStyle w:val="style0"/>
        <w:spacing w:lineRule="auto" w:line="360"/>
        <w:rPr>
          <w:rFonts w:ascii="宋体" w:cs="宋体" w:eastAsia="宋体" w:hAnsi="宋体" w:hint="eastAsia"/>
          <w:color w:val="auto"/>
          <w:highlight w:val="none"/>
          <w:lang w:eastAsia="zh-CN"/>
        </w:rPr>
        <w:sectPr>
          <w:footerReference w:type="default" r:id="rId14"/>
          <w:pgSz w:w="11910" w:h="16840" w:orient="portrait"/>
          <w:pgMar w:top="1440" w:right="1080" w:bottom="1440" w:left="1080" w:header="878" w:footer="1130" w:gutter="0"/>
          <w:pgNumType w:fmt="decimal"/>
          <w:cols w:space="720" w:num="1"/>
        </w:sectPr>
      </w:pPr>
    </w:p>
    <w:p w14:paraId="0188CCCA">
      <w:pPr>
        <w:pStyle w:val="style66"/>
        <w:spacing w:before="6" w:lineRule="auto" w:line="360"/>
        <w:rPr>
          <w:rFonts w:ascii="宋体" w:cs="宋体" w:eastAsia="宋体" w:hAnsi="宋体" w:hint="eastAsia"/>
          <w:color w:val="auto"/>
          <w:sz w:val="9"/>
          <w:highlight w:val="none"/>
          <w:lang w:eastAsia="zh-CN"/>
        </w:rPr>
      </w:pPr>
    </w:p>
    <w:bookmarkStart w:id="113" w:name="（二）残疾人福利性单位声明函"/>
    <w:bookmarkStart w:id="114" w:name="_Toc1609"/>
    <w:bookmarkStart w:id="115" w:name="_Toc4233"/>
    <w:bookmarkStart w:id="116" w:name="_Toc20143"/>
    <w:bookmarkEnd w:id="113"/>
    <w:p w14:paraId="3B66DD29">
      <w:pPr>
        <w:pStyle w:val="style2"/>
        <w:spacing w:lineRule="auto" w:line="360"/>
        <w:ind w:left="3" w:right="1"/>
        <w:outlineLvl w:val="1"/>
        <w:rPr>
          <w:rFonts w:ascii="宋体" w:cs="宋体" w:eastAsia="宋体" w:hAnsi="宋体" w:hint="eastAsia"/>
          <w:b/>
          <w:bCs/>
          <w:color w:val="auto"/>
          <w:highlight w:val="none"/>
          <w:lang w:eastAsia="zh-CN"/>
        </w:rPr>
      </w:pPr>
      <w:r>
        <w:rPr>
          <w:rFonts w:cs="宋体" w:hint="eastAsia"/>
          <w:b/>
          <w:bCs/>
          <w:color w:val="auto"/>
          <w:highlight w:val="none"/>
          <w:lang w:val="en-US" w:eastAsia="zh-CN"/>
        </w:rPr>
        <w:t>八</w:t>
      </w:r>
      <w:r>
        <w:rPr>
          <w:rFonts w:ascii="宋体" w:cs="宋体" w:eastAsia="宋体" w:hAnsi="宋体" w:hint="eastAsia"/>
          <w:b/>
          <w:bCs/>
          <w:color w:val="auto"/>
          <w:highlight w:val="none"/>
          <w:lang w:eastAsia="zh-CN"/>
        </w:rPr>
        <w:t>、其他材料</w:t>
      </w:r>
      <w:bookmarkEnd w:id="114"/>
      <w:bookmarkEnd w:id="115"/>
      <w:bookmarkEnd w:id="116"/>
    </w:p>
    <w:bookmarkStart w:id="117" w:name="（一）中小微企业声明函"/>
    <w:bookmarkStart w:id="118" w:name="_Toc5668"/>
    <w:bookmarkStart w:id="119" w:name="_Toc21310"/>
    <w:bookmarkEnd w:id="117"/>
    <w:p w14:paraId="774CEECB">
      <w:pPr>
        <w:pStyle w:val="style0"/>
        <w:rPr>
          <w:rFonts w:ascii="宋体" w:cs="宋体" w:eastAsia="宋体" w:hAnsi="宋体" w:hint="eastAsia"/>
          <w:color w:val="auto"/>
          <w:highlight w:val="none"/>
          <w:lang w:eastAsia="zh-CN"/>
        </w:rPr>
      </w:pPr>
      <w:r>
        <w:rPr>
          <w:rFonts w:ascii="宋体" w:cs="宋体" w:eastAsia="宋体" w:hAnsi="宋体" w:hint="eastAsia"/>
          <w:color w:val="auto"/>
          <w:highlight w:val="none"/>
          <w:lang w:eastAsia="zh-CN"/>
        </w:rPr>
        <w:br w:type="page"/>
      </w:r>
    </w:p>
    <w:bookmarkStart w:id="120" w:name="_Toc17027"/>
    <w:bookmarkEnd w:id="118"/>
    <w:bookmarkEnd w:id="119"/>
    <w:p w14:paraId="761E9A12">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auto" w:line="360"/>
        <w:jc w:val="center"/>
        <w:textAlignment w:val="auto"/>
        <w:outlineLvl w:val="1"/>
        <w:rPr>
          <w:rStyle w:val="style4146"/>
          <w:rFonts w:ascii="宋体" w:cs="宋体" w:eastAsia="宋体" w:hAnsi="宋体" w:hint="eastAsia"/>
          <w:b/>
          <w:lang w:val="en-US" w:eastAsia="zh-CN"/>
        </w:rPr>
      </w:pPr>
      <w:r>
        <w:rPr>
          <w:rStyle w:val="style4146"/>
          <w:rFonts w:ascii="宋体" w:cs="宋体" w:eastAsia="宋体" w:hAnsi="宋体" w:hint="eastAsia"/>
          <w:b/>
          <w:lang w:val="en-US" w:eastAsia="zh-CN"/>
        </w:rPr>
        <w:t>享受政府采购政策扶持的证明材料</w:t>
      </w:r>
      <w:bookmarkEnd w:id="120"/>
    </w:p>
    <w:p w14:paraId="7CD62188">
      <w:pPr>
        <w:pStyle w:val="style0"/>
        <w:jc w:val="center"/>
        <w:rPr>
          <w:rFonts w:ascii="宋体" w:cs="宋体" w:eastAsia="宋体" w:hAnsi="宋体" w:hint="eastAsia"/>
          <w:b/>
          <w:bCs/>
          <w:sz w:val="22"/>
          <w:szCs w:val="28"/>
        </w:rPr>
      </w:pPr>
      <w:r>
        <w:rPr>
          <w:rFonts w:ascii="宋体" w:cs="宋体" w:eastAsia="宋体" w:hAnsi="宋体" w:hint="eastAsia"/>
          <w:b/>
          <w:bCs/>
          <w:sz w:val="22"/>
          <w:szCs w:val="28"/>
          <w:lang w:val="en-US" w:eastAsia="zh-CN"/>
        </w:rPr>
        <w:t>（如不满足下列情形的供应商，无需填写，可直接删除格式）</w:t>
      </w:r>
    </w:p>
    <w:bookmarkStart w:id="121" w:name="_Toc2876"/>
    <w:p w14:paraId="5F1FCAC8">
      <w:pPr>
        <w:pStyle w:val="style0"/>
        <w:pageBreakBefore w:val="false"/>
        <w:widowControl/>
        <w:kinsoku/>
        <w:overflowPunct/>
        <w:bidi w:val="false"/>
        <w:adjustRightInd w:val="false"/>
        <w:snapToGrid w:val="false"/>
        <w:spacing w:lineRule="auto" w:line="360"/>
        <w:ind w:firstLine="482" w:firstLineChars="200"/>
        <w:jc w:val="center"/>
        <w:outlineLvl w:val="9"/>
        <w:rPr>
          <w:rFonts w:ascii="宋体" w:cs="宋体" w:eastAsia="宋体" w:hAnsi="宋体" w:hint="eastAsia"/>
          <w:b/>
          <w:bCs/>
          <w:snapToGrid w:val="false"/>
          <w:color w:val="000000"/>
          <w:spacing w:val="0"/>
          <w:w w:val="100"/>
          <w:kern w:val="0"/>
          <w:position w:val="0"/>
          <w:sz w:val="24"/>
          <w:szCs w:val="24"/>
          <w:highlight w:val="none"/>
          <w:lang w:eastAsia="zh-CN"/>
        </w:rPr>
      </w:pPr>
    </w:p>
    <w:bookmarkStart w:id="122" w:name="_Toc20690"/>
    <w:bookmarkStart w:id="123" w:name="_Toc15647"/>
    <w:bookmarkStart w:id="124" w:name="_Toc124"/>
    <w:bookmarkStart w:id="125" w:name="_Toc15467"/>
    <w:bookmarkStart w:id="126" w:name="_Toc4420"/>
    <w:bookmarkStart w:id="127" w:name="_Toc9658"/>
    <w:bookmarkStart w:id="128" w:name="_Toc17862"/>
    <w:bookmarkStart w:id="129" w:name="_Toc23556"/>
    <w:bookmarkStart w:id="130" w:name="_Toc16793"/>
    <w:bookmarkStart w:id="131" w:name="_Toc25641"/>
    <w:p w14:paraId="74681E8D">
      <w:pPr>
        <w:pStyle w:val="style3"/>
        <w:bidi w:val="false"/>
        <w:jc w:val="center"/>
        <w:rPr>
          <w:rStyle w:val="style4147"/>
          <w:rFonts w:ascii="宋体" w:cs="宋体" w:eastAsia="宋体" w:hAnsi="宋体" w:hint="eastAsia"/>
          <w:b/>
          <w:bCs w:val="false"/>
          <w:kern w:val="2"/>
          <w:sz w:val="24"/>
          <w:szCs w:val="24"/>
          <w:lang w:val="en-US" w:bidi="ar-SA" w:eastAsia="zh-CN"/>
        </w:rPr>
      </w:pPr>
      <w:r>
        <w:rPr>
          <w:rStyle w:val="style4147"/>
          <w:rFonts w:ascii="宋体" w:cs="宋体" w:eastAsia="宋体" w:hAnsi="宋体" w:hint="eastAsia"/>
          <w:b/>
          <w:bCs w:val="false"/>
          <w:kern w:val="2"/>
          <w:sz w:val="24"/>
          <w:szCs w:val="24"/>
          <w:lang w:val="en-US" w:bidi="ar-SA" w:eastAsia="zh-CN"/>
        </w:rPr>
        <w:t>（一）中小企业声明函（如有）</w:t>
      </w:r>
      <w:bookmarkEnd w:id="122"/>
      <w:bookmarkEnd w:id="123"/>
      <w:bookmarkEnd w:id="124"/>
      <w:bookmarkEnd w:id="125"/>
      <w:bookmarkEnd w:id="126"/>
      <w:bookmarkEnd w:id="127"/>
      <w:bookmarkEnd w:id="128"/>
      <w:bookmarkEnd w:id="129"/>
      <w:bookmarkEnd w:id="130"/>
      <w:bookmarkEnd w:id="131"/>
    </w:p>
    <w:p w14:paraId="100316C2">
      <w:pPr>
        <w:pStyle w:val="style0"/>
        <w:rPr>
          <w:rFonts w:ascii="宋体" w:cs="宋体" w:eastAsia="宋体" w:hAnsi="宋体" w:hint="eastAsia"/>
          <w:lang w:eastAsia="zh-CN"/>
        </w:rPr>
      </w:pPr>
    </w:p>
    <w:p w14:paraId="7618203A">
      <w:pPr>
        <w:pStyle w:val="style0"/>
        <w:pageBreakBefore w:val="false"/>
        <w:widowControl/>
        <w:kinsoku/>
        <w:overflowPunct/>
        <w:bidi w:val="false"/>
        <w:adjustRightInd w:val="false"/>
        <w:snapToGrid w:val="false"/>
        <w:spacing w:lineRule="auto" w:line="360"/>
        <w:jc w:val="center"/>
        <w:outlineLvl w:val="9"/>
        <w:rPr>
          <w:rFonts w:ascii="宋体" w:cs="宋体" w:eastAsia="宋体" w:hAnsi="宋体" w:hint="eastAsia"/>
          <w:b/>
          <w:bCs/>
          <w:snapToGrid w:val="false"/>
          <w:color w:val="000000"/>
          <w:spacing w:val="0"/>
          <w:w w:val="100"/>
          <w:kern w:val="0"/>
          <w:position w:val="0"/>
          <w:sz w:val="21"/>
          <w:szCs w:val="21"/>
          <w:highlight w:val="none"/>
        </w:rPr>
      </w:pPr>
    </w:p>
    <w:p w14:paraId="7646ECFF">
      <w:pPr>
        <w:pStyle w:val="style0"/>
        <w:pageBreakBefore w:val="false"/>
        <w:widowControl/>
        <w:kinsoku/>
        <w:overflowPunct/>
        <w:bidi w:val="false"/>
        <w:adjustRightInd w:val="false"/>
        <w:snapToGrid w:val="false"/>
        <w:spacing w:lineRule="auto" w:line="360"/>
        <w:jc w:val="center"/>
        <w:outlineLvl w:val="9"/>
        <w:rPr>
          <w:rFonts w:ascii="宋体" w:cs="宋体" w:eastAsia="宋体" w:hAnsi="宋体" w:hint="eastAsia"/>
          <w:snapToGrid w:val="false"/>
          <w:color w:val="000000"/>
          <w:spacing w:val="0"/>
          <w:w w:val="100"/>
          <w:kern w:val="0"/>
          <w:position w:val="0"/>
          <w:sz w:val="21"/>
          <w:szCs w:val="21"/>
          <w:highlight w:val="none"/>
        </w:rPr>
      </w:pPr>
      <w:r>
        <w:rPr>
          <w:rFonts w:ascii="宋体" w:cs="宋体" w:eastAsia="宋体" w:hAnsi="宋体" w:hint="eastAsia"/>
          <w:b/>
          <w:bCs/>
          <w:snapToGrid w:val="false"/>
          <w:color w:val="000000"/>
          <w:spacing w:val="0"/>
          <w:w w:val="100"/>
          <w:kern w:val="0"/>
          <w:position w:val="0"/>
          <w:sz w:val="21"/>
          <w:szCs w:val="21"/>
          <w:highlight w:val="none"/>
        </w:rPr>
        <w:t>中小企业声明函（</w:t>
      </w:r>
      <w:r>
        <w:rPr>
          <w:rFonts w:ascii="宋体" w:cs="宋体" w:eastAsia="宋体" w:hAnsi="宋体" w:hint="eastAsia"/>
          <w:b/>
          <w:bCs/>
          <w:snapToGrid w:val="false"/>
          <w:color w:val="000000"/>
          <w:spacing w:val="0"/>
          <w:w w:val="100"/>
          <w:kern w:val="0"/>
          <w:position w:val="0"/>
          <w:sz w:val="21"/>
          <w:szCs w:val="21"/>
          <w:highlight w:val="none"/>
          <w:lang w:eastAsia="zh-CN"/>
        </w:rPr>
        <w:t>货物</w:t>
      </w:r>
      <w:r>
        <w:rPr>
          <w:rFonts w:ascii="宋体" w:cs="宋体" w:eastAsia="宋体" w:hAnsi="宋体" w:hint="eastAsia"/>
          <w:b/>
          <w:bCs/>
          <w:snapToGrid w:val="false"/>
          <w:color w:val="000000"/>
          <w:spacing w:val="0"/>
          <w:w w:val="100"/>
          <w:kern w:val="0"/>
          <w:position w:val="0"/>
          <w:sz w:val="21"/>
          <w:szCs w:val="21"/>
          <w:highlight w:val="none"/>
        </w:rPr>
        <w:t>）</w:t>
      </w:r>
    </w:p>
    <w:p w14:paraId="57C5C542">
      <w:pPr>
        <w:pStyle w:val="style0"/>
        <w:pageBreakBefore w:val="false"/>
        <w:kinsoku/>
        <w:overflowPunct/>
        <w:bidi w:val="false"/>
        <w:spacing w:lineRule="auto" w:line="480"/>
        <w:ind w:firstLine="420" w:firstLineChars="200"/>
        <w:outlineLvl w:val="9"/>
        <w:rPr>
          <w:rFonts w:ascii="宋体" w:cs="宋体" w:eastAsia="宋体" w:hAnsi="宋体" w:hint="eastAsia"/>
          <w:snapToGrid w:val="false"/>
          <w:color w:val="000000"/>
          <w:spacing w:val="0"/>
          <w:w w:val="100"/>
          <w:kern w:val="0"/>
          <w:position w:val="0"/>
          <w:sz w:val="21"/>
          <w:szCs w:val="21"/>
        </w:rPr>
      </w:pPr>
      <w:r>
        <w:rPr>
          <w:rFonts w:ascii="宋体" w:cs="宋体" w:eastAsia="宋体" w:hAnsi="宋体" w:hint="eastAsia"/>
          <w:snapToGrid w:val="false"/>
          <w:color w:val="000000"/>
          <w:spacing w:val="0"/>
          <w:w w:val="100"/>
          <w:kern w:val="0"/>
          <w:position w:val="0"/>
          <w:sz w:val="21"/>
          <w:szCs w:val="21"/>
          <w:highlight w:val="none"/>
        </w:rPr>
        <w:t>本公司</w:t>
      </w:r>
      <w:r>
        <w:rPr>
          <w:rFonts w:ascii="宋体" w:cs="宋体" w:eastAsia="宋体" w:hAnsi="宋体" w:hint="eastAsia"/>
          <w:snapToGrid w:val="false"/>
          <w:color w:val="000000"/>
          <w:spacing w:val="0"/>
          <w:w w:val="100"/>
          <w:kern w:val="0"/>
          <w:position w:val="0"/>
          <w:sz w:val="21"/>
          <w:szCs w:val="21"/>
          <w:highlight w:val="none"/>
          <w:lang w:eastAsia="zh-CN"/>
        </w:rPr>
        <w:t>（</w:t>
      </w:r>
      <w:r>
        <w:rPr>
          <w:rFonts w:ascii="宋体" w:cs="宋体" w:eastAsia="宋体" w:hAnsi="宋体" w:hint="eastAsia"/>
          <w:snapToGrid w:val="false"/>
          <w:color w:val="000000"/>
          <w:spacing w:val="0"/>
          <w:w w:val="100"/>
          <w:kern w:val="0"/>
          <w:position w:val="0"/>
          <w:sz w:val="21"/>
          <w:szCs w:val="21"/>
          <w:highlight w:val="none"/>
          <w:lang w:val="en-US" w:eastAsia="zh-CN"/>
        </w:rPr>
        <w:t>联合体</w:t>
      </w:r>
      <w:r>
        <w:rPr>
          <w:rFonts w:ascii="宋体" w:cs="宋体" w:eastAsia="宋体" w:hAnsi="宋体" w:hint="eastAsia"/>
          <w:snapToGrid w:val="false"/>
          <w:color w:val="000000"/>
          <w:spacing w:val="0"/>
          <w:w w:val="100"/>
          <w:kern w:val="0"/>
          <w:position w:val="0"/>
          <w:sz w:val="21"/>
          <w:szCs w:val="21"/>
          <w:highlight w:val="none"/>
          <w:lang w:eastAsia="zh-CN"/>
        </w:rPr>
        <w:t>）</w:t>
      </w:r>
      <w:r>
        <w:rPr>
          <w:rFonts w:ascii="宋体" w:cs="宋体" w:eastAsia="宋体" w:hAnsi="宋体" w:hint="eastAsia"/>
          <w:snapToGrid w:val="false"/>
          <w:color w:val="000000"/>
          <w:spacing w:val="0"/>
          <w:w w:val="100"/>
          <w:kern w:val="0"/>
          <w:position w:val="0"/>
          <w:sz w:val="21"/>
          <w:szCs w:val="21"/>
          <w:highlight w:val="none"/>
        </w:rPr>
        <w:t>郑重声明，根据《政府采购促进中小企业发展管理办法》（财库﹝2020﹞46号）的规定，本公司</w:t>
      </w:r>
      <w:r>
        <w:rPr>
          <w:rFonts w:ascii="宋体" w:cs="宋体" w:eastAsia="宋体" w:hAnsi="宋体" w:hint="eastAsia"/>
          <w:snapToGrid w:val="false"/>
          <w:color w:val="000000"/>
          <w:spacing w:val="0"/>
          <w:w w:val="100"/>
          <w:kern w:val="0"/>
          <w:position w:val="0"/>
          <w:sz w:val="21"/>
          <w:szCs w:val="21"/>
          <w:highlight w:val="none"/>
          <w:lang w:eastAsia="zh-CN"/>
        </w:rPr>
        <w:t>（</w:t>
      </w:r>
      <w:r>
        <w:rPr>
          <w:rFonts w:ascii="宋体" w:cs="宋体" w:eastAsia="宋体" w:hAnsi="宋体" w:hint="eastAsia"/>
          <w:snapToGrid w:val="false"/>
          <w:color w:val="000000"/>
          <w:spacing w:val="0"/>
          <w:w w:val="100"/>
          <w:kern w:val="0"/>
          <w:position w:val="0"/>
          <w:sz w:val="21"/>
          <w:szCs w:val="21"/>
          <w:highlight w:val="none"/>
          <w:lang w:val="en-US" w:eastAsia="zh-CN"/>
        </w:rPr>
        <w:t>联合体</w:t>
      </w:r>
      <w:r>
        <w:rPr>
          <w:rFonts w:ascii="宋体" w:cs="宋体" w:eastAsia="宋体" w:hAnsi="宋体" w:hint="eastAsia"/>
          <w:snapToGrid w:val="false"/>
          <w:color w:val="000000"/>
          <w:spacing w:val="0"/>
          <w:w w:val="100"/>
          <w:kern w:val="0"/>
          <w:position w:val="0"/>
          <w:sz w:val="21"/>
          <w:szCs w:val="21"/>
          <w:highlight w:val="none"/>
          <w:lang w:eastAsia="zh-CN"/>
        </w:rPr>
        <w:t>）</w:t>
      </w:r>
      <w:r>
        <w:rPr>
          <w:rFonts w:ascii="宋体" w:cs="宋体" w:eastAsia="宋体" w:hAnsi="宋体" w:hint="eastAsia"/>
          <w:snapToGrid w:val="false"/>
          <w:color w:val="000000"/>
          <w:spacing w:val="0"/>
          <w:w w:val="100"/>
          <w:kern w:val="0"/>
          <w:position w:val="0"/>
          <w:sz w:val="21"/>
          <w:szCs w:val="21"/>
          <w:highlight w:val="none"/>
        </w:rPr>
        <w:t>参加</w:t>
      </w:r>
      <w:r>
        <w:rPr>
          <w:rFonts w:ascii="宋体" w:cs="宋体" w:eastAsia="宋体" w:hAnsi="宋体" w:hint="eastAsia"/>
          <w:i/>
          <w:iCs w:val="false"/>
          <w:snapToGrid w:val="false"/>
          <w:color w:val="000000"/>
          <w:spacing w:val="0"/>
          <w:w w:val="100"/>
          <w:kern w:val="0"/>
          <w:position w:val="0"/>
          <w:sz w:val="21"/>
          <w:szCs w:val="21"/>
          <w:highlight w:val="none"/>
          <w:u w:val="single"/>
        </w:rPr>
        <w:t>（单位名称）</w:t>
      </w:r>
      <w:r>
        <w:rPr>
          <w:rFonts w:ascii="宋体" w:cs="宋体" w:eastAsia="宋体" w:hAnsi="宋体" w:hint="eastAsia"/>
          <w:snapToGrid w:val="false"/>
          <w:color w:val="000000"/>
          <w:spacing w:val="0"/>
          <w:w w:val="100"/>
          <w:kern w:val="0"/>
          <w:position w:val="0"/>
          <w:sz w:val="21"/>
          <w:szCs w:val="21"/>
          <w:highlight w:val="none"/>
        </w:rPr>
        <w:t>的</w:t>
      </w:r>
      <w:r>
        <w:rPr>
          <w:rFonts w:ascii="宋体" w:cs="宋体" w:eastAsia="宋体" w:hAnsi="宋体" w:hint="eastAsia"/>
          <w:i/>
          <w:iCs w:val="false"/>
          <w:snapToGrid w:val="false"/>
          <w:color w:val="000000"/>
          <w:spacing w:val="0"/>
          <w:w w:val="100"/>
          <w:kern w:val="0"/>
          <w:position w:val="0"/>
          <w:sz w:val="21"/>
          <w:szCs w:val="21"/>
          <w:highlight w:val="none"/>
          <w:u w:val="single"/>
        </w:rPr>
        <w:t>（项目名称）</w:t>
      </w:r>
      <w:r>
        <w:rPr>
          <w:rFonts w:ascii="宋体" w:cs="宋体" w:eastAsia="宋体" w:hAnsi="宋体" w:hint="eastAsia"/>
          <w:snapToGrid w:val="false"/>
          <w:color w:val="000000"/>
          <w:spacing w:val="0"/>
          <w:w w:val="100"/>
          <w:kern w:val="0"/>
          <w:position w:val="0"/>
          <w:sz w:val="21"/>
          <w:szCs w:val="21"/>
          <w:highlight w:val="none"/>
        </w:rPr>
        <w:t>采购活动，提供的货物全部由符</w:t>
      </w:r>
      <w:r>
        <w:rPr>
          <w:rFonts w:ascii="宋体" w:cs="宋体" w:eastAsia="宋体" w:hAnsi="宋体" w:hint="eastAsia"/>
          <w:snapToGrid w:val="false"/>
          <w:color w:val="000000"/>
          <w:spacing w:val="0"/>
          <w:w w:val="100"/>
          <w:kern w:val="0"/>
          <w:position w:val="0"/>
          <w:sz w:val="21"/>
          <w:szCs w:val="21"/>
        </w:rPr>
        <w:t xml:space="preserve">合政策要求的中小企业制造。相关企业（含联合体中的中小企业、签订分包意向协议的中小企业）的具体情况如下： </w:t>
      </w:r>
    </w:p>
    <w:p w14:paraId="2BC6652D">
      <w:pPr>
        <w:pStyle w:val="style0"/>
        <w:keepNext w:val="false"/>
        <w:keepLines w:val="false"/>
        <w:pageBreakBefore w:val="false"/>
        <w:widowControl w:val="false"/>
        <w:kinsoku/>
        <w:wordWrap/>
        <w:overflowPunct/>
        <w:topLinePunct w:val="false"/>
        <w:autoSpaceDE/>
        <w:autoSpaceDN/>
        <w:bidi w:val="false"/>
        <w:adjustRightInd/>
        <w:snapToGrid/>
        <w:spacing w:lineRule="auto" w:line="480"/>
        <w:ind w:firstLine="420" w:firstLineChars="200"/>
        <w:textAlignment w:val="auto"/>
        <w:outlineLvl w:val="9"/>
        <w:rPr>
          <w:rFonts w:ascii="宋体" w:cs="宋体" w:eastAsia="宋体" w:hAnsi="宋体" w:hint="eastAsia"/>
          <w:snapToGrid w:val="false"/>
          <w:color w:val="000000"/>
          <w:spacing w:val="0"/>
          <w:w w:val="100"/>
          <w:kern w:val="0"/>
          <w:position w:val="0"/>
          <w:sz w:val="21"/>
          <w:szCs w:val="21"/>
        </w:rPr>
      </w:pPr>
      <w:r>
        <w:rPr>
          <w:rFonts w:ascii="宋体" w:cs="宋体" w:eastAsia="宋体" w:hAnsi="宋体" w:hint="eastAsia"/>
          <w:snapToGrid w:val="false"/>
          <w:color w:val="000000"/>
          <w:spacing w:val="0"/>
          <w:w w:val="100"/>
          <w:kern w:val="0"/>
          <w:position w:val="0"/>
          <w:sz w:val="21"/>
          <w:szCs w:val="21"/>
        </w:rPr>
        <w:t>1.</w:t>
      </w:r>
      <w:r>
        <w:rPr>
          <w:rFonts w:ascii="宋体" w:cs="宋体" w:eastAsia="宋体" w:hAnsi="宋体" w:hint="eastAsia"/>
          <w:snapToGrid w:val="false"/>
          <w:color w:val="000000"/>
          <w:spacing w:val="0"/>
          <w:w w:val="100"/>
          <w:kern w:val="0"/>
          <w:position w:val="0"/>
          <w:sz w:val="21"/>
          <w:szCs w:val="21"/>
          <w:u w:val="single"/>
        </w:rPr>
        <w:t xml:space="preserve"> </w:t>
      </w:r>
      <w:r>
        <w:rPr>
          <w:rFonts w:ascii="宋体" w:cs="宋体" w:eastAsia="宋体" w:hAnsi="宋体" w:hint="eastAsia"/>
          <w:i/>
          <w:iCs/>
          <w:snapToGrid w:val="false"/>
          <w:color w:val="000000"/>
          <w:spacing w:val="0"/>
          <w:w w:val="100"/>
          <w:kern w:val="0"/>
          <w:position w:val="0"/>
          <w:sz w:val="21"/>
          <w:szCs w:val="21"/>
          <w:u w:val="single"/>
        </w:rPr>
        <w:t>（标的名称）</w:t>
      </w:r>
      <w:r>
        <w:rPr>
          <w:rFonts w:ascii="宋体" w:cs="宋体" w:eastAsia="宋体" w:hAnsi="宋体" w:hint="eastAsia"/>
          <w:snapToGrid w:val="false"/>
          <w:color w:val="000000"/>
          <w:spacing w:val="0"/>
          <w:w w:val="100"/>
          <w:kern w:val="0"/>
          <w:position w:val="0"/>
          <w:sz w:val="21"/>
          <w:szCs w:val="21"/>
          <w:u w:val="single"/>
        </w:rPr>
        <w:t xml:space="preserve"> </w:t>
      </w:r>
      <w:r>
        <w:rPr>
          <w:rFonts w:ascii="宋体" w:cs="宋体" w:eastAsia="宋体" w:hAnsi="宋体" w:hint="eastAsia"/>
          <w:snapToGrid w:val="false"/>
          <w:color w:val="000000"/>
          <w:spacing w:val="0"/>
          <w:w w:val="100"/>
          <w:kern w:val="0"/>
          <w:position w:val="0"/>
          <w:sz w:val="21"/>
          <w:szCs w:val="21"/>
        </w:rPr>
        <w:t>，属于</w:t>
      </w:r>
      <w:r>
        <w:rPr>
          <w:rFonts w:ascii="宋体" w:cs="宋体" w:eastAsia="宋体" w:hAnsi="宋体" w:hint="eastAsia"/>
          <w:i/>
          <w:iCs/>
          <w:snapToGrid w:val="false"/>
          <w:color w:val="000000"/>
          <w:spacing w:val="0"/>
          <w:w w:val="100"/>
          <w:kern w:val="0"/>
          <w:position w:val="0"/>
          <w:sz w:val="21"/>
          <w:szCs w:val="21"/>
          <w:u w:val="single"/>
        </w:rPr>
        <w:t>（采购文件中明确的所属行业）</w:t>
      </w:r>
      <w:r>
        <w:rPr>
          <w:rFonts w:ascii="宋体" w:cs="宋体" w:eastAsia="宋体" w:hAnsi="宋体" w:hint="eastAsia"/>
          <w:snapToGrid w:val="false"/>
          <w:color w:val="000000"/>
          <w:spacing w:val="0"/>
          <w:w w:val="100"/>
          <w:kern w:val="0"/>
          <w:position w:val="0"/>
          <w:sz w:val="21"/>
          <w:szCs w:val="21"/>
        </w:rPr>
        <w:t>行业；制造商为</w:t>
      </w:r>
      <w:r>
        <w:rPr>
          <w:rFonts w:ascii="宋体" w:cs="宋体" w:eastAsia="宋体" w:hAnsi="宋体" w:hint="eastAsia"/>
          <w:i/>
          <w:iCs/>
          <w:snapToGrid w:val="false"/>
          <w:color w:val="000000"/>
          <w:spacing w:val="0"/>
          <w:w w:val="100"/>
          <w:kern w:val="0"/>
          <w:position w:val="0"/>
          <w:sz w:val="21"/>
          <w:szCs w:val="21"/>
          <w:u w:val="single"/>
        </w:rPr>
        <w:t>（企业名称）</w:t>
      </w:r>
      <w:r>
        <w:rPr>
          <w:rFonts w:ascii="宋体" w:cs="宋体" w:eastAsia="宋体" w:hAnsi="宋体" w:hint="eastAsia"/>
          <w:snapToGrid w:val="false"/>
          <w:color w:val="000000"/>
          <w:spacing w:val="0"/>
          <w:w w:val="100"/>
          <w:kern w:val="0"/>
          <w:position w:val="0"/>
          <w:sz w:val="21"/>
          <w:szCs w:val="21"/>
        </w:rPr>
        <w:t>，从业人员</w:t>
      </w:r>
      <w:r>
        <w:rPr>
          <w:rFonts w:ascii="宋体" w:cs="宋体" w:eastAsia="宋体" w:hAnsi="宋体" w:hint="eastAsia"/>
          <w:snapToGrid w:val="false"/>
          <w:color w:val="000000"/>
          <w:spacing w:val="0"/>
          <w:w w:val="100"/>
          <w:kern w:val="0"/>
          <w:position w:val="0"/>
          <w:sz w:val="21"/>
          <w:szCs w:val="21"/>
          <w:u w:val="single"/>
          <w:lang w:val="en-US" w:eastAsia="zh-CN"/>
        </w:rPr>
        <w:t xml:space="preserve">   </w:t>
      </w:r>
      <w:r>
        <w:rPr>
          <w:rFonts w:ascii="宋体" w:cs="宋体" w:eastAsia="宋体" w:hAnsi="宋体" w:hint="eastAsia"/>
          <w:snapToGrid w:val="false"/>
          <w:color w:val="000000"/>
          <w:spacing w:val="0"/>
          <w:w w:val="100"/>
          <w:kern w:val="0"/>
          <w:position w:val="0"/>
          <w:sz w:val="21"/>
          <w:szCs w:val="21"/>
        </w:rPr>
        <w:t>人，营业收入为</w:t>
      </w:r>
      <w:r>
        <w:rPr>
          <w:rFonts w:ascii="宋体" w:cs="宋体" w:eastAsia="宋体" w:hAnsi="宋体" w:hint="eastAsia"/>
          <w:snapToGrid w:val="false"/>
          <w:color w:val="000000"/>
          <w:spacing w:val="0"/>
          <w:w w:val="100"/>
          <w:kern w:val="0"/>
          <w:position w:val="0"/>
          <w:sz w:val="21"/>
          <w:szCs w:val="21"/>
          <w:u w:val="single"/>
          <w:lang w:val="en-US" w:eastAsia="zh-CN"/>
        </w:rPr>
        <w:t xml:space="preserve">   </w:t>
      </w:r>
      <w:r>
        <w:rPr>
          <w:rFonts w:ascii="宋体" w:cs="宋体" w:eastAsia="宋体" w:hAnsi="宋体" w:hint="eastAsia"/>
          <w:snapToGrid w:val="false"/>
          <w:color w:val="000000"/>
          <w:spacing w:val="0"/>
          <w:w w:val="100"/>
          <w:kern w:val="0"/>
          <w:position w:val="0"/>
          <w:sz w:val="21"/>
          <w:szCs w:val="21"/>
        </w:rPr>
        <w:t>万元，资产总额为</w:t>
      </w:r>
      <w:r>
        <w:rPr>
          <w:rFonts w:ascii="宋体" w:cs="宋体" w:eastAsia="宋体" w:hAnsi="宋体" w:hint="eastAsia"/>
          <w:snapToGrid w:val="false"/>
          <w:color w:val="000000"/>
          <w:spacing w:val="0"/>
          <w:w w:val="100"/>
          <w:kern w:val="0"/>
          <w:position w:val="0"/>
          <w:sz w:val="21"/>
          <w:szCs w:val="21"/>
          <w:u w:val="single"/>
          <w:lang w:val="en-US" w:eastAsia="zh-CN"/>
        </w:rPr>
        <w:t xml:space="preserve">   </w:t>
      </w:r>
      <w:r>
        <w:rPr>
          <w:rFonts w:ascii="宋体" w:cs="宋体" w:eastAsia="宋体" w:hAnsi="宋体" w:hint="eastAsia"/>
          <w:snapToGrid w:val="false"/>
          <w:color w:val="000000"/>
          <w:spacing w:val="0"/>
          <w:w w:val="100"/>
          <w:kern w:val="0"/>
          <w:position w:val="0"/>
          <w:sz w:val="21"/>
          <w:szCs w:val="21"/>
        </w:rPr>
        <w:t>万元</w:t>
      </w:r>
      <w:r>
        <w:rPr>
          <w:rFonts w:ascii="宋体" w:cs="宋体" w:eastAsia="宋体" w:hAnsi="宋体" w:hint="eastAsia"/>
          <w:snapToGrid w:val="false"/>
          <w:color w:val="000000"/>
          <w:spacing w:val="0"/>
          <w:w w:val="100"/>
          <w:kern w:val="0"/>
          <w:position w:val="0"/>
          <w:sz w:val="21"/>
          <w:szCs w:val="21"/>
          <w:vertAlign w:val="superscript"/>
        </w:rPr>
        <w:t>1</w:t>
      </w:r>
      <w:r>
        <w:rPr>
          <w:rFonts w:ascii="宋体" w:cs="宋体" w:eastAsia="宋体" w:hAnsi="宋体" w:hint="eastAsia"/>
          <w:snapToGrid w:val="false"/>
          <w:color w:val="000000"/>
          <w:spacing w:val="0"/>
          <w:w w:val="100"/>
          <w:kern w:val="0"/>
          <w:position w:val="0"/>
          <w:sz w:val="21"/>
          <w:szCs w:val="21"/>
        </w:rPr>
        <w:t>，属于</w:t>
      </w:r>
      <w:r>
        <w:rPr>
          <w:rFonts w:ascii="宋体" w:cs="宋体" w:eastAsia="宋体" w:hAnsi="宋体" w:hint="eastAsia"/>
          <w:i/>
          <w:iCs/>
          <w:snapToGrid w:val="false"/>
          <w:color w:val="000000"/>
          <w:spacing w:val="0"/>
          <w:w w:val="100"/>
          <w:kern w:val="0"/>
          <w:position w:val="0"/>
          <w:sz w:val="21"/>
          <w:szCs w:val="21"/>
          <w:u w:val="single"/>
        </w:rPr>
        <w:t>（中型企业、小型企业、微型企业）</w:t>
      </w:r>
      <w:r>
        <w:rPr>
          <w:rFonts w:ascii="宋体" w:cs="宋体" w:eastAsia="宋体" w:hAnsi="宋体" w:hint="eastAsia"/>
          <w:snapToGrid w:val="false"/>
          <w:color w:val="000000"/>
          <w:spacing w:val="0"/>
          <w:w w:val="100"/>
          <w:kern w:val="0"/>
          <w:position w:val="0"/>
          <w:sz w:val="21"/>
          <w:szCs w:val="21"/>
        </w:rPr>
        <w:t xml:space="preserve">； </w:t>
      </w:r>
    </w:p>
    <w:p w14:paraId="0A6A120F">
      <w:pPr>
        <w:pStyle w:val="style0"/>
        <w:keepNext w:val="false"/>
        <w:keepLines w:val="false"/>
        <w:pageBreakBefore w:val="false"/>
        <w:widowControl w:val="false"/>
        <w:kinsoku/>
        <w:wordWrap/>
        <w:overflowPunct/>
        <w:topLinePunct w:val="false"/>
        <w:autoSpaceDE/>
        <w:autoSpaceDN/>
        <w:bidi w:val="false"/>
        <w:adjustRightInd/>
        <w:snapToGrid/>
        <w:spacing w:lineRule="auto" w:line="480"/>
        <w:ind w:firstLine="420" w:firstLineChars="200"/>
        <w:textAlignment w:val="auto"/>
        <w:outlineLvl w:val="9"/>
        <w:rPr>
          <w:rFonts w:ascii="宋体" w:cs="宋体" w:eastAsia="宋体" w:hAnsi="宋体" w:hint="eastAsia"/>
          <w:snapToGrid w:val="false"/>
          <w:color w:val="000000"/>
          <w:spacing w:val="0"/>
          <w:w w:val="100"/>
          <w:kern w:val="0"/>
          <w:position w:val="0"/>
          <w:sz w:val="21"/>
          <w:szCs w:val="21"/>
        </w:rPr>
      </w:pPr>
      <w:r>
        <w:rPr>
          <w:rFonts w:ascii="宋体" w:cs="宋体" w:eastAsia="宋体" w:hAnsi="宋体" w:hint="eastAsia"/>
          <w:snapToGrid w:val="false"/>
          <w:color w:val="000000"/>
          <w:spacing w:val="0"/>
          <w:w w:val="100"/>
          <w:kern w:val="0"/>
          <w:position w:val="0"/>
          <w:sz w:val="21"/>
          <w:szCs w:val="21"/>
          <w:lang w:val="en-US" w:eastAsia="zh-CN"/>
        </w:rPr>
        <w:t>2</w:t>
      </w:r>
      <w:r>
        <w:rPr>
          <w:rFonts w:ascii="宋体" w:cs="宋体" w:eastAsia="宋体" w:hAnsi="宋体" w:hint="eastAsia"/>
          <w:snapToGrid w:val="false"/>
          <w:color w:val="000000"/>
          <w:spacing w:val="0"/>
          <w:w w:val="100"/>
          <w:kern w:val="0"/>
          <w:position w:val="0"/>
          <w:sz w:val="21"/>
          <w:szCs w:val="21"/>
        </w:rPr>
        <w:t>.</w:t>
      </w:r>
      <w:r>
        <w:rPr>
          <w:rFonts w:ascii="宋体" w:cs="宋体" w:eastAsia="宋体" w:hAnsi="宋体" w:hint="eastAsia"/>
          <w:snapToGrid w:val="false"/>
          <w:color w:val="000000"/>
          <w:spacing w:val="0"/>
          <w:w w:val="100"/>
          <w:kern w:val="0"/>
          <w:position w:val="0"/>
          <w:sz w:val="21"/>
          <w:szCs w:val="21"/>
          <w:u w:val="single"/>
        </w:rPr>
        <w:t xml:space="preserve"> </w:t>
      </w:r>
      <w:r>
        <w:rPr>
          <w:rFonts w:ascii="宋体" w:cs="宋体" w:eastAsia="宋体" w:hAnsi="宋体" w:hint="eastAsia"/>
          <w:i/>
          <w:iCs/>
          <w:snapToGrid w:val="false"/>
          <w:color w:val="000000"/>
          <w:spacing w:val="0"/>
          <w:w w:val="100"/>
          <w:kern w:val="0"/>
          <w:position w:val="0"/>
          <w:sz w:val="21"/>
          <w:szCs w:val="21"/>
          <w:u w:val="single"/>
        </w:rPr>
        <w:t>（标的名称）</w:t>
      </w:r>
      <w:r>
        <w:rPr>
          <w:rFonts w:ascii="宋体" w:cs="宋体" w:eastAsia="宋体" w:hAnsi="宋体" w:hint="eastAsia"/>
          <w:snapToGrid w:val="false"/>
          <w:color w:val="000000"/>
          <w:spacing w:val="0"/>
          <w:w w:val="100"/>
          <w:kern w:val="0"/>
          <w:position w:val="0"/>
          <w:sz w:val="21"/>
          <w:szCs w:val="21"/>
          <w:u w:val="single"/>
        </w:rPr>
        <w:t xml:space="preserve"> </w:t>
      </w:r>
      <w:r>
        <w:rPr>
          <w:rFonts w:ascii="宋体" w:cs="宋体" w:eastAsia="宋体" w:hAnsi="宋体" w:hint="eastAsia"/>
          <w:snapToGrid w:val="false"/>
          <w:color w:val="000000"/>
          <w:spacing w:val="0"/>
          <w:w w:val="100"/>
          <w:kern w:val="0"/>
          <w:position w:val="0"/>
          <w:sz w:val="21"/>
          <w:szCs w:val="21"/>
        </w:rPr>
        <w:t>，属于</w:t>
      </w:r>
      <w:r>
        <w:rPr>
          <w:rFonts w:ascii="宋体" w:cs="宋体" w:eastAsia="宋体" w:hAnsi="宋体" w:hint="eastAsia"/>
          <w:i/>
          <w:iCs/>
          <w:snapToGrid w:val="false"/>
          <w:color w:val="000000"/>
          <w:spacing w:val="0"/>
          <w:w w:val="100"/>
          <w:kern w:val="0"/>
          <w:position w:val="0"/>
          <w:sz w:val="21"/>
          <w:szCs w:val="21"/>
          <w:u w:val="single"/>
        </w:rPr>
        <w:t>（采购文件中明确的所属行业）</w:t>
      </w:r>
      <w:r>
        <w:rPr>
          <w:rFonts w:ascii="宋体" w:cs="宋体" w:eastAsia="宋体" w:hAnsi="宋体" w:hint="eastAsia"/>
          <w:snapToGrid w:val="false"/>
          <w:color w:val="000000"/>
          <w:spacing w:val="0"/>
          <w:w w:val="100"/>
          <w:kern w:val="0"/>
          <w:position w:val="0"/>
          <w:sz w:val="21"/>
          <w:szCs w:val="21"/>
        </w:rPr>
        <w:t>行业；制造商为</w:t>
      </w:r>
      <w:r>
        <w:rPr>
          <w:rFonts w:ascii="宋体" w:cs="宋体" w:eastAsia="宋体" w:hAnsi="宋体" w:hint="eastAsia"/>
          <w:i/>
          <w:iCs/>
          <w:snapToGrid w:val="false"/>
          <w:color w:val="000000"/>
          <w:spacing w:val="0"/>
          <w:w w:val="100"/>
          <w:kern w:val="0"/>
          <w:position w:val="0"/>
          <w:sz w:val="21"/>
          <w:szCs w:val="21"/>
          <w:u w:val="single"/>
        </w:rPr>
        <w:t>（企业名称）</w:t>
      </w:r>
      <w:r>
        <w:rPr>
          <w:rFonts w:ascii="宋体" w:cs="宋体" w:eastAsia="宋体" w:hAnsi="宋体" w:hint="eastAsia"/>
          <w:snapToGrid w:val="false"/>
          <w:color w:val="000000"/>
          <w:spacing w:val="0"/>
          <w:w w:val="100"/>
          <w:kern w:val="0"/>
          <w:position w:val="0"/>
          <w:sz w:val="21"/>
          <w:szCs w:val="21"/>
        </w:rPr>
        <w:t>，从业人员</w:t>
      </w:r>
      <w:r>
        <w:rPr>
          <w:rFonts w:ascii="宋体" w:cs="宋体" w:eastAsia="宋体" w:hAnsi="宋体" w:hint="eastAsia"/>
          <w:snapToGrid w:val="false"/>
          <w:color w:val="000000"/>
          <w:spacing w:val="0"/>
          <w:w w:val="100"/>
          <w:kern w:val="0"/>
          <w:position w:val="0"/>
          <w:sz w:val="21"/>
          <w:szCs w:val="21"/>
          <w:u w:val="single"/>
          <w:lang w:val="en-US" w:eastAsia="zh-CN"/>
        </w:rPr>
        <w:t xml:space="preserve">   </w:t>
      </w:r>
      <w:r>
        <w:rPr>
          <w:rFonts w:ascii="宋体" w:cs="宋体" w:eastAsia="宋体" w:hAnsi="宋体" w:hint="eastAsia"/>
          <w:snapToGrid w:val="false"/>
          <w:color w:val="000000"/>
          <w:spacing w:val="0"/>
          <w:w w:val="100"/>
          <w:kern w:val="0"/>
          <w:position w:val="0"/>
          <w:sz w:val="21"/>
          <w:szCs w:val="21"/>
        </w:rPr>
        <w:t>人，营业收入为</w:t>
      </w:r>
      <w:r>
        <w:rPr>
          <w:rFonts w:ascii="宋体" w:cs="宋体" w:eastAsia="宋体" w:hAnsi="宋体" w:hint="eastAsia"/>
          <w:snapToGrid w:val="false"/>
          <w:color w:val="000000"/>
          <w:spacing w:val="0"/>
          <w:w w:val="100"/>
          <w:kern w:val="0"/>
          <w:position w:val="0"/>
          <w:sz w:val="21"/>
          <w:szCs w:val="21"/>
          <w:u w:val="single"/>
          <w:lang w:val="en-US" w:eastAsia="zh-CN"/>
        </w:rPr>
        <w:t xml:space="preserve">   </w:t>
      </w:r>
      <w:r>
        <w:rPr>
          <w:rFonts w:ascii="宋体" w:cs="宋体" w:eastAsia="宋体" w:hAnsi="宋体" w:hint="eastAsia"/>
          <w:snapToGrid w:val="false"/>
          <w:color w:val="000000"/>
          <w:spacing w:val="0"/>
          <w:w w:val="100"/>
          <w:kern w:val="0"/>
          <w:position w:val="0"/>
          <w:sz w:val="21"/>
          <w:szCs w:val="21"/>
        </w:rPr>
        <w:t>万元，资产总额为</w:t>
      </w:r>
      <w:r>
        <w:rPr>
          <w:rFonts w:ascii="宋体" w:cs="宋体" w:eastAsia="宋体" w:hAnsi="宋体" w:hint="eastAsia"/>
          <w:snapToGrid w:val="false"/>
          <w:color w:val="000000"/>
          <w:spacing w:val="0"/>
          <w:w w:val="100"/>
          <w:kern w:val="0"/>
          <w:position w:val="0"/>
          <w:sz w:val="21"/>
          <w:szCs w:val="21"/>
          <w:u w:val="single"/>
          <w:lang w:val="en-US" w:eastAsia="zh-CN"/>
        </w:rPr>
        <w:t xml:space="preserve">   </w:t>
      </w:r>
      <w:r>
        <w:rPr>
          <w:rFonts w:ascii="宋体" w:cs="宋体" w:eastAsia="宋体" w:hAnsi="宋体" w:hint="eastAsia"/>
          <w:snapToGrid w:val="false"/>
          <w:color w:val="000000"/>
          <w:spacing w:val="0"/>
          <w:w w:val="100"/>
          <w:kern w:val="0"/>
          <w:position w:val="0"/>
          <w:sz w:val="21"/>
          <w:szCs w:val="21"/>
        </w:rPr>
        <w:t>万元，属于</w:t>
      </w:r>
      <w:r>
        <w:rPr>
          <w:rFonts w:ascii="宋体" w:cs="宋体" w:eastAsia="宋体" w:hAnsi="宋体" w:hint="eastAsia"/>
          <w:i/>
          <w:iCs/>
          <w:snapToGrid w:val="false"/>
          <w:color w:val="000000"/>
          <w:spacing w:val="0"/>
          <w:w w:val="100"/>
          <w:kern w:val="0"/>
          <w:position w:val="0"/>
          <w:sz w:val="21"/>
          <w:szCs w:val="21"/>
          <w:u w:val="single"/>
        </w:rPr>
        <w:t>（中型企业、小型企业、微型企业）</w:t>
      </w:r>
      <w:r>
        <w:rPr>
          <w:rFonts w:ascii="宋体" w:cs="宋体" w:eastAsia="宋体" w:hAnsi="宋体" w:hint="eastAsia"/>
          <w:snapToGrid w:val="false"/>
          <w:color w:val="000000"/>
          <w:spacing w:val="0"/>
          <w:w w:val="100"/>
          <w:kern w:val="0"/>
          <w:position w:val="0"/>
          <w:sz w:val="21"/>
          <w:szCs w:val="21"/>
        </w:rPr>
        <w:t xml:space="preserve">； </w:t>
      </w:r>
    </w:p>
    <w:p w14:paraId="72C192FC">
      <w:pPr>
        <w:pStyle w:val="style0"/>
        <w:keepNext w:val="false"/>
        <w:keepLines w:val="false"/>
        <w:pageBreakBefore w:val="false"/>
        <w:widowControl w:val="false"/>
        <w:kinsoku/>
        <w:wordWrap/>
        <w:overflowPunct/>
        <w:topLinePunct w:val="false"/>
        <w:autoSpaceDE/>
        <w:autoSpaceDN/>
        <w:bidi w:val="false"/>
        <w:adjustRightInd/>
        <w:snapToGrid/>
        <w:spacing w:lineRule="auto" w:line="480"/>
        <w:ind w:firstLine="420" w:firstLineChars="200"/>
        <w:textAlignment w:val="auto"/>
        <w:outlineLvl w:val="9"/>
        <w:rPr>
          <w:rFonts w:ascii="宋体" w:cs="宋体" w:eastAsia="宋体" w:hAnsi="宋体" w:hint="eastAsia"/>
          <w:snapToGrid w:val="false"/>
          <w:color w:val="000000"/>
          <w:spacing w:val="0"/>
          <w:w w:val="100"/>
          <w:kern w:val="0"/>
          <w:position w:val="0"/>
          <w:sz w:val="21"/>
          <w:szCs w:val="21"/>
        </w:rPr>
      </w:pPr>
      <w:r>
        <w:rPr>
          <w:rFonts w:ascii="宋体" w:cs="宋体" w:eastAsia="宋体" w:hAnsi="宋体" w:hint="eastAsia"/>
          <w:snapToGrid w:val="false"/>
          <w:color w:val="000000"/>
          <w:spacing w:val="0"/>
          <w:w w:val="100"/>
          <w:kern w:val="0"/>
          <w:position w:val="0"/>
          <w:sz w:val="21"/>
          <w:szCs w:val="21"/>
        </w:rPr>
        <w:t>……</w:t>
      </w:r>
    </w:p>
    <w:p w14:paraId="4F2CB383">
      <w:pPr>
        <w:pStyle w:val="style0"/>
        <w:pageBreakBefore w:val="false"/>
        <w:kinsoku/>
        <w:overflowPunct/>
        <w:bidi w:val="false"/>
        <w:adjustRightInd w:val="false"/>
        <w:snapToGrid w:val="false"/>
        <w:spacing w:lineRule="auto" w:line="480"/>
        <w:ind w:firstLine="420" w:firstLineChars="200"/>
        <w:outlineLvl w:val="9"/>
        <w:rPr>
          <w:rFonts w:ascii="宋体" w:cs="宋体" w:eastAsia="宋体" w:hAnsi="宋体" w:hint="eastAsia"/>
          <w:snapToGrid w:val="false"/>
          <w:color w:val="000000"/>
          <w:spacing w:val="0"/>
          <w:w w:val="100"/>
          <w:kern w:val="0"/>
          <w:position w:val="0"/>
          <w:sz w:val="21"/>
          <w:szCs w:val="21"/>
          <w:highlight w:val="none"/>
        </w:rPr>
      </w:pPr>
      <w:r>
        <w:rPr>
          <w:rFonts w:ascii="宋体" w:cs="宋体" w:eastAsia="宋体" w:hAnsi="宋体" w:hint="eastAsia"/>
          <w:snapToGrid w:val="false"/>
          <w:color w:val="000000"/>
          <w:spacing w:val="0"/>
          <w:w w:val="100"/>
          <w:kern w:val="0"/>
          <w:position w:val="0"/>
          <w:sz w:val="21"/>
          <w:szCs w:val="21"/>
          <w:highlight w:val="none"/>
        </w:rPr>
        <w:t>以上企业，不属于大企业的分支机构，不存在控股股东为大企业的情形，也不存在与大企业的负责人为同一人的情形。</w:t>
      </w:r>
    </w:p>
    <w:p w14:paraId="3E03DBDE">
      <w:pPr>
        <w:pStyle w:val="style0"/>
        <w:pageBreakBefore w:val="false"/>
        <w:kinsoku/>
        <w:overflowPunct/>
        <w:bidi w:val="false"/>
        <w:adjustRightInd w:val="false"/>
        <w:snapToGrid w:val="false"/>
        <w:spacing w:lineRule="auto" w:line="480"/>
        <w:ind w:firstLine="420" w:firstLineChars="200"/>
        <w:outlineLvl w:val="9"/>
        <w:rPr>
          <w:rFonts w:ascii="宋体" w:cs="宋体" w:eastAsia="宋体" w:hAnsi="宋体" w:hint="eastAsia"/>
          <w:snapToGrid w:val="false"/>
          <w:color w:val="000000"/>
          <w:spacing w:val="0"/>
          <w:w w:val="100"/>
          <w:kern w:val="0"/>
          <w:position w:val="0"/>
          <w:sz w:val="21"/>
          <w:szCs w:val="21"/>
          <w:highlight w:val="none"/>
        </w:rPr>
      </w:pPr>
      <w:r>
        <w:rPr>
          <w:rFonts w:ascii="宋体" w:cs="宋体" w:eastAsia="宋体" w:hAnsi="宋体" w:hint="eastAsia"/>
          <w:snapToGrid w:val="false"/>
          <w:color w:val="000000"/>
          <w:spacing w:val="0"/>
          <w:w w:val="100"/>
          <w:kern w:val="0"/>
          <w:position w:val="0"/>
          <w:sz w:val="21"/>
          <w:szCs w:val="21"/>
          <w:highlight w:val="none"/>
        </w:rPr>
        <w:t>本企业对上述声明内容的真实性负责。如有虚假，将依法承担相应责任。</w:t>
      </w:r>
    </w:p>
    <w:p w14:paraId="5E2449C7">
      <w:pPr>
        <w:pStyle w:val="style0"/>
        <w:pageBreakBefore w:val="false"/>
        <w:kinsoku/>
        <w:overflowPunct/>
        <w:bidi w:val="false"/>
        <w:adjustRightInd w:val="false"/>
        <w:snapToGrid w:val="false"/>
        <w:spacing w:lineRule="auto" w:line="480"/>
        <w:jc w:val="center"/>
        <w:outlineLvl w:val="9"/>
        <w:rPr>
          <w:rFonts w:ascii="宋体" w:cs="宋体" w:eastAsia="宋体" w:hAnsi="宋体" w:hint="eastAsia"/>
          <w:snapToGrid w:val="false"/>
          <w:color w:val="000000"/>
          <w:spacing w:val="0"/>
          <w:w w:val="100"/>
          <w:kern w:val="0"/>
          <w:position w:val="0"/>
          <w:sz w:val="21"/>
          <w:szCs w:val="21"/>
          <w:highlight w:val="none"/>
        </w:rPr>
      </w:pPr>
    </w:p>
    <w:p w14:paraId="5A93EB2A">
      <w:pPr>
        <w:pStyle w:val="style0"/>
        <w:pageBreakBefore w:val="false"/>
        <w:kinsoku/>
        <w:overflowPunct/>
        <w:bidi w:val="false"/>
        <w:spacing w:lineRule="auto" w:line="480"/>
        <w:outlineLvl w:val="9"/>
        <w:rPr>
          <w:rFonts w:ascii="宋体" w:cs="宋体" w:eastAsia="宋体" w:hAnsi="宋体" w:hint="eastAsia"/>
          <w:snapToGrid w:val="false"/>
          <w:spacing w:val="0"/>
          <w:w w:val="100"/>
          <w:kern w:val="0"/>
          <w:position w:val="0"/>
          <w:sz w:val="21"/>
          <w:szCs w:val="21"/>
          <w:highlight w:val="none"/>
        </w:rPr>
      </w:pPr>
    </w:p>
    <w:p w14:paraId="5891DA2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4200" w:firstLineChars="2000"/>
        <w:jc w:val="left"/>
        <w:textAlignment w:val="auto"/>
        <w:outlineLvl w:val="9"/>
        <w:rPr>
          <w:rFonts w:ascii="宋体" w:cs="宋体" w:eastAsia="宋体" w:hAnsi="宋体" w:hint="eastAsia"/>
          <w:snapToGrid w:val="false"/>
          <w:color w:val="000000"/>
          <w:spacing w:val="0"/>
          <w:w w:val="100"/>
          <w:kern w:val="0"/>
          <w:position w:val="0"/>
          <w:sz w:val="21"/>
          <w:szCs w:val="21"/>
          <w:highlight w:val="none"/>
        </w:rPr>
      </w:pPr>
      <w:r>
        <w:rPr>
          <w:rFonts w:ascii="宋体" w:cs="宋体" w:eastAsia="宋体" w:hAnsi="宋体" w:hint="eastAsia"/>
          <w:snapToGrid w:val="false"/>
          <w:color w:val="000000"/>
          <w:spacing w:val="0"/>
          <w:w w:val="100"/>
          <w:kern w:val="0"/>
          <w:position w:val="0"/>
          <w:sz w:val="21"/>
          <w:szCs w:val="21"/>
          <w:highlight w:val="none"/>
        </w:rPr>
        <w:t>企业名称（盖章）：</w:t>
      </w:r>
    </w:p>
    <w:p w14:paraId="5090E00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4200" w:firstLineChars="2000"/>
        <w:jc w:val="left"/>
        <w:textAlignment w:val="auto"/>
        <w:outlineLvl w:val="9"/>
        <w:rPr>
          <w:rFonts w:ascii="宋体" w:cs="宋体" w:eastAsia="宋体" w:hAnsi="宋体" w:hint="eastAsia"/>
          <w:snapToGrid w:val="false"/>
          <w:color w:val="000000"/>
          <w:spacing w:val="0"/>
          <w:w w:val="100"/>
          <w:kern w:val="0"/>
          <w:position w:val="0"/>
          <w:sz w:val="21"/>
          <w:szCs w:val="21"/>
          <w:highlight w:val="none"/>
        </w:rPr>
      </w:pPr>
      <w:r>
        <w:rPr>
          <w:rFonts w:ascii="宋体" w:cs="宋体" w:eastAsia="宋体" w:hAnsi="宋体" w:hint="eastAsia"/>
          <w:snapToGrid w:val="false"/>
          <w:color w:val="000000"/>
          <w:spacing w:val="0"/>
          <w:w w:val="100"/>
          <w:kern w:val="0"/>
          <w:position w:val="0"/>
          <w:sz w:val="21"/>
          <w:szCs w:val="21"/>
          <w:highlight w:val="none"/>
        </w:rPr>
        <w:t>日期：</w:t>
      </w:r>
    </w:p>
    <w:p w14:paraId="5A5F5F94">
      <w:pPr>
        <w:pStyle w:val="style0"/>
        <w:pageBreakBefore w:val="false"/>
        <w:kinsoku/>
        <w:overflowPunct/>
        <w:bidi w:val="false"/>
        <w:spacing w:lineRule="auto" w:line="480"/>
        <w:outlineLvl w:val="9"/>
        <w:rPr>
          <w:rFonts w:ascii="宋体" w:cs="宋体" w:eastAsia="宋体" w:hAnsi="宋体" w:hint="eastAsia"/>
          <w:snapToGrid w:val="false"/>
          <w:color w:val="000000"/>
          <w:spacing w:val="0"/>
          <w:w w:val="100"/>
          <w:kern w:val="0"/>
          <w:position w:val="0"/>
          <w:sz w:val="21"/>
          <w:szCs w:val="21"/>
          <w:highlight w:val="none"/>
        </w:rPr>
      </w:pPr>
    </w:p>
    <w:p w14:paraId="1A2AE805">
      <w:pPr>
        <w:pStyle w:val="style0"/>
        <w:pageBreakBefore w:val="false"/>
        <w:kinsoku/>
        <w:overflowPunct/>
        <w:bidi w:val="false"/>
        <w:spacing w:lineRule="auto" w:line="480"/>
        <w:outlineLvl w:val="9"/>
        <w:rPr>
          <w:rFonts w:ascii="宋体" w:cs="宋体" w:eastAsia="宋体" w:hAnsi="宋体" w:hint="eastAsia"/>
          <w:snapToGrid w:val="false"/>
          <w:color w:val="000000"/>
          <w:spacing w:val="0"/>
          <w:w w:val="100"/>
          <w:kern w:val="0"/>
          <w:position w:val="0"/>
          <w:sz w:val="21"/>
          <w:szCs w:val="21"/>
          <w:highlight w:val="none"/>
        </w:rPr>
      </w:pPr>
    </w:p>
    <w:p w14:paraId="2C51B17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480"/>
        <w:ind w:firstLine="442" w:firstLineChars="200"/>
        <w:textAlignment w:val="auto"/>
        <w:outlineLvl w:val="9"/>
        <w:rPr>
          <w:rFonts w:ascii="宋体" w:cs="宋体" w:eastAsia="宋体" w:hAnsi="宋体" w:hint="eastAsia"/>
          <w:snapToGrid w:val="false"/>
          <w:color w:val="000000"/>
          <w:spacing w:val="0"/>
          <w:w w:val="100"/>
          <w:kern w:val="0"/>
          <w:position w:val="0"/>
          <w:sz w:val="21"/>
          <w:szCs w:val="21"/>
          <w:highlight w:val="none"/>
          <w:lang w:eastAsia="zh-CN"/>
        </w:rPr>
      </w:pPr>
      <w:r>
        <w:rPr>
          <w:rFonts w:ascii="宋体" w:cs="宋体" w:eastAsia="宋体" w:hAnsi="宋体" w:hint="eastAsia"/>
          <w:b/>
          <w:bCs/>
        </w:rPr>
        <w:t>说明：</w:t>
      </w:r>
      <w:r>
        <w:rPr>
          <w:rFonts w:ascii="宋体" w:cs="宋体" w:eastAsia="宋体" w:hAnsi="宋体" w:hint="eastAsia"/>
          <w:snapToGrid w:val="false"/>
          <w:color w:val="000000"/>
          <w:spacing w:val="0"/>
          <w:w w:val="100"/>
          <w:kern w:val="0"/>
          <w:position w:val="0"/>
          <w:sz w:val="21"/>
          <w:szCs w:val="21"/>
          <w:highlight w:val="none"/>
          <w:lang w:val="en-US" w:eastAsia="zh-CN"/>
        </w:rPr>
        <w:t>1、</w:t>
      </w:r>
      <w:r>
        <w:rPr>
          <w:rFonts w:ascii="宋体" w:cs="宋体" w:eastAsia="宋体" w:hAnsi="宋体" w:hint="eastAsia"/>
          <w:snapToGrid w:val="false"/>
          <w:color w:val="000000"/>
          <w:spacing w:val="0"/>
          <w:w w:val="100"/>
          <w:kern w:val="0"/>
          <w:position w:val="0"/>
          <w:sz w:val="21"/>
          <w:szCs w:val="21"/>
          <w:vertAlign w:val="superscript"/>
        </w:rPr>
        <w:t>1</w:t>
      </w:r>
      <w:r>
        <w:rPr>
          <w:rFonts w:ascii="宋体" w:cs="宋体" w:eastAsia="宋体" w:hAnsi="宋体" w:hint="eastAsia"/>
          <w:snapToGrid w:val="false"/>
          <w:color w:val="000000"/>
          <w:spacing w:val="0"/>
          <w:w w:val="100"/>
          <w:kern w:val="0"/>
          <w:position w:val="0"/>
          <w:sz w:val="21"/>
          <w:szCs w:val="21"/>
          <w:highlight w:val="none"/>
        </w:rPr>
        <w:t>从业人员、营业收入、资产总额填报上一年度数据，无上一年度数据的新成立企业可不填报</w:t>
      </w:r>
      <w:r>
        <w:rPr>
          <w:rFonts w:ascii="宋体" w:cs="宋体" w:eastAsia="宋体" w:hAnsi="宋体" w:hint="eastAsia"/>
          <w:snapToGrid w:val="false"/>
          <w:color w:val="000000"/>
          <w:spacing w:val="0"/>
          <w:w w:val="100"/>
          <w:kern w:val="0"/>
          <w:position w:val="0"/>
          <w:sz w:val="21"/>
          <w:szCs w:val="21"/>
          <w:highlight w:val="none"/>
          <w:lang w:eastAsia="zh-CN"/>
        </w:rPr>
        <w:t>。</w:t>
      </w:r>
    </w:p>
    <w:p w14:paraId="5262E113">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outlineLvl w:val="2"/>
        <w:rPr>
          <w:rStyle w:val="style4147"/>
          <w:rFonts w:ascii="宋体" w:cs="宋体" w:eastAsia="宋体" w:hAnsi="宋体" w:hint="eastAsia"/>
          <w:sz w:val="24"/>
          <w:szCs w:val="24"/>
          <w:lang w:val="en-US" w:eastAsia="zh-CN"/>
        </w:rPr>
      </w:pPr>
      <w:r>
        <w:rPr>
          <w:rFonts w:ascii="宋体" w:cs="宋体" w:eastAsia="宋体" w:hAnsi="宋体" w:hint="eastAsia"/>
          <w:snapToGrid w:val="false"/>
          <w:spacing w:val="0"/>
          <w:w w:val="100"/>
          <w:kern w:val="0"/>
          <w:position w:val="0"/>
          <w:sz w:val="21"/>
          <w:szCs w:val="21"/>
        </w:rPr>
        <w:br w:type="page"/>
      </w:r>
      <w:bookmarkStart w:id="132" w:name="_Toc15532"/>
      <w:bookmarkStart w:id="133" w:name="_Toc17341"/>
      <w:bookmarkStart w:id="134" w:name="_Toc21122"/>
      <w:bookmarkStart w:id="135" w:name="_Toc30997"/>
      <w:bookmarkStart w:id="136" w:name="_Toc25810"/>
      <w:bookmarkStart w:id="137" w:name="_Toc3227"/>
      <w:bookmarkStart w:id="138" w:name="_Toc7894"/>
      <w:bookmarkStart w:id="139" w:name="_Toc5300"/>
      <w:bookmarkStart w:id="140" w:name="_Toc32496"/>
      <w:bookmarkStart w:id="141" w:name="_Toc28437"/>
      <w:bookmarkStart w:id="142" w:name="OLE_LINK13"/>
      <w:bookmarkStart w:id="143" w:name="OLE_LINK14"/>
      <w:r>
        <w:rPr>
          <w:rStyle w:val="style4147"/>
          <w:rFonts w:ascii="宋体" w:cs="宋体" w:eastAsia="宋体" w:hAnsi="宋体" w:hint="eastAsia"/>
          <w:sz w:val="24"/>
          <w:szCs w:val="24"/>
          <w:lang w:val="en-US" w:eastAsia="zh-CN"/>
        </w:rPr>
        <w:t>（二）残疾人福利性单位声明函（如有）</w:t>
      </w:r>
      <w:bookmarkEnd w:id="132"/>
      <w:bookmarkEnd w:id="133"/>
      <w:bookmarkEnd w:id="134"/>
      <w:bookmarkEnd w:id="135"/>
      <w:bookmarkEnd w:id="136"/>
      <w:bookmarkEnd w:id="137"/>
      <w:bookmarkEnd w:id="138"/>
      <w:bookmarkEnd w:id="139"/>
      <w:bookmarkEnd w:id="140"/>
      <w:bookmarkEnd w:id="141"/>
    </w:p>
    <w:bookmarkEnd w:id="142"/>
    <w:bookmarkEnd w:id="143"/>
    <w:p w14:paraId="4772212C">
      <w:pPr>
        <w:pStyle w:val="style0"/>
        <w:pageBreakBefore w:val="false"/>
        <w:kinsoku/>
        <w:overflowPunct/>
        <w:bidi w:val="false"/>
        <w:spacing w:lineRule="auto" w:line="360"/>
        <w:outlineLvl w:val="9"/>
        <w:rPr>
          <w:rFonts w:ascii="宋体" w:cs="宋体" w:eastAsia="宋体" w:hAnsi="宋体" w:hint="eastAsia"/>
          <w:b/>
          <w:snapToGrid w:val="false"/>
          <w:spacing w:val="0"/>
          <w:w w:val="100"/>
          <w:kern w:val="0"/>
          <w:position w:val="0"/>
          <w:sz w:val="21"/>
          <w:szCs w:val="21"/>
        </w:rPr>
      </w:pPr>
    </w:p>
    <w:p w14:paraId="28D55DDB">
      <w:pPr>
        <w:pStyle w:val="style0"/>
        <w:pageBreakBefore w:val="false"/>
        <w:kinsoku/>
        <w:overflowPunct/>
        <w:bidi w:val="false"/>
        <w:spacing w:lineRule="auto" w:line="480"/>
        <w:ind w:firstLine="420" w:firstLineChars="200"/>
        <w:outlineLvl w:val="9"/>
        <w:rPr>
          <w:rFonts w:ascii="宋体" w:cs="宋体" w:eastAsia="宋体" w:hAnsi="宋体" w:hint="eastAsia"/>
          <w:snapToGrid w:val="false"/>
          <w:spacing w:val="0"/>
          <w:w w:val="100"/>
          <w:kern w:val="0"/>
          <w:position w:val="0"/>
          <w:sz w:val="21"/>
          <w:szCs w:val="21"/>
        </w:rPr>
      </w:pPr>
      <w:r>
        <w:rPr>
          <w:rFonts w:ascii="宋体" w:cs="宋体" w:eastAsia="宋体" w:hAnsi="宋体" w:hint="eastAsia"/>
          <w:snapToGrid w:val="false"/>
          <w:spacing w:val="0"/>
          <w:w w:val="100"/>
          <w:kern w:val="0"/>
          <w:position w:val="0"/>
          <w:sz w:val="21"/>
          <w:szCs w:val="21"/>
        </w:rPr>
        <w:t>本单位郑重声明，根据《财政部 民政部 中国残疾人联合会关于促进残疾人就业政府采购政策的通知》（财库〔2017〕141号）的规定，本单位为符合条件的残疾人福利性单位，且本单位参加</w:t>
      </w:r>
      <w:r>
        <w:rPr>
          <w:rFonts w:ascii="宋体" w:cs="宋体" w:eastAsia="宋体" w:hAnsi="宋体" w:hint="eastAsia"/>
          <w:snapToGrid w:val="false"/>
          <w:spacing w:val="0"/>
          <w:w w:val="100"/>
          <w:kern w:val="0"/>
          <w:position w:val="0"/>
          <w:sz w:val="21"/>
          <w:szCs w:val="21"/>
          <w:u w:val="single"/>
          <w:lang w:val="en-US" w:eastAsia="zh-CN"/>
        </w:rPr>
        <w:t xml:space="preserve">         </w:t>
      </w:r>
      <w:r>
        <w:rPr>
          <w:rFonts w:ascii="宋体" w:cs="宋体" w:eastAsia="宋体" w:hAnsi="宋体" w:hint="eastAsia"/>
          <w:snapToGrid w:val="false"/>
          <w:spacing w:val="0"/>
          <w:w w:val="100"/>
          <w:kern w:val="0"/>
          <w:position w:val="0"/>
          <w:sz w:val="21"/>
          <w:szCs w:val="21"/>
        </w:rPr>
        <w:t>单位的</w:t>
      </w:r>
      <w:r>
        <w:rPr>
          <w:rFonts w:ascii="宋体" w:cs="宋体" w:eastAsia="宋体" w:hAnsi="宋体" w:hint="eastAsia"/>
          <w:snapToGrid w:val="false"/>
          <w:spacing w:val="0"/>
          <w:w w:val="100"/>
          <w:kern w:val="0"/>
          <w:position w:val="0"/>
          <w:sz w:val="21"/>
          <w:szCs w:val="21"/>
          <w:u w:val="single"/>
          <w:lang w:val="en-US" w:eastAsia="zh-CN"/>
        </w:rPr>
        <w:t xml:space="preserve">         </w:t>
      </w:r>
      <w:r>
        <w:rPr>
          <w:rFonts w:ascii="宋体" w:cs="宋体" w:eastAsia="宋体" w:hAnsi="宋体" w:hint="eastAsia"/>
          <w:snapToGrid w:val="false"/>
          <w:spacing w:val="0"/>
          <w:w w:val="100"/>
          <w:kern w:val="0"/>
          <w:position w:val="0"/>
          <w:sz w:val="21"/>
          <w:szCs w:val="21"/>
        </w:rPr>
        <w:t>项目采购活动提供本单位制造的货物（由本单位承担工程/提供服务），或者提供其他残疾人福利性单位制造的货物（不包括使用非残疾人福利性单位注册商标的货物）。</w:t>
      </w:r>
    </w:p>
    <w:p w14:paraId="5AF9EA93">
      <w:pPr>
        <w:pStyle w:val="style0"/>
        <w:pageBreakBefore w:val="false"/>
        <w:kinsoku/>
        <w:overflowPunct/>
        <w:bidi w:val="false"/>
        <w:spacing w:lineRule="auto" w:line="480"/>
        <w:ind w:firstLine="420" w:firstLineChars="200"/>
        <w:outlineLvl w:val="9"/>
        <w:rPr>
          <w:rFonts w:ascii="宋体" w:cs="宋体" w:eastAsia="宋体" w:hAnsi="宋体" w:hint="eastAsia"/>
          <w:snapToGrid w:val="false"/>
          <w:spacing w:val="0"/>
          <w:w w:val="100"/>
          <w:kern w:val="0"/>
          <w:position w:val="0"/>
          <w:sz w:val="21"/>
          <w:szCs w:val="21"/>
        </w:rPr>
      </w:pPr>
      <w:r>
        <w:rPr>
          <w:rFonts w:ascii="宋体" w:cs="宋体" w:eastAsia="宋体" w:hAnsi="宋体" w:hint="eastAsia"/>
          <w:snapToGrid w:val="false"/>
          <w:spacing w:val="0"/>
          <w:w w:val="100"/>
          <w:kern w:val="0"/>
          <w:position w:val="0"/>
          <w:sz w:val="21"/>
          <w:szCs w:val="21"/>
        </w:rPr>
        <w:t>本单位对上述声明的真实性负责。如有虚假，将依法承担相应责任。</w:t>
      </w:r>
    </w:p>
    <w:p w14:paraId="1FAD715A">
      <w:pPr>
        <w:pStyle w:val="style0"/>
        <w:pageBreakBefore w:val="false"/>
        <w:kinsoku/>
        <w:overflowPunct/>
        <w:bidi w:val="false"/>
        <w:spacing w:lineRule="auto" w:line="480"/>
        <w:ind w:firstLine="420" w:firstLineChars="200"/>
        <w:outlineLvl w:val="9"/>
        <w:rPr>
          <w:rFonts w:ascii="宋体" w:cs="宋体" w:eastAsia="宋体" w:hAnsi="宋体" w:hint="eastAsia"/>
          <w:snapToGrid w:val="false"/>
          <w:spacing w:val="0"/>
          <w:w w:val="100"/>
          <w:kern w:val="0"/>
          <w:position w:val="0"/>
          <w:sz w:val="21"/>
          <w:szCs w:val="21"/>
        </w:rPr>
      </w:pPr>
    </w:p>
    <w:p w14:paraId="54AA72E4">
      <w:pPr>
        <w:pStyle w:val="style0"/>
        <w:pageBreakBefore w:val="false"/>
        <w:kinsoku/>
        <w:overflowPunct/>
        <w:bidi w:val="false"/>
        <w:spacing w:lineRule="auto" w:line="480"/>
        <w:ind w:firstLine="420" w:firstLineChars="200"/>
        <w:outlineLvl w:val="9"/>
        <w:rPr>
          <w:rFonts w:ascii="宋体" w:cs="宋体" w:eastAsia="宋体" w:hAnsi="宋体" w:hint="eastAsia"/>
          <w:snapToGrid w:val="false"/>
          <w:spacing w:val="0"/>
          <w:w w:val="100"/>
          <w:kern w:val="0"/>
          <w:position w:val="0"/>
          <w:sz w:val="21"/>
          <w:szCs w:val="21"/>
        </w:rPr>
      </w:pPr>
    </w:p>
    <w:p w14:paraId="33D555DF">
      <w:pPr>
        <w:pStyle w:val="style0"/>
        <w:pageBreakBefore w:val="false"/>
        <w:tabs>
          <w:tab w:val="left" w:leader="none" w:pos="4860"/>
        </w:tabs>
        <w:kinsoku/>
        <w:overflowPunct/>
        <w:bidi w:val="false"/>
        <w:spacing w:lineRule="auto" w:line="480"/>
        <w:ind w:right="1560" w:firstLine="420" w:firstLineChars="200"/>
        <w:jc w:val="center"/>
        <w:outlineLvl w:val="9"/>
        <w:rPr>
          <w:rFonts w:ascii="宋体" w:cs="宋体" w:eastAsia="宋体" w:hAnsi="宋体" w:hint="eastAsia"/>
          <w:snapToGrid w:val="false"/>
          <w:spacing w:val="0"/>
          <w:w w:val="100"/>
          <w:kern w:val="0"/>
          <w:position w:val="0"/>
          <w:sz w:val="21"/>
          <w:szCs w:val="21"/>
        </w:rPr>
      </w:pPr>
      <w:r>
        <w:rPr>
          <w:rFonts w:ascii="宋体" w:cs="宋体" w:eastAsia="宋体" w:hAnsi="宋体" w:hint="eastAsia"/>
          <w:snapToGrid w:val="false"/>
          <w:spacing w:val="0"/>
          <w:w w:val="100"/>
          <w:kern w:val="0"/>
          <w:position w:val="0"/>
          <w:sz w:val="21"/>
          <w:szCs w:val="21"/>
        </w:rPr>
        <w:t xml:space="preserve">               单位名称（盖章）：</w:t>
      </w:r>
    </w:p>
    <w:p w14:paraId="6E95EB22">
      <w:pPr>
        <w:pStyle w:val="style0"/>
        <w:pageBreakBefore w:val="false"/>
        <w:tabs>
          <w:tab w:val="left" w:leader="none" w:pos="4860"/>
        </w:tabs>
        <w:kinsoku/>
        <w:overflowPunct/>
        <w:bidi w:val="false"/>
        <w:spacing w:lineRule="auto" w:line="480"/>
        <w:ind w:right="1560" w:firstLine="420" w:firstLineChars="200"/>
        <w:jc w:val="center"/>
        <w:outlineLvl w:val="9"/>
        <w:rPr>
          <w:rFonts w:ascii="宋体" w:cs="宋体" w:eastAsia="宋体" w:hAnsi="宋体" w:hint="eastAsia"/>
          <w:snapToGrid w:val="false"/>
          <w:spacing w:val="0"/>
          <w:w w:val="100"/>
          <w:kern w:val="0"/>
          <w:position w:val="0"/>
          <w:sz w:val="21"/>
          <w:szCs w:val="21"/>
        </w:rPr>
      </w:pPr>
      <w:r>
        <w:rPr>
          <w:rFonts w:ascii="宋体" w:cs="宋体" w:eastAsia="宋体" w:hAnsi="宋体" w:hint="eastAsia"/>
          <w:snapToGrid w:val="false"/>
          <w:spacing w:val="0"/>
          <w:w w:val="100"/>
          <w:kern w:val="0"/>
          <w:position w:val="0"/>
          <w:sz w:val="21"/>
          <w:szCs w:val="21"/>
        </w:rPr>
        <w:t xml:space="preserve">       日  期：</w:t>
      </w:r>
    </w:p>
    <w:p w14:paraId="64956EA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20" w:firstLineChars="200"/>
        <w:textAlignment w:val="auto"/>
        <w:outlineLvl w:val="9"/>
        <w:rPr>
          <w:rFonts w:ascii="宋体" w:cs="宋体" w:eastAsia="宋体" w:hAnsi="宋体" w:hint="eastAsia"/>
          <w:snapToGrid w:val="false"/>
          <w:color w:val="000000"/>
          <w:spacing w:val="0"/>
          <w:w w:val="100"/>
          <w:kern w:val="0"/>
          <w:position w:val="0"/>
          <w:sz w:val="21"/>
          <w:szCs w:val="21"/>
          <w:highlight w:val="none"/>
          <w:lang w:val="en-US" w:eastAsia="zh-CN"/>
        </w:rPr>
      </w:pPr>
    </w:p>
    <w:p w14:paraId="0D5A6E07">
      <w:pPr>
        <w:pStyle w:val="style0"/>
        <w:rPr>
          <w:rFonts w:ascii="宋体" w:cs="宋体" w:eastAsia="宋体" w:hAnsi="宋体" w:hint="eastAsia"/>
          <w:lang w:val="en-US" w:eastAsia="zh-CN"/>
        </w:rPr>
      </w:pPr>
    </w:p>
    <w:p w14:paraId="2EC9C2E6">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outlineLvl w:val="2"/>
        <w:rPr>
          <w:rStyle w:val="style4147"/>
          <w:rFonts w:ascii="宋体" w:cs="宋体" w:eastAsia="宋体" w:hAnsi="宋体" w:hint="eastAsia"/>
          <w:sz w:val="24"/>
          <w:szCs w:val="24"/>
          <w:lang w:val="en-US" w:eastAsia="zh-CN"/>
        </w:rPr>
      </w:pPr>
      <w:r>
        <w:rPr>
          <w:rFonts w:ascii="宋体" w:cs="宋体" w:eastAsia="宋体" w:hAnsi="宋体" w:hint="eastAsia"/>
          <w:snapToGrid w:val="false"/>
          <w:spacing w:val="0"/>
          <w:w w:val="100"/>
          <w:kern w:val="0"/>
          <w:position w:val="0"/>
          <w:sz w:val="21"/>
          <w:szCs w:val="21"/>
        </w:rPr>
        <w:br w:type="page"/>
      </w:r>
      <w:bookmarkStart w:id="144" w:name="_Toc21677"/>
      <w:bookmarkStart w:id="145" w:name="_Toc7081"/>
      <w:bookmarkStart w:id="146" w:name="_Toc12671"/>
      <w:bookmarkStart w:id="147" w:name="_Toc3092"/>
      <w:bookmarkStart w:id="148" w:name="_Toc32125"/>
      <w:bookmarkStart w:id="149" w:name="_Toc27344"/>
      <w:bookmarkStart w:id="150" w:name="_Toc7493"/>
      <w:bookmarkStart w:id="151" w:name="_Toc6859"/>
      <w:bookmarkStart w:id="152" w:name="_Toc8578"/>
      <w:bookmarkStart w:id="153" w:name="_Toc13850"/>
      <w:r>
        <w:rPr>
          <w:rStyle w:val="style4147"/>
          <w:rFonts w:ascii="宋体" w:cs="宋体" w:eastAsia="宋体" w:hAnsi="宋体" w:hint="eastAsia"/>
          <w:sz w:val="24"/>
          <w:szCs w:val="24"/>
          <w:lang w:val="en-US" w:eastAsia="zh-CN"/>
        </w:rPr>
        <w:t>（三）监狱企业证明文件（如有）</w:t>
      </w:r>
      <w:bookmarkEnd w:id="144"/>
      <w:bookmarkEnd w:id="145"/>
      <w:bookmarkEnd w:id="146"/>
      <w:bookmarkEnd w:id="147"/>
      <w:bookmarkEnd w:id="148"/>
      <w:bookmarkEnd w:id="149"/>
      <w:bookmarkEnd w:id="150"/>
      <w:bookmarkEnd w:id="151"/>
      <w:bookmarkEnd w:id="152"/>
      <w:bookmarkEnd w:id="153"/>
    </w:p>
    <w:p w14:paraId="310FB17A">
      <w:pPr>
        <w:pStyle w:val="style28"/>
        <w:keepNext w:val="false"/>
        <w:keepLines w:val="false"/>
        <w:pageBreakBefore w:val="false"/>
        <w:widowControl w:val="false"/>
        <w:kinsoku/>
        <w:wordWrap/>
        <w:overflowPunct/>
        <w:topLinePunct w:val="false"/>
        <w:autoSpaceDE/>
        <w:autoSpaceDN/>
        <w:bidi w:val="false"/>
        <w:adjustRightInd/>
        <w:snapToGrid/>
        <w:spacing w:lineRule="auto" w:line="480"/>
        <w:textAlignment w:val="auto"/>
        <w:outlineLvl w:val="9"/>
        <w:rPr>
          <w:rFonts w:ascii="宋体" w:cs="宋体" w:eastAsia="宋体" w:hAnsi="宋体" w:hint="eastAsia"/>
          <w:kern w:val="0"/>
          <w:sz w:val="21"/>
          <w:szCs w:val="21"/>
        </w:rPr>
      </w:pPr>
    </w:p>
    <w:p w14:paraId="79B1BBD5">
      <w:pPr>
        <w:pStyle w:val="style28"/>
        <w:keepNext w:val="false"/>
        <w:keepLines w:val="false"/>
        <w:pageBreakBefore w:val="false"/>
        <w:widowControl w:val="false"/>
        <w:kinsoku/>
        <w:wordWrap/>
        <w:overflowPunct/>
        <w:topLinePunct w:val="false"/>
        <w:autoSpaceDE/>
        <w:autoSpaceDN/>
        <w:bidi w:val="false"/>
        <w:adjustRightInd/>
        <w:snapToGrid/>
        <w:spacing w:lineRule="auto" w:line="480"/>
        <w:ind w:left="0" w:leftChars="0" w:firstLine="0" w:firstLineChars="0"/>
        <w:jc w:val="center"/>
        <w:textAlignment w:val="auto"/>
        <w:outlineLvl w:val="9"/>
        <w:rPr>
          <w:rFonts w:ascii="宋体" w:cs="宋体" w:eastAsia="宋体" w:hAnsi="宋体" w:hint="eastAsia"/>
          <w:kern w:val="0"/>
          <w:sz w:val="21"/>
          <w:szCs w:val="21"/>
        </w:rPr>
      </w:pPr>
      <w:r>
        <w:rPr>
          <w:rFonts w:ascii="宋体" w:cs="宋体" w:eastAsia="宋体" w:hAnsi="宋体" w:hint="eastAsia"/>
          <w:kern w:val="0"/>
          <w:sz w:val="21"/>
          <w:szCs w:val="21"/>
        </w:rPr>
        <w:t>省级以上监狱管理局、戒毒管理局（含新疆生产建设兵团）出具的属于监狱企业的证明文件。</w:t>
      </w:r>
    </w:p>
    <w:p w14:paraId="406B870D">
      <w:pPr>
        <w:pStyle w:val="style0"/>
        <w:spacing w:lineRule="auto" w:line="480"/>
        <w:ind w:firstLine="422" w:firstLineChars="200"/>
        <w:jc w:val="left"/>
        <w:rPr>
          <w:rFonts w:ascii="宋体" w:cs="宋体" w:eastAsia="宋体" w:hAnsi="宋体" w:hint="eastAsia"/>
          <w:b/>
          <w:bCs/>
          <w:sz w:val="21"/>
          <w:szCs w:val="21"/>
        </w:rPr>
      </w:pPr>
    </w:p>
    <w:bookmarkEnd w:id="121"/>
    <w:p w14:paraId="6231D742">
      <w:pPr>
        <w:pStyle w:val="style66"/>
        <w:spacing w:before="11" w:lineRule="auto" w:line="360"/>
        <w:rPr>
          <w:rFonts w:ascii="宋体" w:cs="宋体" w:eastAsia="宋体" w:hAnsi="宋体" w:hint="eastAsia"/>
          <w:b/>
          <w:color w:val="auto"/>
          <w:sz w:val="24"/>
          <w:highlight w:val="none"/>
          <w:lang w:eastAsia="zh-CN"/>
        </w:rPr>
      </w:pPr>
    </w:p>
    <w:bookmarkStart w:id="154" w:name="（三）所投产品符合国家强制性要求承诺函"/>
    <w:bookmarkEnd w:id="154"/>
    <w:p w14:paraId="5E1B1416">
      <w:pPr>
        <w:pStyle w:val="style0"/>
        <w:spacing w:lineRule="auto" w:line="360"/>
        <w:rPr>
          <w:rFonts w:ascii="宋体" w:cs="宋体" w:eastAsia="宋体" w:hAnsi="宋体" w:hint="eastAsia"/>
          <w:color w:val="auto"/>
          <w:highlight w:val="none"/>
        </w:rPr>
      </w:pPr>
    </w:p>
    <w:p w14:paraId="57608816">
      <w:pPr>
        <w:pStyle w:val="style0"/>
        <w:spacing w:lineRule="auto" w:line="360"/>
        <w:rPr>
          <w:rFonts w:ascii="宋体" w:cs="宋体" w:eastAsia="宋体" w:hAnsi="宋体" w:hint="eastAsia"/>
          <w:color w:val="auto"/>
          <w:highlight w:val="none"/>
        </w:rPr>
      </w:pPr>
    </w:p>
    <w:p w14:paraId="3C86C087">
      <w:pPr>
        <w:pStyle w:val="style0"/>
        <w:spacing w:lineRule="auto" w:line="360"/>
        <w:rPr>
          <w:rFonts w:ascii="宋体" w:cs="宋体" w:eastAsia="宋体" w:hAnsi="宋体" w:hint="eastAsia"/>
          <w:color w:val="auto"/>
          <w:highlight w:val="none"/>
          <w:lang w:eastAsia="zh-CN"/>
        </w:rPr>
      </w:pPr>
    </w:p>
    <w:sectPr>
      <w:pgSz w:w="11910" w:h="16840" w:orient="portrait"/>
      <w:pgMar w:top="1440" w:right="1080" w:bottom="1440" w:left="1080" w:header="878" w:footer="11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50"/>
    <w:family w:val="auto"/>
    <w:pitch w:val="default"/>
    <w:sig w:usb0="E0002EFF" w:usb1="C000785B" w:usb2="00000009" w:usb3="00000000" w:csb0="400001FF" w:csb1="FFFF0000"/>
  </w:font>
  <w:font w:name="宋体">
    <w:altName w:val="宋体"/>
    <w:panose1 w:val="02010600030001010101"/>
    <w:charset w:val="81"/>
    <w:family w:val="roman"/>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Cambria">
    <w:altName w:val="Cambria"/>
    <w:panose1 w:val="02040503050004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华文细黑">
    <w:altName w:val="微软雅黑"/>
    <w:panose1 w:val="02010600040001010101"/>
    <w:charset w:val="86"/>
    <w:family w:val="auto"/>
    <w:pitch w:val="default"/>
    <w:sig w:usb0="00000000" w:usb1="00000000" w:usb2="00000000" w:usb3="00000000" w:csb0="0004009F" w:csb1="DFD70000"/>
  </w:font>
  <w:font w:name="微软雅黑">
    <w:altName w:val="微软雅黑"/>
    <w:panose1 w:val="020b0503020002020204"/>
    <w:charset w:val="86"/>
    <w:family w:val="auto"/>
    <w:pitch w:val="default"/>
    <w:sig w:usb0="80000287" w:usb1="2ACF3C50" w:usb2="00000016" w:usb3="00000000" w:csb0="0004001F" w:csb1="00000000"/>
  </w:font>
  <w:font w:name="仿宋">
    <w:altName w:val="仿宋"/>
    <w:panose1 w:val="02010609060001010101"/>
    <w:charset w:val="86"/>
    <w:family w:val="auto"/>
    <w:pitch w:val="default"/>
    <w:sig w:usb0="800002BF" w:usb1="38CF7CFA" w:usb2="00000016" w:usb3="00000000" w:csb0="00040001" w:csb1="00000000"/>
  </w:font>
  <w:font w:name="华文楷体">
    <w:altName w:val="宋体"/>
    <w:panose1 w:val="02010600040001010101"/>
    <w:charset w:val="86"/>
    <w:family w:val="auto"/>
    <w:pitch w:val="default"/>
    <w:sig w:usb0="00000000" w:usb1="00000000" w:usb2="00000000" w:usb3="00000000" w:csb0="0004009F" w:csb1="DFD70000"/>
  </w:font>
  <w:font w:name="隶书">
    <w:altName w:val="微软雅黑"/>
    <w:panose1 w:val="02010509060001010101"/>
    <w:charset w:val="86"/>
    <w:family w:val="modern"/>
    <w:pitch w:val="default"/>
    <w:sig w:usb0="00000000" w:usb1="00000000" w:usb2="00000000" w:usb3="00000000" w:csb0="00040000" w:csb1="00000000"/>
  </w:font>
  <w:font w:name="Tahoma">
    <w:altName w:val="Tahoma"/>
    <w:panose1 w:val="020b0604030005040204"/>
    <w:charset w:val="00"/>
    <w:family w:val="auto"/>
    <w:pitch w:val="default"/>
    <w:sig w:usb0="E1002EFF" w:usb1="C000605B" w:usb2="00000029" w:usb3="00000000" w:csb0="200101FF" w:csb1="2028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71429A6">
    <w:pPr>
      <w:pStyle w:val="style66"/>
      <w:spacing w:lineRule="auto" w:line="14"/>
      <w:rPr>
        <w:sz w:val="20"/>
      </w:rPr>
    </w:pPr>
    <w:r>
      <w:rPr>
        <w:sz w:val="21"/>
      </w:rPr>
      <mc:AlternateContent>
        <mc:Choice Requires="wps">
          <w:drawing>
            <wp:anchor distT="0" distB="0" distL="0" distR="0" simplePos="false" relativeHeight="11"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4" name="文本框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4">
                      <w:txbxContent>
                        <w:p w14:paraId="67BE2BAB">
                          <w:pPr>
                            <w:pStyle w:val="style32"/>
                            <w:rPr/>
                          </w:pPr>
                          <w:r>
                            <w:rPr/>
                            <w:fldChar w:fldCharType="begin"/>
                          </w:r>
                          <w:r>
                            <w:instrText xml:space="preserve"> PAGE  \* MERGEFORMAT </w:instrText>
                          </w:r>
                          <w:r>
                            <w:rPr/>
                            <w:fldChar w:fldCharType="separate"/>
                          </w:r>
                          <w:r>
                            <w:t>- 36 -</w:t>
                          </w:r>
                          <w:r>
                            <w:rPr/>
                            <w:fldChar w:fldCharType="end"/>
                          </w:r>
                        </w:p>
                      </w:txbxContent>
                    </wps:txbx>
                    <wps:bodyPr lIns="0" rIns="0" tIns="0" bIns="0" vert="horz" anchor="t" wrap="none" upright="false">
                      <a:prstTxWarp prst="textNoShape"/>
                      <a:spAutoFit/>
                    </wps:bodyPr>
                  </wps:wsp>
                </a:graphicData>
              </a:graphic>
            </wp:anchor>
          </w:drawing>
        </mc:Choice>
        <mc:Fallback>
          <w:pict>
            <v:rect id="4104" filled="f" stroked="f" style="position:absolute;margin-left:0.0pt;margin-top:0.0pt;width:144.0pt;height:144.0pt;z-index:11;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67BE2BAB">
                    <w:pPr>
                      <w:pStyle w:val="style32"/>
                      <w:rPr/>
                    </w:pPr>
                    <w:r>
                      <w:rPr/>
                      <w:fldChar w:fldCharType="begin"/>
                    </w:r>
                    <w:r>
                      <w:instrText xml:space="preserve"> PAGE  \* MERGEFORMAT </w:instrText>
                    </w:r>
                    <w:r>
                      <w:rPr/>
                      <w:fldChar w:fldCharType="separate"/>
                    </w:r>
                    <w:r>
                      <w:t>- 36 -</w:t>
                    </w:r>
                    <w:r>
                      <w:rPr/>
                      <w:fldChar w:fldCharType="end"/>
                    </w:r>
                  </w:p>
                </w:txbxContent>
              </v:textbox>
            </v:rect>
          </w:pict>
        </mc:Fallback>
      </mc:AlternateContent>
    </w:r>
    <w:r>
      <w:rPr>
        <w:lang w:eastAsia="zh-CN"/>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5" name="文本框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5">
                      <w:txbxContent>
                        <w:p w14:paraId="2BD9E630">
                          <w:pPr>
                            <w:pStyle w:val="style0"/>
                            <w:rPr/>
                          </w:pPr>
                        </w:p>
                      </w:txbxContent>
                    </wps:txbx>
                    <wps:bodyPr lIns="0" rIns="0" tIns="0" bIns="0" wrap="none">
                      <a:prstTxWarp prst="textNoShape"/>
                      <a:spAutoFit/>
                    </wps:bodyPr>
                  </wps:wsp>
                </a:graphicData>
              </a:graphic>
            </wp:anchor>
          </w:drawing>
        </mc:Choice>
        <mc:Fallback>
          <w:pict>
            <v:rect id="4105" filled="f" stroked="f" style="position:absolute;margin-left:0.0pt;margin-top:0.0pt;width:144.0pt;height:144.0pt;z-index:6;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2BD9E630">
                    <w:pPr>
                      <w:pStyle w:val="style0"/>
                      <w:rPr/>
                    </w:pPr>
                  </w:p>
                </w:txbxContent>
              </v:textbox>
            </v:rect>
          </w:pict>
        </mc:Fallback>
      </mc:AlternateContent>
    </w:r>
    <w:r>
      <w:rPr>
        <w:lang w:eastAsia="zh-CN"/>
      </w:rPr>
      <mc:AlternateContent>
        <mc:Choice Requires="wps">
          <w:drawing>
            <wp:anchor distT="0" distB="0" distL="0" distR="0" simplePos="false" relativeHeight="3" behindDoc="true" locked="false" layoutInCell="true" allowOverlap="true">
              <wp:simplePos x="0" y="0"/>
              <wp:positionH relativeFrom="page">
                <wp:posOffset>5647055</wp:posOffset>
              </wp:positionH>
              <wp:positionV relativeFrom="page">
                <wp:posOffset>9914890</wp:posOffset>
              </wp:positionV>
              <wp:extent cx="750570" cy="152400"/>
              <wp:effectExtent l="0" t="0" r="0" b="0"/>
              <wp:wrapNone/>
              <wp:docPr id="4106" name="文本框 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0570" cy="152400"/>
                      </a:xfrm>
                      <a:prstGeom prst="rect"/>
                      <a:ln>
                        <a:noFill/>
                      </a:ln>
                    </wps:spPr>
                    <wps:txbx id="4106">
                      <w:txbxContent>
                        <w:p w14:paraId="02825F82">
                          <w:pPr>
                            <w:pStyle w:val="style0"/>
                            <w:spacing w:before="12"/>
                            <w:ind w:left="20"/>
                            <w:rPr>
                              <w:rFonts w:ascii="Times New Roman"/>
                              <w:sz w:val="18"/>
                            </w:rPr>
                          </w:pPr>
                        </w:p>
                      </w:txbxContent>
                    </wps:txbx>
                    <wps:bodyPr lIns="0" rIns="0" tIns="0" bIns="0" upright="true">
                      <a:prstTxWarp prst="textNoShape"/>
                    </wps:bodyPr>
                  </wps:wsp>
                </a:graphicData>
              </a:graphic>
            </wp:anchor>
          </w:drawing>
        </mc:Choice>
        <mc:Fallback>
          <w:pict>
            <v:rect id="4106" filled="f" stroked="f" style="position:absolute;margin-left:444.65pt;margin-top:780.7pt;width:59.1pt;height:12.0pt;z-index:-2147483644;mso-position-horizontal-relative:page;mso-position-vertical-relative:page;mso-width-relative:page;mso-height-relative:page;mso-wrap-distance-left:0.0pt;mso-wrap-distance-right:0.0pt;visibility:visible;">
              <v:stroke on="f"/>
              <v:fill/>
              <v:textbox inset="0.0pt,0.0pt,0.0pt,0.0pt">
                <w:txbxContent>
                  <w:p w14:paraId="02825F82">
                    <w:pPr>
                      <w:pStyle w:val="style0"/>
                      <w:spacing w:before="12"/>
                      <w:ind w:left="20"/>
                      <w:rPr>
                        <w:rFonts w:ascii="Times New Roman"/>
                        <w:sz w:val="18"/>
                      </w:rPr>
                    </w:pPr>
                  </w:p>
                </w:txbxContent>
              </v:textbox>
            </v:rect>
          </w:pict>
        </mc:Fallback>
      </mc:AlternateConten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E704EB5">
    <w:pPr>
      <w:pStyle w:val="style66"/>
      <w:spacing w:lineRule="auto" w:line="14"/>
      <w:rPr>
        <w:sz w:val="20"/>
      </w:rPr>
    </w:pPr>
    <w:r>
      <w:rPr>
        <w:sz w:val="21"/>
      </w:rPr>
      <mc:AlternateContent>
        <mc:Choice Requires="wps">
          <w:drawing>
            <wp:anchor distT="0" distB="0" distL="0" distR="0" simplePos="false" relativeHeight="1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7" name="文本框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7">
                      <w:txbxContent>
                        <w:p w14:paraId="414F8781">
                          <w:pPr>
                            <w:pStyle w:val="style32"/>
                            <w:rPr/>
                          </w:pPr>
                          <w:r>
                            <w:rPr/>
                            <w:fldChar w:fldCharType="begin"/>
                          </w:r>
                          <w:r>
                            <w:instrText xml:space="preserve"> PAGE  \* MERGEFORMAT </w:instrText>
                          </w:r>
                          <w:r>
                            <w:rPr/>
                            <w:fldChar w:fldCharType="separate"/>
                          </w:r>
                          <w:r>
                            <w:t>- 75 -</w:t>
                          </w:r>
                          <w:r>
                            <w:rPr/>
                            <w:fldChar w:fldCharType="end"/>
                          </w:r>
                        </w:p>
                      </w:txbxContent>
                    </wps:txbx>
                    <wps:bodyPr lIns="0" rIns="0" tIns="0" bIns="0" vert="horz" anchor="t" wrap="none" upright="false">
                      <a:prstTxWarp prst="textNoShape"/>
                      <a:spAutoFit/>
                    </wps:bodyPr>
                  </wps:wsp>
                </a:graphicData>
              </a:graphic>
            </wp:anchor>
          </w:drawing>
        </mc:Choice>
        <mc:Fallback>
          <w:pict>
            <v:rect id="4107" filled="f" stroked="f" style="position:absolute;margin-left:0.0pt;margin-top:0.0pt;width:144.0pt;height:144.0pt;z-index:1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414F8781">
                    <w:pPr>
                      <w:pStyle w:val="style32"/>
                      <w:rPr/>
                    </w:pPr>
                    <w:r>
                      <w:rPr/>
                      <w:fldChar w:fldCharType="begin"/>
                    </w:r>
                    <w:r>
                      <w:instrText xml:space="preserve"> PAGE  \* MERGEFORMAT </w:instrText>
                    </w:r>
                    <w:r>
                      <w:rPr/>
                      <w:fldChar w:fldCharType="separate"/>
                    </w:r>
                    <w:r>
                      <w:t>- 75 -</w:t>
                    </w:r>
                    <w:r>
                      <w:rPr/>
                      <w:fldChar w:fldCharType="end"/>
                    </w:r>
                  </w:p>
                </w:txbxContent>
              </v:textbox>
            </v:rect>
          </w:pict>
        </mc:Fallback>
      </mc:AlternateContent>
    </w:r>
    <w:r>
      <w:rPr>
        <w:lang w:eastAsia="zh-CN"/>
      </w:rPr>
      <mc:AlternateContent>
        <mc:Choice Requires="wps">
          <w:drawing>
            <wp:anchor distT="0" distB="0" distL="0" distR="0" simplePos="false" relativeHeight="4" behindDoc="true" locked="false" layoutInCell="true" allowOverlap="true">
              <wp:simplePos x="0" y="0"/>
              <wp:positionH relativeFrom="page">
                <wp:posOffset>5647055</wp:posOffset>
              </wp:positionH>
              <wp:positionV relativeFrom="page">
                <wp:posOffset>9914890</wp:posOffset>
              </wp:positionV>
              <wp:extent cx="750570" cy="152400"/>
              <wp:effectExtent l="0" t="0" r="0" b="0"/>
              <wp:wrapNone/>
              <wp:docPr id="4108" name="文本框 1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0570" cy="152400"/>
                      </a:xfrm>
                      <a:prstGeom prst="rect"/>
                      <a:ln>
                        <a:noFill/>
                      </a:ln>
                    </wps:spPr>
                    <wps:txbx id="4108">
                      <w:txbxContent>
                        <w:p w14:paraId="115F55B9">
                          <w:pPr>
                            <w:pStyle w:val="style0"/>
                            <w:spacing w:before="12"/>
                            <w:ind w:left="20"/>
                            <w:rPr>
                              <w:rFonts w:ascii="Times New Roman"/>
                              <w:sz w:val="18"/>
                            </w:rPr>
                          </w:pPr>
                        </w:p>
                      </w:txbxContent>
                    </wps:txbx>
                    <wps:bodyPr lIns="0" rIns="0" tIns="0" bIns="0" upright="true">
                      <a:prstTxWarp prst="textNoShape"/>
                    </wps:bodyPr>
                  </wps:wsp>
                </a:graphicData>
              </a:graphic>
            </wp:anchor>
          </w:drawing>
        </mc:Choice>
        <mc:Fallback>
          <w:pict>
            <v:rect id="4108" filled="f" stroked="f" style="position:absolute;margin-left:444.65pt;margin-top:780.7pt;width:59.1pt;height:12.0pt;z-index:-2147483643;mso-position-horizontal-relative:page;mso-position-vertical-relative:page;mso-width-relative:page;mso-height-relative:page;mso-wrap-distance-left:0.0pt;mso-wrap-distance-right:0.0pt;visibility:visible;">
              <v:stroke on="f"/>
              <v:fill/>
              <v:textbox inset="0.0pt,0.0pt,0.0pt,0.0pt">
                <w:txbxContent>
                  <w:p w14:paraId="115F55B9">
                    <w:pPr>
                      <w:pStyle w:val="style0"/>
                      <w:spacing w:before="12"/>
                      <w:ind w:left="20"/>
                      <w:rPr>
                        <w:rFonts w:ascii="Times New Roman"/>
                        <w:sz w:val="18"/>
                      </w:rPr>
                    </w:pPr>
                  </w:p>
                </w:txbxContent>
              </v:textbox>
            </v:rect>
          </w:pict>
        </mc:Fallback>
      </mc:AlternateConten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E46E25A">
    <w:pPr>
      <w:pStyle w:val="style66"/>
      <w:spacing w:lineRule="auto" w:line="14"/>
      <w:rPr>
        <w:sz w:val="20"/>
      </w:rPr>
    </w:pPr>
    <w:r>
      <w:rPr>
        <w:sz w:val="21"/>
      </w:rPr>
      <mc:AlternateContent>
        <mc:Choice Requires="wps">
          <w:drawing>
            <wp:anchor distT="0" distB="0" distL="0" distR="0" simplePos="false" relativeHeight="1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9" name="文本框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9">
                      <w:txbxContent>
                        <w:p w14:paraId="734633F4">
                          <w:pPr>
                            <w:pStyle w:val="style32"/>
                            <w:rPr/>
                          </w:pPr>
                          <w:r>
                            <w:rPr/>
                            <w:fldChar w:fldCharType="begin"/>
                          </w:r>
                          <w:r>
                            <w:instrText xml:space="preserve"> PAGE  \* MERGEFORMAT </w:instrText>
                          </w:r>
                          <w:r>
                            <w:rPr/>
                            <w:fldChar w:fldCharType="separate"/>
                          </w:r>
                          <w:r>
                            <w:t>- 84 -</w:t>
                          </w:r>
                          <w:r>
                            <w:rPr/>
                            <w:fldChar w:fldCharType="end"/>
                          </w:r>
                        </w:p>
                      </w:txbxContent>
                    </wps:txbx>
                    <wps:bodyPr lIns="0" rIns="0" tIns="0" bIns="0" vert="horz" anchor="t" wrap="none" upright="false">
                      <a:prstTxWarp prst="textNoShape"/>
                      <a:spAutoFit/>
                    </wps:bodyPr>
                  </wps:wsp>
                </a:graphicData>
              </a:graphic>
            </wp:anchor>
          </w:drawing>
        </mc:Choice>
        <mc:Fallback>
          <w:pict>
            <v:rect id="4109" filled="f" stroked="f" style="position:absolute;margin-left:0.0pt;margin-top:0.0pt;width:144.0pt;height:144.0pt;z-index:1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734633F4">
                    <w:pPr>
                      <w:pStyle w:val="style32"/>
                      <w:rPr/>
                    </w:pPr>
                    <w:r>
                      <w:rPr/>
                      <w:fldChar w:fldCharType="begin"/>
                    </w:r>
                    <w:r>
                      <w:instrText xml:space="preserve"> PAGE  \* MERGEFORMAT </w:instrText>
                    </w:r>
                    <w:r>
                      <w:rPr/>
                      <w:fldChar w:fldCharType="separate"/>
                    </w:r>
                    <w:r>
                      <w:t>- 84 -</w:t>
                    </w:r>
                    <w:r>
                      <w:rPr/>
                      <w:fldChar w:fldCharType="end"/>
                    </w:r>
                  </w:p>
                </w:txbxContent>
              </v:textbox>
            </v:rect>
          </w:pict>
        </mc:Fallback>
      </mc:AlternateContent>
    </w:r>
    <w:r>
      <w:rPr>
        <w:lang w:eastAsia="zh-CN"/>
      </w:rPr>
      <mc:AlternateContent>
        <mc:Choice Requires="wps">
          <w:drawing>
            <wp:anchor distT="0" distB="0" distL="0" distR="0" simplePos="false" relativeHeight="5" behindDoc="true" locked="false" layoutInCell="true" allowOverlap="true">
              <wp:simplePos x="0" y="0"/>
              <wp:positionH relativeFrom="page">
                <wp:posOffset>5647055</wp:posOffset>
              </wp:positionH>
              <wp:positionV relativeFrom="page">
                <wp:posOffset>9914890</wp:posOffset>
              </wp:positionV>
              <wp:extent cx="750570" cy="152400"/>
              <wp:effectExtent l="0" t="0" r="0" b="0"/>
              <wp:wrapNone/>
              <wp:docPr id="4110" name="文本框 1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0570" cy="152400"/>
                      </a:xfrm>
                      <a:prstGeom prst="rect"/>
                      <a:ln>
                        <a:noFill/>
                      </a:ln>
                    </wps:spPr>
                    <wps:txbx id="4110">
                      <w:txbxContent>
                        <w:p w14:paraId="69E23546">
                          <w:pPr>
                            <w:pStyle w:val="style0"/>
                            <w:spacing w:before="12"/>
                            <w:ind w:left="20"/>
                            <w:rPr>
                              <w:rFonts w:ascii="Times New Roman"/>
                              <w:sz w:val="18"/>
                            </w:rPr>
                          </w:pPr>
                        </w:p>
                      </w:txbxContent>
                    </wps:txbx>
                    <wps:bodyPr lIns="0" rIns="0" tIns="0" bIns="0" upright="true">
                      <a:prstTxWarp prst="textNoShape"/>
                    </wps:bodyPr>
                  </wps:wsp>
                </a:graphicData>
              </a:graphic>
            </wp:anchor>
          </w:drawing>
        </mc:Choice>
        <mc:Fallback>
          <w:pict>
            <v:rect id="4110" filled="f" stroked="f" style="position:absolute;margin-left:444.65pt;margin-top:780.7pt;width:59.1pt;height:12.0pt;z-index:-2147483642;mso-position-horizontal-relative:page;mso-position-vertical-relative:page;mso-width-relative:page;mso-height-relative:page;mso-wrap-distance-left:0.0pt;mso-wrap-distance-right:0.0pt;visibility:visible;">
              <v:stroke on="f"/>
              <v:fill/>
              <v:textbox inset="0.0pt,0.0pt,0.0pt,0.0pt">
                <w:txbxContent>
                  <w:p w14:paraId="69E23546">
                    <w:pPr>
                      <w:pStyle w:val="style0"/>
                      <w:spacing w:before="12"/>
                      <w:ind w:left="20"/>
                      <w:rPr>
                        <w:rFonts w:ascii="Times New Roman"/>
                        <w:sz w:val="18"/>
                      </w:rPr>
                    </w:pP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A8C0859">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1</w:t>
    </w:r>
    <w:r>
      <w:rPr/>
      <w:fldChar w:fldCharType="end"/>
    </w:r>
  </w:p>
  <w:p w14:paraId="5C79B028">
    <w:pPr>
      <w:pStyle w:val="style32"/>
      <w:ind w:right="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8751128">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F88E5BD">
    <w:pPr>
      <w:pStyle w:val="style66"/>
      <w:spacing w:lineRule="auto" w:line="14"/>
      <w:rPr>
        <w:sz w:val="20"/>
      </w:rPr>
    </w:pPr>
    <w:r>
      <w:rPr>
        <w:lang w:eastAsia="zh-CN"/>
      </w:rPr>
      <mc:AlternateContent>
        <mc:Choice Requires="wps">
          <w:drawing>
            <wp:anchor distT="0" distB="0" distL="0" distR="0" simplePos="false" relativeHeight="7" behindDoc="true" locked="false" layoutInCell="true" allowOverlap="true">
              <wp:simplePos x="0" y="0"/>
              <wp:positionH relativeFrom="page">
                <wp:posOffset>1057275</wp:posOffset>
              </wp:positionH>
              <wp:positionV relativeFrom="page">
                <wp:posOffset>9909810</wp:posOffset>
              </wp:positionV>
              <wp:extent cx="1625600" cy="139700"/>
              <wp:effectExtent l="0" t="0" r="0" b="0"/>
              <wp:wrapNone/>
              <wp:docPr id="4097" name="文本框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5600" cy="139700"/>
                      </a:xfrm>
                      <a:prstGeom prst="rect"/>
                      <a:ln>
                        <a:noFill/>
                      </a:ln>
                    </wps:spPr>
                    <wps:txbx id="4097">
                      <w:txbxContent>
                        <w:p w14:paraId="60AED37D">
                          <w:pPr>
                            <w:pStyle w:val="style0"/>
                            <w:rPr/>
                          </w:pPr>
                        </w:p>
                      </w:txbxContent>
                    </wps:txbx>
                    <wps:bodyPr lIns="0" rIns="0" tIns="0" bIns="0" upright="true">
                      <a:prstTxWarp prst="textNoShape"/>
                    </wps:bodyPr>
                  </wps:wsp>
                </a:graphicData>
              </a:graphic>
            </wp:anchor>
          </w:drawing>
        </mc:Choice>
        <mc:Fallback>
          <w:pict>
            <v:rect id="4097" filled="f" stroked="f" style="position:absolute;margin-left:83.25pt;margin-top:780.3pt;width:128.0pt;height:11.0pt;z-index:-2147483640;mso-position-horizontal-relative:page;mso-position-vertical-relative:page;mso-width-relative:page;mso-height-relative:page;mso-wrap-distance-left:0.0pt;mso-wrap-distance-right:0.0pt;visibility:visible;">
              <v:stroke on="f"/>
              <v:fill/>
              <v:textbox inset="0.0pt,0.0pt,0.0pt,0.0pt">
                <w:txbxContent>
                  <w:p w14:paraId="60AED37D">
                    <w:pPr>
                      <w:pStyle w:val="style0"/>
                      <w:rPr/>
                    </w:pPr>
                  </w:p>
                </w:txbxContent>
              </v:textbox>
            </v:rect>
          </w:pict>
        </mc:Fallback>
      </mc:AlternateContent>
    </w:r>
    <w:r>
      <w:rPr>
        <w:lang w:eastAsia="zh-CN"/>
      </w:rPr>
      <mc:AlternateContent>
        <mc:Choice Requires="wps">
          <w:drawing>
            <wp:anchor distT="0" distB="0" distL="0" distR="0" simplePos="false" relativeHeight="9" behindDoc="true" locked="false" layoutInCell="true" allowOverlap="true">
              <wp:simplePos x="0" y="0"/>
              <wp:positionH relativeFrom="page">
                <wp:posOffset>5589270</wp:posOffset>
              </wp:positionH>
              <wp:positionV relativeFrom="page">
                <wp:posOffset>9914890</wp:posOffset>
              </wp:positionV>
              <wp:extent cx="750570" cy="152400"/>
              <wp:effectExtent l="0" t="0" r="0" b="0"/>
              <wp:wrapNone/>
              <wp:docPr id="4098" name="文本框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0570" cy="152400"/>
                      </a:xfrm>
                      <a:prstGeom prst="rect"/>
                      <a:ln>
                        <a:noFill/>
                      </a:ln>
                    </wps:spPr>
                    <wps:txbx id="4098">
                      <w:txbxContent>
                        <w:p w14:paraId="5B9883E6">
                          <w:pPr>
                            <w:pStyle w:val="style0"/>
                            <w:spacing w:before="12"/>
                            <w:ind w:left="20"/>
                            <w:rPr>
                              <w:rFonts w:ascii="Times New Roman"/>
                              <w:sz w:val="18"/>
                            </w:rPr>
                          </w:pPr>
                        </w:p>
                      </w:txbxContent>
                    </wps:txbx>
                    <wps:bodyPr lIns="0" rIns="0" tIns="0" bIns="0" upright="true">
                      <a:prstTxWarp prst="textNoShape"/>
                    </wps:bodyPr>
                  </wps:wsp>
                </a:graphicData>
              </a:graphic>
            </wp:anchor>
          </w:drawing>
        </mc:Choice>
        <mc:Fallback>
          <w:pict>
            <v:rect id="4098" filled="f" stroked="f" style="position:absolute;margin-left:440.1pt;margin-top:780.7pt;width:59.1pt;height:12.0pt;z-index:-2147483638;mso-position-horizontal-relative:page;mso-position-vertical-relative:page;mso-width-relative:page;mso-height-relative:page;mso-wrap-distance-left:0.0pt;mso-wrap-distance-right:0.0pt;visibility:visible;">
              <v:stroke on="f"/>
              <v:fill/>
              <v:textbox inset="0.0pt,0.0pt,0.0pt,0.0pt">
                <w:txbxContent>
                  <w:p w14:paraId="5B9883E6">
                    <w:pPr>
                      <w:pStyle w:val="style0"/>
                      <w:spacing w:before="12"/>
                      <w:ind w:left="20"/>
                      <w:rPr>
                        <w:rFonts w:ascii="Times New Roman"/>
                        <w:sz w:val="18"/>
                      </w:rPr>
                    </w:pP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A4E2EE4">
    <w:pPr>
      <w:pStyle w:val="style66"/>
      <w:spacing w:lineRule="auto" w:line="14"/>
      <w:rPr>
        <w:sz w:val="20"/>
      </w:rPr>
    </w:pPr>
    <w:r>
      <w:rPr>
        <w:sz w:val="21"/>
      </w:rPr>
      <mc:AlternateContent>
        <mc:Choice Requires="wps">
          <w:drawing>
            <wp:anchor distT="0" distB="0" distL="0" distR="0" simplePos="false" relativeHeight="8"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3591435F">
                          <w:pPr>
                            <w:pStyle w:val="style32"/>
                            <w:rPr/>
                          </w:pPr>
                          <w:r>
                            <w:rPr/>
                            <w:fldChar w:fldCharType="begin"/>
                          </w:r>
                          <w:r>
                            <w:instrText xml:space="preserve"> PAGE  \* MERGEFORMAT </w:instrText>
                          </w:r>
                          <w:r>
                            <w:rPr/>
                            <w:fldChar w:fldCharType="separate"/>
                          </w:r>
                          <w:r>
                            <w:t>- 1 -</w:t>
                          </w:r>
                          <w:r>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8;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3591435F">
                    <w:pPr>
                      <w:pStyle w:val="style32"/>
                      <w:rPr/>
                    </w:pPr>
                    <w:r>
                      <w:rPr/>
                      <w:fldChar w:fldCharType="begin"/>
                    </w:r>
                    <w:r>
                      <w:instrText xml:space="preserve"> PAGE  \* MERGEFORMAT </w:instrText>
                    </w:r>
                    <w:r>
                      <w:rPr/>
                      <w:fldChar w:fldCharType="separate"/>
                    </w:r>
                    <w:r>
                      <w:t>- 1 -</w:t>
                    </w:r>
                    <w:r>
                      <w:rPr/>
                      <w:fldChar w:fldCharType="end"/>
                    </w:r>
                  </w:p>
                </w:txbxContent>
              </v:textbox>
            </v:rect>
          </w:pict>
        </mc:Fallback>
      </mc:AlternateContent>
    </w:r>
    <w:r>
      <w:rPr>
        <w:lang w:eastAsia="zh-CN"/>
      </w:rPr>
      <mc:AlternateContent>
        <mc:Choice Requires="wps">
          <w:drawing>
            <wp:anchor distT="0" distB="0" distL="0" distR="0" simplePos="false" relativeHeight="13" behindDoc="true" locked="false" layoutInCell="true" allowOverlap="true">
              <wp:simplePos x="0" y="0"/>
              <wp:positionH relativeFrom="page">
                <wp:posOffset>1057275</wp:posOffset>
              </wp:positionH>
              <wp:positionV relativeFrom="page">
                <wp:posOffset>9909810</wp:posOffset>
              </wp:positionV>
              <wp:extent cx="1625600" cy="139700"/>
              <wp:effectExtent l="0" t="0" r="0" b="0"/>
              <wp:wrapNone/>
              <wp:docPr id="4100" name="文本框 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25600" cy="139700"/>
                      </a:xfrm>
                      <a:prstGeom prst="rect"/>
                      <a:ln>
                        <a:noFill/>
                      </a:ln>
                    </wps:spPr>
                    <wps:txbx id="4100">
                      <w:txbxContent>
                        <w:p w14:paraId="6B788A16">
                          <w:pPr>
                            <w:pStyle w:val="style0"/>
                            <w:rPr/>
                          </w:pPr>
                        </w:p>
                      </w:txbxContent>
                    </wps:txbx>
                    <wps:bodyPr lIns="0" rIns="0" tIns="0" bIns="0" upright="true">
                      <a:prstTxWarp prst="textNoShape"/>
                    </wps:bodyPr>
                  </wps:wsp>
                </a:graphicData>
              </a:graphic>
            </wp:anchor>
          </w:drawing>
        </mc:Choice>
        <mc:Fallback>
          <w:pict>
            <v:rect id="4100" filled="f" stroked="f" style="position:absolute;margin-left:83.25pt;margin-top:780.3pt;width:128.0pt;height:11.0pt;z-index:-2147483634;mso-position-horizontal-relative:page;mso-position-vertical-relative:page;mso-width-relative:page;mso-height-relative:page;mso-wrap-distance-left:0.0pt;mso-wrap-distance-right:0.0pt;visibility:visible;">
              <v:stroke on="f"/>
              <v:fill/>
              <v:textbox inset="0.0pt,0.0pt,0.0pt,0.0pt">
                <w:txbxContent>
                  <w:p w14:paraId="6B788A16">
                    <w:pPr>
                      <w:pStyle w:val="style0"/>
                      <w:rPr/>
                    </w:pPr>
                  </w:p>
                </w:txbxContent>
              </v:textbox>
            </v:rect>
          </w:pict>
        </mc:Fallback>
      </mc:AlternateContent>
    </w:r>
    <w:r>
      <w:rPr>
        <w:lang w:eastAsia="zh-CN"/>
      </w:rPr>
      <mc:AlternateContent>
        <mc:Choice Requires="wps">
          <w:drawing>
            <wp:anchor distT="0" distB="0" distL="0" distR="0" simplePos="false" relativeHeight="15" behindDoc="true" locked="false" layoutInCell="true" allowOverlap="true">
              <wp:simplePos x="0" y="0"/>
              <wp:positionH relativeFrom="page">
                <wp:posOffset>5589270</wp:posOffset>
              </wp:positionH>
              <wp:positionV relativeFrom="page">
                <wp:posOffset>9914890</wp:posOffset>
              </wp:positionV>
              <wp:extent cx="750570" cy="152400"/>
              <wp:effectExtent l="0" t="0" r="0" b="0"/>
              <wp:wrapNone/>
              <wp:docPr id="4101" name="文本框 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0570" cy="152400"/>
                      </a:xfrm>
                      <a:prstGeom prst="rect"/>
                      <a:ln>
                        <a:noFill/>
                      </a:ln>
                    </wps:spPr>
                    <wps:txbx id="4101">
                      <w:txbxContent>
                        <w:p w14:paraId="1DA6AE38">
                          <w:pPr>
                            <w:pStyle w:val="style0"/>
                            <w:spacing w:before="12"/>
                            <w:ind w:left="20"/>
                            <w:rPr>
                              <w:rFonts w:ascii="Times New Roman"/>
                              <w:sz w:val="18"/>
                            </w:rPr>
                          </w:pPr>
                        </w:p>
                      </w:txbxContent>
                    </wps:txbx>
                    <wps:bodyPr lIns="0" rIns="0" tIns="0" bIns="0" upright="true">
                      <a:prstTxWarp prst="textNoShape"/>
                    </wps:bodyPr>
                  </wps:wsp>
                </a:graphicData>
              </a:graphic>
            </wp:anchor>
          </w:drawing>
        </mc:Choice>
        <mc:Fallback>
          <w:pict>
            <v:rect id="4101" filled="f" stroked="f" style="position:absolute;margin-left:440.1pt;margin-top:780.7pt;width:59.1pt;height:12.0pt;z-index:-2147483632;mso-position-horizontal-relative:page;mso-position-vertical-relative:page;mso-width-relative:page;mso-height-relative:page;mso-wrap-distance-left:0.0pt;mso-wrap-distance-right:0.0pt;visibility:visible;">
              <v:stroke on="f"/>
              <v:fill/>
              <v:textbox inset="0.0pt,0.0pt,0.0pt,0.0pt">
                <w:txbxContent>
                  <w:p w14:paraId="1DA6AE38">
                    <w:pPr>
                      <w:pStyle w:val="style0"/>
                      <w:spacing w:before="12"/>
                      <w:ind w:left="20"/>
                      <w:rPr>
                        <w:rFonts w:ascii="Times New Roman"/>
                        <w:sz w:val="18"/>
                      </w:rPr>
                    </w:pP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CC238CA">
    <w:pPr>
      <w:pStyle w:val="style66"/>
      <w:spacing w:lineRule="auto" w:line="14"/>
      <w:rPr>
        <w:sz w:val="20"/>
      </w:rPr>
    </w:pPr>
    <w:r>
      <w:rPr>
        <w:sz w:val="21"/>
      </w:rPr>
      <mc:AlternateContent>
        <mc:Choice Requires="wps">
          <w:drawing>
            <wp:anchor distT="0" distB="0" distL="0" distR="0" simplePos="false" relativeHeight="10"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2" name="文本框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2">
                      <w:txbxContent>
                        <w:p w14:paraId="442FE00C">
                          <w:pPr>
                            <w:pStyle w:val="style32"/>
                            <w:rPr/>
                          </w:pPr>
                          <w:r>
                            <w:rPr/>
                            <w:fldChar w:fldCharType="begin"/>
                          </w:r>
                          <w:r>
                            <w:instrText xml:space="preserve"> PAGE  \* MERGEFORMAT </w:instrText>
                          </w:r>
                          <w:r>
                            <w:rPr/>
                            <w:fldChar w:fldCharType="separate"/>
                          </w:r>
                          <w:r>
                            <w:t>- 11 -</w:t>
                          </w:r>
                          <w:r>
                            <w:rPr/>
                            <w:fldChar w:fldCharType="end"/>
                          </w:r>
                        </w:p>
                      </w:txbxContent>
                    </wps:txbx>
                    <wps:bodyPr lIns="0" rIns="0" tIns="0" bIns="0" vert="horz" anchor="t" wrap="none" upright="false">
                      <a:prstTxWarp prst="textNoShape"/>
                      <a:spAutoFit/>
                    </wps:bodyPr>
                  </wps:wsp>
                </a:graphicData>
              </a:graphic>
            </wp:anchor>
          </w:drawing>
        </mc:Choice>
        <mc:Fallback>
          <w:pict>
            <v:rect id="4102" filled="f" stroked="f" style="position:absolute;margin-left:0.0pt;margin-top:0.0pt;width:144.0pt;height:144.0pt;z-index:10;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442FE00C">
                    <w:pPr>
                      <w:pStyle w:val="style32"/>
                      <w:rPr/>
                    </w:pPr>
                    <w:r>
                      <w:rPr/>
                      <w:fldChar w:fldCharType="begin"/>
                    </w:r>
                    <w:r>
                      <w:instrText xml:space="preserve"> PAGE  \* MERGEFORMAT </w:instrText>
                    </w:r>
                    <w:r>
                      <w:rPr/>
                      <w:fldChar w:fldCharType="separate"/>
                    </w:r>
                    <w:r>
                      <w:t>- 11 -</w:t>
                    </w:r>
                    <w:r>
                      <w:rPr/>
                      <w:fldChar w:fldCharType="end"/>
                    </w:r>
                  </w:p>
                </w:txbxContent>
              </v:textbox>
            </v:rect>
          </w:pict>
        </mc:Fallback>
      </mc:AlternateContent>
    </w:r>
    <w:r>
      <w:rPr>
        <w:lang w:eastAsia="zh-CN"/>
      </w:rPr>
      <mc:AlternateContent>
        <mc:Choice Requires="wps">
          <w:drawing>
            <wp:anchor distT="0" distB="0" distL="0" distR="0" simplePos="false" relativeHeight="2" behindDoc="true" locked="false" layoutInCell="true" allowOverlap="true">
              <wp:simplePos x="0" y="0"/>
              <wp:positionH relativeFrom="page">
                <wp:posOffset>5589270</wp:posOffset>
              </wp:positionH>
              <wp:positionV relativeFrom="page">
                <wp:posOffset>9914890</wp:posOffset>
              </wp:positionV>
              <wp:extent cx="750570" cy="152400"/>
              <wp:effectExtent l="0" t="0" r="0" b="0"/>
              <wp:wrapNone/>
              <wp:docPr id="4103" name="文本框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0570" cy="152400"/>
                      </a:xfrm>
                      <a:prstGeom prst="rect"/>
                      <a:ln>
                        <a:noFill/>
                      </a:ln>
                    </wps:spPr>
                    <wps:txbx id="4103">
                      <w:txbxContent>
                        <w:p w14:paraId="09011972">
                          <w:pPr>
                            <w:pStyle w:val="style0"/>
                            <w:spacing w:before="12"/>
                            <w:ind w:left="20"/>
                            <w:rPr>
                              <w:rFonts w:ascii="Times New Roman"/>
                              <w:sz w:val="18"/>
                            </w:rPr>
                          </w:pPr>
                        </w:p>
                      </w:txbxContent>
                    </wps:txbx>
                    <wps:bodyPr lIns="0" rIns="0" tIns="0" bIns="0" upright="true">
                      <a:prstTxWarp prst="textNoShape"/>
                    </wps:bodyPr>
                  </wps:wsp>
                </a:graphicData>
              </a:graphic>
            </wp:anchor>
          </w:drawing>
        </mc:Choice>
        <mc:Fallback>
          <w:pict>
            <v:rect id="4103" filled="f" stroked="f" style="position:absolute;margin-left:440.1pt;margin-top:780.7pt;width:59.1pt;height:12.0pt;z-index:-2147483645;mso-position-horizontal-relative:page;mso-position-vertical-relative:page;mso-width-relative:page;mso-height-relative:page;mso-wrap-distance-left:0.0pt;mso-wrap-distance-right:0.0pt;visibility:visible;">
              <v:stroke on="f"/>
              <v:fill/>
              <v:textbox inset="0.0pt,0.0pt,0.0pt,0.0pt">
                <w:txbxContent>
                  <w:p w14:paraId="09011972">
                    <w:pPr>
                      <w:pStyle w:val="style0"/>
                      <w:spacing w:before="12"/>
                      <w:ind w:left="20"/>
                      <w:rPr>
                        <w:rFonts w:ascii="Times New Roman"/>
                        <w:sz w:val="18"/>
                      </w:rPr>
                    </w:pP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C046972">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807A020">
    <w:pPr>
      <w:pStyle w:val="style31"/>
      <w:pBdr>
        <w:bottom w:val="single" w:sz="4" w:space="1" w:color="auto"/>
      </w:pBdr>
      <w:rPr>
        <w:rFonts w:eastAsia="隶书"/>
        <w:lang w:eastAsia="zh-CN"/>
      </w:rPr>
    </w:pPr>
    <w:r>
      <w:rPr>
        <w:rFonts w:hint="eastAsia"/>
        <w:b/>
        <w:bCs/>
        <w:sz w:val="21"/>
        <w:szCs w:val="21"/>
        <w:lang w:eastAsia="zh-CN"/>
      </w:rPr>
      <w:t>河南交通职业技术学院会堂功能完善及改造项目          竞争性磋商文件</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D5A5094">
    <w:pPr>
      <w:pStyle w:val="style66"/>
      <w:pBdr>
        <w:bottom w:val="none" w:sz="0" w:space="0" w:color="auto"/>
      </w:pBdr>
      <w:spacing w:lineRule="auto" w:line="14"/>
      <w:rPr>
        <w:sz w:val="20"/>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024603D">
    <w:pPr>
      <w:pStyle w:val="style66"/>
      <w:spacing w:lineRule="auto" w:line="14"/>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A128B6E"/>
    <w:lvl w:ilvl="0">
      <w:start w:val="3"/>
      <w:numFmt w:val="decimal"/>
      <w:suff w:val="nothing"/>
      <w:lvlText w:val="（%1）"/>
      <w:lvlJc w:val="left"/>
      <w:pPr/>
    </w:lvl>
  </w:abstractNum>
  <w:abstractNum w:abstractNumId="1">
    <w:nsid w:val="00000001"/>
    <w:multiLevelType w:val="singleLevel"/>
    <w:tmpl w:val="6E4D68EA"/>
    <w:lvl w:ilvl="0">
      <w:start w:val="7"/>
      <w:numFmt w:val="decimal"/>
      <w:suff w:val="nothing"/>
      <w:lvlText w:val="（%1）"/>
      <w:lvlJc w:val="left"/>
      <w:pPr/>
    </w:lvl>
  </w:abstractNum>
  <w:abstractNum w:abstractNumId="2">
    <w:nsid w:val="00000002"/>
    <w:multiLevelType w:val="multilevel"/>
    <w:tmpl w:val="7F3323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1"/>
  <w:displayVerticalDrawingGridEvery w:val="1"/>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1"/>
    <w:pPr>
      <w:widowControl w:val="false"/>
      <w:autoSpaceDE w:val="false"/>
      <w:autoSpaceDN w:val="false"/>
    </w:pPr>
    <w:rPr>
      <w:rFonts w:ascii="宋体" w:cs="宋体" w:eastAsia="宋体" w:hAnsi="宋体"/>
      <w:sz w:val="22"/>
      <w:szCs w:val="22"/>
      <w:lang w:val="en-US" w:bidi="ar-SA" w:eastAsia="en-US"/>
    </w:rPr>
  </w:style>
  <w:style w:type="paragraph" w:styleId="style1">
    <w:name w:val="heading 1"/>
    <w:basedOn w:val="style0"/>
    <w:next w:val="style0"/>
    <w:qFormat/>
    <w:uiPriority w:val="1"/>
    <w:pPr>
      <w:spacing w:before="38"/>
      <w:ind w:left="1"/>
      <w:jc w:val="center"/>
      <w:outlineLvl w:val="0"/>
    </w:pPr>
    <w:rPr>
      <w:b/>
      <w:bCs/>
      <w:sz w:val="44"/>
      <w:szCs w:val="44"/>
    </w:rPr>
  </w:style>
  <w:style w:type="paragraph" w:styleId="style2">
    <w:name w:val="heading 2"/>
    <w:basedOn w:val="style0"/>
    <w:next w:val="style0"/>
    <w:link w:val="style4146"/>
    <w:qFormat/>
    <w:uiPriority w:val="1"/>
    <w:pPr>
      <w:spacing w:before="1"/>
      <w:ind w:left="3" w:right="1"/>
      <w:jc w:val="center"/>
      <w:outlineLvl w:val="1"/>
    </w:pPr>
    <w:rPr>
      <w:sz w:val="28"/>
      <w:szCs w:val="28"/>
    </w:rPr>
  </w:style>
  <w:style w:type="paragraph" w:styleId="style3">
    <w:name w:val="heading 3"/>
    <w:basedOn w:val="style0"/>
    <w:next w:val="style0"/>
    <w:link w:val="style4147"/>
    <w:qFormat/>
    <w:uiPriority w:val="1"/>
    <w:pPr>
      <w:spacing w:before="66"/>
      <w:ind w:left="6"/>
      <w:jc w:val="center"/>
      <w:outlineLvl w:val="2"/>
    </w:pPr>
    <w:rPr>
      <w:b/>
      <w:bCs/>
      <w:sz w:val="24"/>
      <w:szCs w:val="24"/>
    </w:rPr>
  </w:style>
  <w:style w:type="paragraph" w:styleId="style4">
    <w:name w:val="heading 4"/>
    <w:basedOn w:val="style0"/>
    <w:next w:val="style0"/>
    <w:qFormat/>
    <w:uiPriority w:val="1"/>
    <w:pPr>
      <w:spacing w:before="145"/>
      <w:ind w:left="582"/>
      <w:outlineLvl w:val="3"/>
    </w:pPr>
    <w:rPr>
      <w:sz w:val="24"/>
      <w:szCs w:val="24"/>
    </w:rPr>
  </w:style>
  <w:style w:type="paragraph" w:styleId="style5">
    <w:name w:val="heading 5"/>
    <w:basedOn w:val="style0"/>
    <w:next w:val="style0"/>
    <w:qFormat/>
    <w:uiPriority w:val="1"/>
    <w:pPr>
      <w:ind w:left="1184" w:hanging="422"/>
      <w:outlineLvl w:val="4"/>
    </w:pPr>
    <w:rPr>
      <w:b/>
      <w:bCs/>
      <w:sz w:val="21"/>
      <w:szCs w:val="21"/>
    </w:rPr>
  </w:style>
  <w:style w:type="paragraph" w:styleId="style6">
    <w:name w:val="heading 6"/>
    <w:basedOn w:val="style0"/>
    <w:next w:val="style0"/>
    <w:qFormat/>
    <w:uiPriority w:val="1"/>
    <w:pPr>
      <w:spacing w:before="42"/>
      <w:outlineLvl w:val="5"/>
    </w:pPr>
    <w:rPr>
      <w:b/>
      <w:bCs/>
      <w:sz w:val="24"/>
      <w:szCs w:val="24"/>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8">
    <w:name w:val="Normal Indent"/>
    <w:basedOn w:val="style0"/>
    <w:next w:val="style28"/>
    <w:qFormat/>
    <w:uiPriority w:val="0"/>
    <w:pPr>
      <w:ind w:firstLine="420" w:firstLineChars="200"/>
    </w:pPr>
    <w:rPr/>
  </w:style>
  <w:style w:type="paragraph" w:styleId="style30">
    <w:name w:val="annotation text"/>
    <w:basedOn w:val="style0"/>
    <w:next w:val="style30"/>
    <w:link w:val="style4115"/>
    <w:qFormat/>
    <w:uiPriority w:val="0"/>
    <w:pPr/>
  </w:style>
  <w:style w:type="paragraph" w:styleId="style66">
    <w:name w:val="Body Text"/>
    <w:basedOn w:val="style0"/>
    <w:next w:val="style0"/>
    <w:qFormat/>
    <w:uiPriority w:val="1"/>
    <w:pPr/>
    <w:rPr>
      <w:sz w:val="21"/>
      <w:szCs w:val="21"/>
    </w:rPr>
  </w:style>
  <w:style w:type="paragraph" w:styleId="style67">
    <w:name w:val="Body Text Indent"/>
    <w:basedOn w:val="style0"/>
    <w:next w:val="style67"/>
    <w:qFormat/>
    <w:uiPriority w:val="0"/>
    <w:pPr>
      <w:spacing w:after="120"/>
      <w:ind w:left="420" w:leftChars="200"/>
    </w:pPr>
    <w:rPr/>
  </w:style>
  <w:style w:type="paragraph" w:styleId="style21">
    <w:name w:val="toc 3"/>
    <w:basedOn w:val="style0"/>
    <w:next w:val="style0"/>
    <w:qFormat/>
    <w:uiPriority w:val="0"/>
    <w:pPr>
      <w:ind w:left="840" w:leftChars="400"/>
    </w:pPr>
    <w:rPr/>
  </w:style>
  <w:style w:type="paragraph" w:styleId="style90">
    <w:name w:val="Plain Text"/>
    <w:basedOn w:val="style0"/>
    <w:next w:val="style90"/>
    <w:qFormat/>
    <w:uiPriority w:val="0"/>
    <w:pPr/>
    <w:rPr>
      <w:rFonts w:cs="Courier New" w:hAnsi="Courier New"/>
      <w:szCs w:val="21"/>
    </w:rPr>
  </w:style>
  <w:style w:type="paragraph" w:styleId="style76">
    <w:name w:val="Date"/>
    <w:basedOn w:val="style0"/>
    <w:next w:val="style0"/>
    <w:qFormat/>
    <w:uiPriority w:val="0"/>
    <w:pPr>
      <w:ind w:left="100" w:leftChars="2500"/>
    </w:pPr>
    <w:rPr/>
  </w:style>
  <w:style w:type="paragraph" w:styleId="style82">
    <w:name w:val="Body Text Indent 2"/>
    <w:basedOn w:val="style0"/>
    <w:next w:val="style82"/>
    <w:qFormat/>
    <w:uiPriority w:val="99"/>
    <w:pPr>
      <w:spacing w:after="120" w:lineRule="auto" w:line="480"/>
      <w:ind w:left="420" w:leftChars="200"/>
    </w:pPr>
    <w:rPr/>
  </w:style>
  <w:style w:type="paragraph" w:styleId="style153">
    <w:name w:val="Balloon Text"/>
    <w:basedOn w:val="style0"/>
    <w:next w:val="style153"/>
    <w:link w:val="style4121"/>
    <w:qFormat/>
    <w:uiPriority w:val="0"/>
    <w:pPr/>
    <w:rPr>
      <w:sz w:val="18"/>
      <w:szCs w:val="18"/>
    </w:rPr>
  </w:style>
  <w:style w:type="paragraph" w:styleId="style32">
    <w:name w:val="footer"/>
    <w:basedOn w:val="style0"/>
    <w:next w:val="style32"/>
    <w:qFormat/>
    <w:uiPriority w:val="0"/>
    <w:pPr>
      <w:tabs>
        <w:tab w:val="center" w:leader="none" w:pos="4153"/>
        <w:tab w:val="right" w:leader="none" w:pos="8306"/>
      </w:tabs>
      <w:snapToGrid w:val="false"/>
    </w:pPr>
    <w:rPr>
      <w:sz w:val="18"/>
    </w:rPr>
  </w:style>
  <w:style w:type="paragraph" w:styleId="style37">
    <w:name w:val="envelope return"/>
    <w:basedOn w:val="style0"/>
    <w:next w:val="style37"/>
    <w:qFormat/>
    <w:uiPriority w:val="0"/>
    <w:pPr>
      <w:snapToGrid w:val="false"/>
    </w:pPr>
    <w:rPr>
      <w:rFonts w:ascii="Arial" w:hAnsi="Arial"/>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jc w:val="both"/>
    </w:pPr>
    <w:rPr>
      <w:sz w:val="18"/>
    </w:rPr>
  </w:style>
  <w:style w:type="paragraph" w:styleId="style19">
    <w:name w:val="toc 1"/>
    <w:basedOn w:val="style0"/>
    <w:next w:val="style0"/>
    <w:qFormat/>
    <w:uiPriority w:val="1"/>
    <w:pPr>
      <w:spacing w:before="438"/>
      <w:ind w:left="342"/>
    </w:pPr>
    <w:rPr>
      <w:sz w:val="28"/>
      <w:szCs w:val="28"/>
    </w:rPr>
  </w:style>
  <w:style w:type="paragraph" w:styleId="style29">
    <w:name w:val="footnote text"/>
    <w:basedOn w:val="style0"/>
    <w:next w:val="style29"/>
    <w:qFormat/>
    <w:uiPriority w:val="0"/>
    <w:pPr>
      <w:snapToGrid w:val="false"/>
    </w:pPr>
    <w:rPr>
      <w:rFonts w:ascii="Times New Roman" w:cs="Times New Roman" w:hAnsi="Times New Roman"/>
      <w:sz w:val="18"/>
    </w:rPr>
  </w:style>
  <w:style w:type="paragraph" w:styleId="style35">
    <w:name w:val="table of figures"/>
    <w:basedOn w:val="style0"/>
    <w:next w:val="style0"/>
    <w:qFormat/>
    <w:uiPriority w:val="0"/>
    <w:pPr>
      <w:ind w:left="200" w:leftChars="200" w:hanging="200" w:hangingChars="200"/>
    </w:pPr>
    <w:rPr/>
  </w:style>
  <w:style w:type="paragraph" w:styleId="style20">
    <w:name w:val="toc 2"/>
    <w:basedOn w:val="style0"/>
    <w:next w:val="style0"/>
    <w:qFormat/>
    <w:uiPriority w:val="0"/>
    <w:pPr>
      <w:ind w:left="420" w:leftChars="200"/>
    </w:pPr>
    <w:rPr/>
  </w:style>
  <w:style w:type="paragraph" w:styleId="style80">
    <w:name w:val="Body Text 2"/>
    <w:basedOn w:val="style0"/>
    <w:next w:val="style66"/>
    <w:qFormat/>
    <w:uiPriority w:val="0"/>
    <w:pPr/>
    <w:rPr>
      <w:rFonts w:ascii="Times New Roman" w:cs="Times New Roman" w:eastAsia="楷体_GB2312" w:hAnsi="Times New Roman"/>
      <w:sz w:val="32"/>
    </w:rPr>
  </w:style>
  <w:style w:type="paragraph" w:styleId="style73">
    <w:name w:val="Message Header"/>
    <w:basedOn w:val="style0"/>
    <w:next w:val="style73"/>
    <w:qFormat/>
    <w:uiPriority w:val="99"/>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Cambria" w:cs="宋体" w:eastAsia="宋体" w:hAnsi="Cambria"/>
      <w:sz w:val="24"/>
    </w:rPr>
  </w:style>
  <w:style w:type="paragraph" w:styleId="style94">
    <w:name w:val="Normal (Web)"/>
    <w:basedOn w:val="style0"/>
    <w:next w:val="style94"/>
    <w:qFormat/>
    <w:uiPriority w:val="0"/>
    <w:pPr>
      <w:spacing w:before="100" w:beforeAutospacing="true" w:after="100" w:afterAutospacing="true"/>
    </w:pPr>
    <w:rPr>
      <w:sz w:val="24"/>
    </w:rPr>
  </w:style>
  <w:style w:type="paragraph" w:styleId="style62">
    <w:name w:val="Title"/>
    <w:basedOn w:val="style0"/>
    <w:next w:val="style62"/>
    <w:qFormat/>
    <w:uiPriority w:val="0"/>
    <w:pPr>
      <w:spacing w:before="240" w:beforeAutospacing="false" w:after="60" w:afterAutospacing="false"/>
      <w:jc w:val="center"/>
      <w:outlineLvl w:val="0"/>
    </w:pPr>
    <w:rPr>
      <w:rFonts w:ascii="Arial" w:hAnsi="Arial"/>
      <w:b/>
      <w:sz w:val="32"/>
    </w:rPr>
  </w:style>
  <w:style w:type="paragraph" w:styleId="style106">
    <w:name w:val="annotation subject"/>
    <w:basedOn w:val="style30"/>
    <w:next w:val="style30"/>
    <w:link w:val="style4116"/>
    <w:qFormat/>
    <w:uiPriority w:val="0"/>
    <w:pPr/>
    <w:rPr>
      <w:b/>
      <w:bCs/>
    </w:rPr>
  </w:style>
  <w:style w:type="paragraph" w:styleId="style77">
    <w:name w:val="Body Text First Indent"/>
    <w:basedOn w:val="style66"/>
    <w:next w:val="style77"/>
    <w:qFormat/>
    <w:uiPriority w:val="0"/>
    <w:pPr>
      <w:ind w:firstLine="420"/>
    </w:pPr>
    <w:rPr>
      <w:rFonts w:eastAsia="楷体_GB2312"/>
      <w:sz w:val="32"/>
    </w:rPr>
  </w:style>
  <w:style w:type="paragraph" w:styleId="style78">
    <w:name w:val="Body Text First Indent 2"/>
    <w:basedOn w:val="style67"/>
    <w:next w:val="style78"/>
    <w:qFormat/>
    <w:uiPriority w:val="0"/>
    <w:pPr>
      <w:suppressAutoHyphens/>
      <w:ind w:firstLine="420" w:firstLineChars="200"/>
    </w:pPr>
    <w:rPr>
      <w:rFonts w:ascii="Arial" w:hAnsi="Arial"/>
      <w:kern w:val="3"/>
      <w:sz w:val="24"/>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7">
    <w:name w:val="Strong"/>
    <w:basedOn w:val="style65"/>
    <w:next w:val="style87"/>
    <w:qFormat/>
    <w:uiPriority w:val="0"/>
    <w:rPr>
      <w:b/>
      <w:bCs/>
    </w:rPr>
  </w:style>
  <w:style w:type="character" w:styleId="style41">
    <w:name w:val="page number"/>
    <w:basedOn w:val="style65"/>
    <w:next w:val="style41"/>
    <w:qFormat/>
    <w:uiPriority w:val="0"/>
  </w:style>
  <w:style w:type="character" w:styleId="style86">
    <w:name w:val="FollowedHyperlink"/>
    <w:basedOn w:val="style65"/>
    <w:next w:val="style86"/>
    <w:qFormat/>
    <w:uiPriority w:val="0"/>
    <w:rPr>
      <w:color w:val="333333"/>
      <w:u w:val="none"/>
    </w:rPr>
  </w:style>
  <w:style w:type="character" w:styleId="style88">
    <w:name w:val="Emphasis"/>
    <w:basedOn w:val="style65"/>
    <w:next w:val="style88"/>
    <w:qFormat/>
    <w:uiPriority w:val="0"/>
    <w:rPr>
      <w:b/>
      <w:bCs/>
    </w:rPr>
  </w:style>
  <w:style w:type="character" w:styleId="style99">
    <w:name w:val="HTML Definition"/>
    <w:basedOn w:val="style65"/>
    <w:next w:val="style99"/>
    <w:qFormat/>
    <w:uiPriority w:val="0"/>
  </w:style>
  <w:style w:type="character" w:styleId="style103">
    <w:name w:val="HTML Typewriter"/>
    <w:basedOn w:val="style65"/>
    <w:next w:val="style103"/>
    <w:qFormat/>
    <w:uiPriority w:val="0"/>
    <w:rPr>
      <w:rFonts w:ascii="monospace" w:cs="monospace" w:eastAsia="monospace" w:hAnsi="monospace"/>
      <w:sz w:val="20"/>
    </w:rPr>
  </w:style>
  <w:style w:type="character" w:styleId="style95">
    <w:name w:val="HTML Acronym"/>
    <w:basedOn w:val="style65"/>
    <w:next w:val="style95"/>
    <w:qFormat/>
    <w:uiPriority w:val="0"/>
  </w:style>
  <w:style w:type="character" w:styleId="style104">
    <w:name w:val="HTML Variable"/>
    <w:basedOn w:val="style65"/>
    <w:next w:val="style104"/>
    <w:qFormat/>
    <w:uiPriority w:val="0"/>
  </w:style>
  <w:style w:type="character" w:styleId="style85">
    <w:name w:val="Hyperlink"/>
    <w:basedOn w:val="style65"/>
    <w:next w:val="style85"/>
    <w:qFormat/>
    <w:uiPriority w:val="0"/>
    <w:rPr>
      <w:color w:val="333333"/>
      <w:u w:val="none"/>
    </w:rPr>
  </w:style>
  <w:style w:type="character" w:styleId="style98">
    <w:name w:val="HTML Code"/>
    <w:basedOn w:val="style65"/>
    <w:next w:val="style98"/>
    <w:qFormat/>
    <w:uiPriority w:val="0"/>
    <w:rPr>
      <w:rFonts w:ascii="monospace" w:cs="monospace" w:eastAsia="monospace" w:hAnsi="monospace" w:hint="default"/>
      <w:sz w:val="20"/>
    </w:rPr>
  </w:style>
  <w:style w:type="character" w:styleId="style39">
    <w:name w:val="annotation reference"/>
    <w:next w:val="style39"/>
    <w:qFormat/>
    <w:uiPriority w:val="0"/>
    <w:rPr>
      <w:sz w:val="21"/>
      <w:szCs w:val="21"/>
    </w:rPr>
  </w:style>
  <w:style w:type="character" w:styleId="style97">
    <w:name w:val="HTML Cite"/>
    <w:basedOn w:val="style65"/>
    <w:next w:val="style97"/>
    <w:qFormat/>
    <w:uiPriority w:val="0"/>
  </w:style>
  <w:style w:type="character" w:styleId="style100">
    <w:name w:val="HTML Keyboard"/>
    <w:basedOn w:val="style65"/>
    <w:next w:val="style100"/>
    <w:qFormat/>
    <w:uiPriority w:val="0"/>
    <w:rPr>
      <w:rFonts w:ascii="monospace" w:cs="monospace" w:eastAsia="monospace" w:hAnsi="monospace" w:hint="default"/>
      <w:sz w:val="20"/>
    </w:rPr>
  </w:style>
  <w:style w:type="character" w:styleId="style102">
    <w:name w:val="HTML Sample"/>
    <w:basedOn w:val="style65"/>
    <w:next w:val="style102"/>
    <w:qFormat/>
    <w:uiPriority w:val="0"/>
    <w:rPr>
      <w:rFonts w:ascii="monospace" w:cs="monospace" w:eastAsia="monospace" w:hAnsi="monospace" w:hint="default"/>
    </w:rPr>
  </w:style>
  <w:style w:type="paragraph" w:customStyle="1" w:styleId="style4097">
    <w:name w:val="Default"/>
    <w:basedOn w:val="style90"/>
    <w:next w:val="style0"/>
    <w:qFormat/>
    <w:uiPriority w:val="0"/>
    <w:pPr>
      <w:widowControl w:val="false"/>
      <w:autoSpaceDE w:val="false"/>
      <w:autoSpaceDN w:val="false"/>
      <w:adjustRightInd w:val="false"/>
    </w:pPr>
    <w:rPr>
      <w:rFonts w:ascii="宋体" w:cs="宋体" w:eastAsia="宋体" w:hAnsi="Times New Roman"/>
      <w:color w:val="000000"/>
      <w:sz w:val="24"/>
      <w:szCs w:val="24"/>
      <w:lang w:val="en-US" w:bidi="ar-SA" w:eastAsia="zh-CN"/>
    </w:rPr>
  </w:style>
  <w:style w:type="paragraph" w:customStyle="1" w:styleId="style4098">
    <w:name w:val="大标题"/>
    <w:basedOn w:val="style0"/>
    <w:next w:val="style78"/>
    <w:qFormat/>
    <w:uiPriority w:val="0"/>
    <w:pPr>
      <w:jc w:val="center"/>
    </w:pPr>
    <w:rPr>
      <w:rFonts w:ascii="Arial" w:hAnsi="Arial"/>
      <w:b/>
      <w:sz w:val="28"/>
      <w:szCs w:val="24"/>
    </w:rPr>
  </w:style>
  <w:style w:type="paragraph" w:customStyle="1" w:styleId="style4099">
    <w:name w:val="Char Char10 Char Char Char Char"/>
    <w:basedOn w:val="style0"/>
    <w:next w:val="style4100"/>
    <w:qFormat/>
    <w:uiPriority w:val="0"/>
    <w:pPr/>
    <w:rPr>
      <w:rFonts w:ascii="Calibri" w:hAnsi="Calibri"/>
    </w:rPr>
  </w:style>
  <w:style w:type="paragraph" w:customStyle="1" w:styleId="style4100">
    <w:name w:val="xl87"/>
    <w:basedOn w:val="style0"/>
    <w:next w:val="style4101"/>
    <w:qFormat/>
    <w:uiPriority w:val="0"/>
    <w:pPr>
      <w:widowControl/>
      <w:shd w:val="clear" w:color="ffffff" w:fill="ffffff"/>
      <w:spacing w:before="280" w:after="280"/>
      <w:jc w:val="right"/>
    </w:pPr>
    <w:rPr>
      <w:rFonts w:hAnsi="Calibri"/>
      <w:sz w:val="24"/>
    </w:rPr>
  </w:style>
  <w:style w:type="paragraph" w:customStyle="1" w:styleId="style4101">
    <w:name w:val="xl72"/>
    <w:basedOn w:val="style0"/>
    <w:next w:val="style76"/>
    <w:qFormat/>
    <w:uiPriority w:val="0"/>
    <w:pPr>
      <w:widowControl/>
      <w:shd w:val="clear" w:color="ffffff" w:fill="ffffff"/>
      <w:spacing w:before="280" w:after="280"/>
      <w:jc w:val="right"/>
    </w:pPr>
    <w:rPr>
      <w:rFonts w:hAnsi="Calibri"/>
      <w:sz w:val="24"/>
    </w:rPr>
  </w:style>
  <w:style w:type="paragraph" w:customStyle="1" w:styleId="style4102">
    <w:name w:val="style4"/>
    <w:basedOn w:val="style0"/>
    <w:next w:val="style4103"/>
    <w:qFormat/>
    <w:uiPriority w:val="0"/>
    <w:pPr>
      <w:spacing w:before="280" w:after="280"/>
    </w:pPr>
    <w:rPr>
      <w:sz w:val="18"/>
    </w:rPr>
  </w:style>
  <w:style w:type="paragraph" w:customStyle="1" w:styleId="style4103">
    <w:name w:val="2"/>
    <w:next w:val="style0"/>
    <w:qFormat/>
    <w:uiPriority w:val="0"/>
    <w:pPr>
      <w:widowControl w:val="false"/>
      <w:jc w:val="both"/>
    </w:pPr>
    <w:rPr>
      <w:rFonts w:ascii="Times New Roman" w:cs="Times New Roman" w:eastAsia="宋体" w:hAnsi="Times New Roman"/>
      <w:sz w:val="21"/>
      <w:szCs w:val="22"/>
      <w:lang w:val="en-US" w:bidi="ar-SA" w:eastAsia="zh-CN"/>
    </w:rPr>
  </w:style>
  <w:style w:type="table" w:customStyle="1" w:styleId="style4104">
    <w:name w:val="Table Normal"/>
    <w:next w:val="style4104"/>
    <w:qFormat/>
    <w:uiPriority w:val="2"/>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1"/>
    <w:pPr>
      <w:ind w:left="342" w:firstLine="420"/>
    </w:pPr>
    <w:rPr/>
  </w:style>
  <w:style w:type="paragraph" w:customStyle="1" w:styleId="style4105">
    <w:name w:val="Table Paragraph"/>
    <w:basedOn w:val="style0"/>
    <w:next w:val="style4105"/>
    <w:qFormat/>
    <w:uiPriority w:val="1"/>
    <w:pPr/>
  </w:style>
  <w:style w:type="paragraph" w:customStyle="1" w:styleId="style4106">
    <w:name w:val="正文首行缩进 21"/>
    <w:basedOn w:val="style67"/>
    <w:next w:val="style4106"/>
    <w:qFormat/>
    <w:uiPriority w:val="0"/>
    <w:pPr>
      <w:ind w:firstLine="420"/>
    </w:pPr>
    <w:rPr/>
  </w:style>
  <w:style w:type="paragraph" w:customStyle="1" w:styleId="style4107">
    <w:name w:val="UserStyle_4"/>
    <w:next w:val="style4107"/>
    <w:qFormat/>
    <w:uiPriority w:val="0"/>
    <w:pPr/>
    <w:rPr>
      <w:rFonts w:ascii="华文细黑" w:cs="Times New Roman" w:eastAsia="华文细黑" w:hAnsi="Times New Roman"/>
      <w:color w:val="000000"/>
      <w:sz w:val="24"/>
      <w:szCs w:val="24"/>
      <w:lang w:val="en-US" w:bidi="ar-SA" w:eastAsia="zh-CN"/>
    </w:rPr>
  </w:style>
  <w:style w:type="character" w:customStyle="1" w:styleId="style4108">
    <w:name w:val="NormalCharacter"/>
    <w:next w:val="style4108"/>
    <w:qFormat/>
    <w:uiPriority w:val="0"/>
    <w:rPr>
      <w:rFonts w:ascii="Times New Roman" w:eastAsia="宋体" w:hAnsi="Times New Roman"/>
    </w:rPr>
  </w:style>
  <w:style w:type="paragraph" w:customStyle="1" w:styleId="style4109">
    <w:name w:val="WPSOffice手动目录 2"/>
    <w:next w:val="style4109"/>
    <w:qFormat/>
    <w:uiPriority w:val="0"/>
    <w:pPr>
      <w:ind w:left="200" w:leftChars="200"/>
    </w:pPr>
    <w:rPr>
      <w:rFonts w:ascii="Calibri" w:cs="宋体" w:eastAsia="Calibri" w:hAnsi="Calibri"/>
      <w:lang w:val="en-US" w:bidi="ar-SA" w:eastAsia="zh-CN"/>
    </w:rPr>
  </w:style>
  <w:style w:type="paragraph" w:customStyle="1" w:styleId="style4110">
    <w:name w:val="WPSOffice手动目录 1"/>
    <w:next w:val="style4110"/>
    <w:qFormat/>
    <w:uiPriority w:val="0"/>
    <w:pPr/>
    <w:rPr>
      <w:rFonts w:ascii="Calibri" w:cs="宋体" w:eastAsia="Calibri" w:hAnsi="Calibri"/>
      <w:lang w:val="en-US" w:bidi="ar-SA" w:eastAsia="zh-CN"/>
    </w:rPr>
  </w:style>
  <w:style w:type="paragraph" w:customStyle="1" w:styleId="style4111">
    <w:name w:val="WPSOffice手动目录 3"/>
    <w:next w:val="style4111"/>
    <w:qFormat/>
    <w:uiPriority w:val="0"/>
    <w:pPr>
      <w:ind w:left="400" w:leftChars="400"/>
    </w:pPr>
    <w:rPr>
      <w:rFonts w:ascii="Calibri" w:cs="宋体" w:eastAsia="Calibri" w:hAnsi="Calibri"/>
      <w:lang w:val="en-US" w:bidi="ar-SA" w:eastAsia="zh-CN"/>
    </w:rPr>
  </w:style>
  <w:style w:type="character" w:customStyle="1" w:styleId="style4112">
    <w:name w:val="font81"/>
    <w:next w:val="style4112"/>
    <w:qFormat/>
    <w:uiPriority w:val="0"/>
    <w:rPr>
      <w:rFonts w:ascii="仿宋" w:cs="仿宋" w:eastAsia="仿宋" w:hAnsi="仿宋" w:hint="eastAsia"/>
      <w:color w:val="000000"/>
      <w:sz w:val="22"/>
      <w:szCs w:val="22"/>
      <w:u w:val="none"/>
    </w:rPr>
  </w:style>
  <w:style w:type="character" w:customStyle="1" w:styleId="style4113">
    <w:name w:val="font71"/>
    <w:next w:val="style4113"/>
    <w:qFormat/>
    <w:uiPriority w:val="0"/>
    <w:rPr>
      <w:rFonts w:ascii="仿宋" w:cs="仿宋" w:eastAsia="仿宋" w:hAnsi="仿宋" w:hint="eastAsia"/>
      <w:color w:val="000000"/>
      <w:sz w:val="22"/>
      <w:szCs w:val="22"/>
      <w:u w:val="none"/>
    </w:rPr>
  </w:style>
  <w:style w:type="paragraph" w:customStyle="1" w:styleId="style4114">
    <w:name w:val="*正文"/>
    <w:basedOn w:val="style0"/>
    <w:next w:val="style0"/>
    <w:qFormat/>
    <w:uiPriority w:val="0"/>
    <w:pPr>
      <w:widowControl/>
      <w:ind w:firstLine="482"/>
    </w:pPr>
    <w:rPr>
      <w:rFonts w:ascii="微软雅黑" w:eastAsia="微软雅黑" w:hAnsi="微软雅黑"/>
      <w:szCs w:val="20"/>
    </w:rPr>
  </w:style>
  <w:style w:type="character" w:customStyle="1" w:styleId="style4115">
    <w:name w:val="批注文字 Char"/>
    <w:basedOn w:val="style65"/>
    <w:next w:val="style4115"/>
    <w:link w:val="style30"/>
    <w:qFormat/>
    <w:uiPriority w:val="0"/>
    <w:rPr>
      <w:rFonts w:ascii="宋体" w:cs="宋体" w:hAnsi="宋体"/>
      <w:sz w:val="22"/>
      <w:szCs w:val="22"/>
      <w:lang w:eastAsia="en-US"/>
    </w:rPr>
  </w:style>
  <w:style w:type="character" w:customStyle="1" w:styleId="style4116">
    <w:name w:val="批注主题 Char"/>
    <w:basedOn w:val="style4115"/>
    <w:next w:val="style4116"/>
    <w:link w:val="style106"/>
    <w:qFormat/>
    <w:uiPriority w:val="0"/>
    <w:rPr>
      <w:rFonts w:ascii="宋体" w:cs="宋体" w:hAnsi="宋体"/>
      <w:b/>
      <w:bCs/>
      <w:sz w:val="22"/>
      <w:szCs w:val="22"/>
      <w:lang w:eastAsia="en-US"/>
    </w:rPr>
  </w:style>
  <w:style w:type="character" w:customStyle="1" w:styleId="style4117">
    <w:name w:val="hover"/>
    <w:basedOn w:val="style65"/>
    <w:next w:val="style4117"/>
    <w:qFormat/>
    <w:uiPriority w:val="0"/>
    <w:rPr>
      <w:color w:val="2590eb"/>
      <w:shd w:val="clear" w:color="auto" w:fill="e9f4fd"/>
    </w:rPr>
  </w:style>
  <w:style w:type="character" w:customStyle="1" w:styleId="style4118">
    <w:name w:val="hover1"/>
    <w:basedOn w:val="style65"/>
    <w:next w:val="style4118"/>
    <w:qFormat/>
    <w:uiPriority w:val="0"/>
    <w:rPr>
      <w:color w:val="2590eb"/>
    </w:rPr>
  </w:style>
  <w:style w:type="character" w:customStyle="1" w:styleId="style4119">
    <w:name w:val="hover2"/>
    <w:basedOn w:val="style65"/>
    <w:next w:val="style4119"/>
    <w:qFormat/>
    <w:uiPriority w:val="0"/>
    <w:rPr>
      <w:color w:val="2590eb"/>
    </w:rPr>
  </w:style>
  <w:style w:type="character" w:customStyle="1" w:styleId="style4120">
    <w:name w:val="hover3"/>
    <w:basedOn w:val="style65"/>
    <w:next w:val="style4120"/>
    <w:qFormat/>
    <w:uiPriority w:val="0"/>
  </w:style>
  <w:style w:type="character" w:customStyle="1" w:styleId="style4121">
    <w:name w:val="批注框文本 Char"/>
    <w:basedOn w:val="style65"/>
    <w:next w:val="style4121"/>
    <w:link w:val="style153"/>
    <w:qFormat/>
    <w:uiPriority w:val="0"/>
    <w:rPr>
      <w:rFonts w:ascii="宋体" w:cs="宋体" w:hAnsi="宋体"/>
      <w:sz w:val="18"/>
      <w:szCs w:val="18"/>
      <w:lang w:eastAsia="en-US"/>
    </w:rPr>
  </w:style>
  <w:style w:type="character" w:customStyle="1" w:styleId="style4122">
    <w:name w:val="s1"/>
    <w:basedOn w:val="style65"/>
    <w:next w:val="style4122"/>
    <w:qFormat/>
    <w:uiPriority w:val="0"/>
    <w:rPr>
      <w:color w:val="dddddd"/>
      <w:sz w:val="18"/>
      <w:szCs w:val="18"/>
    </w:rPr>
  </w:style>
  <w:style w:type="character" w:customStyle="1" w:styleId="style4123">
    <w:name w:val="btn-auto-1"/>
    <w:basedOn w:val="style65"/>
    <w:next w:val="style4123"/>
    <w:qFormat/>
    <w:uiPriority w:val="0"/>
  </w:style>
  <w:style w:type="character" w:customStyle="1" w:styleId="style4124">
    <w:name w:val="btn-task-gray2"/>
    <w:basedOn w:val="style65"/>
    <w:next w:val="style4124"/>
    <w:qFormat/>
    <w:uiPriority w:val="0"/>
    <w:rPr>
      <w:color w:val="ffffff"/>
      <w:u w:val="none"/>
      <w:shd w:val="clear" w:color="auto" w:fill="cccccc"/>
    </w:rPr>
  </w:style>
  <w:style w:type="character" w:customStyle="1" w:styleId="style4125">
    <w:name w:val="btn-task-gray3"/>
    <w:basedOn w:val="style65"/>
    <w:next w:val="style4125"/>
    <w:qFormat/>
    <w:uiPriority w:val="0"/>
  </w:style>
  <w:style w:type="character" w:customStyle="1" w:styleId="style4126">
    <w:name w:val="nth-child(3)"/>
    <w:basedOn w:val="style65"/>
    <w:next w:val="style4126"/>
    <w:qFormat/>
    <w:uiPriority w:val="0"/>
  </w:style>
  <w:style w:type="character" w:customStyle="1" w:styleId="style4127">
    <w:name w:val="nth-child(2)"/>
    <w:basedOn w:val="style65"/>
    <w:next w:val="style4127"/>
    <w:qFormat/>
    <w:uiPriority w:val="0"/>
  </w:style>
  <w:style w:type="paragraph" w:customStyle="1" w:styleId="style4128">
    <w:name w:val="修订1"/>
    <w:next w:val="style4128"/>
    <w:qFormat/>
    <w:uiPriority w:val="99"/>
    <w:pPr/>
    <w:rPr>
      <w:rFonts w:ascii="宋体" w:cs="宋体" w:eastAsia="宋体" w:hAnsi="宋体"/>
      <w:sz w:val="22"/>
      <w:szCs w:val="22"/>
      <w:lang w:val="en-US" w:bidi="ar-SA" w:eastAsia="en-US"/>
    </w:rPr>
  </w:style>
  <w:style w:type="paragraph" w:customStyle="1" w:styleId="style4129">
    <w:name w:val="card-title"/>
    <w:basedOn w:val="style0"/>
    <w:next w:val="style4129"/>
    <w:qFormat/>
    <w:uiPriority w:val="0"/>
    <w:pPr>
      <w:spacing w:lineRule="atLeast" w:line="600"/>
      <w:ind w:right="750"/>
    </w:pPr>
    <w:rPr>
      <w:rFonts w:cs="Times New Roman"/>
      <w:color w:val="666666"/>
      <w:lang w:eastAsia="zh-CN"/>
    </w:rPr>
  </w:style>
  <w:style w:type="character" w:customStyle="1" w:styleId="style4130">
    <w:name w:val="hover4"/>
    <w:basedOn w:val="style65"/>
    <w:next w:val="style4130"/>
    <w:qFormat/>
    <w:uiPriority w:val="0"/>
    <w:rPr>
      <w:color w:val="2590eb"/>
    </w:rPr>
  </w:style>
  <w:style w:type="paragraph" w:customStyle="1" w:styleId="style4131">
    <w:name w:val="首行缩进"/>
    <w:basedOn w:val="style0"/>
    <w:next w:val="style4131"/>
    <w:qFormat/>
    <w:uiPriority w:val="0"/>
    <w:pPr>
      <w:ind w:firstLine="480" w:firstLineChars="200"/>
    </w:pPr>
    <w:rPr/>
  </w:style>
  <w:style w:type="paragraph" w:customStyle="1" w:styleId="style4132">
    <w:name w:val="BodyText1I2"/>
    <w:basedOn w:val="style4133"/>
    <w:next w:val="style4134"/>
    <w:qFormat/>
    <w:uiPriority w:val="0"/>
    <w:pPr>
      <w:ind w:firstLine="420" w:firstLineChars="200"/>
    </w:pPr>
    <w:rPr>
      <w:rFonts w:ascii="Calibri" w:eastAsia="楷体_GB2312" w:hAnsi="Calibri"/>
      <w:kern w:val="44"/>
      <w:sz w:val="44"/>
    </w:rPr>
  </w:style>
  <w:style w:type="paragraph" w:customStyle="1" w:styleId="style4133">
    <w:name w:val="BodyTextIndent"/>
    <w:basedOn w:val="style0"/>
    <w:next w:val="style4133"/>
    <w:qFormat/>
    <w:uiPriority w:val="0"/>
    <w:pPr>
      <w:spacing w:after="120"/>
      <w:ind w:left="420" w:leftChars="200"/>
    </w:pPr>
    <w:rPr>
      <w:sz w:val="20"/>
    </w:rPr>
  </w:style>
  <w:style w:type="paragraph" w:customStyle="1" w:styleId="style4134">
    <w:name w:val="UserStyle_136"/>
    <w:basedOn w:val="style0"/>
    <w:next w:val="style0"/>
    <w:qFormat/>
    <w:uiPriority w:val="0"/>
    <w:pPr>
      <w:spacing w:after="120" w:lineRule="atLeast" w:line="320"/>
      <w:ind w:firstLine="200" w:firstLineChars="200"/>
    </w:pPr>
    <w:rPr>
      <w:rFonts w:ascii="Arial" w:hAnsi="Arial"/>
    </w:rPr>
  </w:style>
  <w:style w:type="paragraph" w:customStyle="1" w:styleId="style4135">
    <w:name w:val="修订2"/>
    <w:next w:val="style4135"/>
    <w:qFormat/>
    <w:uiPriority w:val="99"/>
    <w:pPr/>
    <w:rPr>
      <w:rFonts w:ascii="宋体" w:cs="宋体" w:eastAsia="宋体" w:hAnsi="宋体"/>
      <w:sz w:val="22"/>
      <w:szCs w:val="22"/>
      <w:lang w:val="en-US" w:bidi="ar-SA" w:eastAsia="en-US"/>
    </w:rPr>
  </w:style>
  <w:style w:type="paragraph" w:customStyle="1" w:styleId="style4136">
    <w:name w:val="正文文本缩进 21"/>
    <w:basedOn w:val="style0"/>
    <w:next w:val="style4136"/>
    <w:qFormat/>
    <w:uiPriority w:val="0"/>
    <w:pPr>
      <w:spacing w:lineRule="auto" w:line="480"/>
      <w:ind w:left="420"/>
    </w:pPr>
    <w:rPr/>
  </w:style>
  <w:style w:type="paragraph" w:customStyle="1" w:styleId="style4137">
    <w:name w:val="纯文本1"/>
    <w:basedOn w:val="style0"/>
    <w:next w:val="style4137"/>
    <w:qFormat/>
    <w:uiPriority w:val="0"/>
    <w:pPr>
      <w:adjustRightInd w:val="false"/>
      <w:snapToGrid w:val="false"/>
      <w:spacing w:lineRule="auto" w:line="360"/>
    </w:pPr>
    <w:rPr>
      <w:rFonts w:ascii="宋体" w:hAnsi="Courier New"/>
      <w:sz w:val="21"/>
    </w:rPr>
  </w:style>
  <w:style w:type="character" w:customStyle="1" w:styleId="style4138">
    <w:name w:val="font21"/>
    <w:basedOn w:val="style65"/>
    <w:next w:val="style4138"/>
    <w:qFormat/>
    <w:uiPriority w:val="0"/>
    <w:rPr>
      <w:rFonts w:ascii="宋体" w:cs="宋体" w:eastAsia="宋体" w:hAnsi="宋体" w:hint="eastAsia"/>
      <w:color w:val="000000"/>
      <w:sz w:val="20"/>
      <w:szCs w:val="20"/>
      <w:u w:val="none"/>
    </w:rPr>
  </w:style>
  <w:style w:type="paragraph" w:customStyle="1" w:styleId="style4139">
    <w:name w:val="Table Text"/>
    <w:basedOn w:val="style0"/>
    <w:next w:val="style4139"/>
    <w:qFormat/>
    <w:uiPriority w:val="0"/>
    <w:pPr/>
    <w:rPr>
      <w:rFonts w:ascii="宋体" w:cs="宋体" w:eastAsia="宋体" w:hAnsi="宋体"/>
      <w:sz w:val="24"/>
      <w:szCs w:val="24"/>
      <w:lang w:val="en-US" w:bidi="ar-SA" w:eastAsia="en-US"/>
    </w:rPr>
  </w:style>
  <w:style w:type="paragraph" w:styleId="style157">
    <w:name w:val="No Spacing"/>
    <w:next w:val="style157"/>
    <w:qFormat/>
    <w:uiPriority w:val="0"/>
    <w:pPr/>
    <w:rPr>
      <w:rFonts w:ascii="Calibri" w:cs="宋体" w:eastAsia="宋体" w:hAnsi="Calibri"/>
      <w:kern w:val="2"/>
      <w:sz w:val="24"/>
      <w:szCs w:val="22"/>
      <w:lang w:val="en-US" w:bidi="ar-SA" w:eastAsia="zh-CN"/>
    </w:rPr>
  </w:style>
  <w:style w:type="paragraph" w:customStyle="1" w:styleId="style4140">
    <w:name w:val="shsj2em"/>
    <w:basedOn w:val="style0"/>
    <w:next w:val="style4140"/>
    <w:qFormat/>
    <w:uiPriority w:val="0"/>
    <w:pPr>
      <w:ind w:firstLine="420"/>
      <w:jc w:val="left"/>
    </w:pPr>
    <w:rPr>
      <w:kern w:val="0"/>
      <w:lang w:val="en-US" w:eastAsia="zh-CN"/>
    </w:rPr>
  </w:style>
  <w:style w:type="paragraph" w:customStyle="1" w:styleId="style4141">
    <w:name w:val="BodyText"/>
    <w:basedOn w:val="style0"/>
    <w:next w:val="style0"/>
    <w:qFormat/>
    <w:uiPriority w:val="0"/>
    <w:pPr>
      <w:widowControl/>
      <w:spacing w:after="120" w:lineRule="auto" w:line="276"/>
      <w:textAlignment w:val="baseline"/>
    </w:pPr>
    <w:rPr>
      <w:rFonts w:cs="黑体"/>
    </w:rPr>
  </w:style>
  <w:style w:type="character" w:customStyle="1" w:styleId="style4142">
    <w:name w:val="标题_部分_一级标题 Char"/>
    <w:next w:val="style4142"/>
    <w:link w:val="style4143"/>
    <w:qFormat/>
    <w:uiPriority w:val="0"/>
    <w:rPr>
      <w:rFonts w:ascii="黑体" w:eastAsia="黑体"/>
      <w:b/>
      <w:kern w:val="0"/>
      <w:sz w:val="24"/>
    </w:rPr>
  </w:style>
  <w:style w:type="paragraph" w:customStyle="1" w:styleId="style4143">
    <w:name w:val="标题_部分_一级标题"/>
    <w:basedOn w:val="style0"/>
    <w:next w:val="style4143"/>
    <w:link w:val="style4142"/>
    <w:qFormat/>
    <w:uiPriority w:val="0"/>
    <w:pPr>
      <w:spacing w:lineRule="auto" w:line="300"/>
      <w:ind w:firstLine="420"/>
      <w:jc w:val="left"/>
      <w:outlineLvl w:val="1"/>
    </w:pPr>
    <w:rPr>
      <w:rFonts w:ascii="黑体" w:eastAsia="黑体"/>
      <w:b/>
      <w:kern w:val="0"/>
      <w:sz w:val="24"/>
    </w:rPr>
  </w:style>
  <w:style w:type="character" w:customStyle="1" w:styleId="style4144">
    <w:name w:val="font31"/>
    <w:basedOn w:val="style65"/>
    <w:next w:val="style4144"/>
    <w:qFormat/>
    <w:uiPriority w:val="0"/>
    <w:rPr>
      <w:rFonts w:ascii="宋体" w:cs="宋体" w:eastAsia="宋体" w:hAnsi="宋体" w:hint="eastAsia"/>
      <w:color w:val="000000"/>
      <w:sz w:val="22"/>
      <w:szCs w:val="22"/>
      <w:u w:val="none"/>
    </w:rPr>
  </w:style>
  <w:style w:type="character" w:customStyle="1" w:styleId="style4145">
    <w:name w:val="font41"/>
    <w:basedOn w:val="style65"/>
    <w:next w:val="style4145"/>
    <w:qFormat/>
    <w:uiPriority w:val="0"/>
    <w:rPr>
      <w:rFonts w:ascii="Calibri" w:cs="Calibri" w:hAnsi="Calibri"/>
      <w:color w:val="000000"/>
      <w:sz w:val="22"/>
      <w:szCs w:val="22"/>
      <w:u w:val="none"/>
    </w:rPr>
  </w:style>
  <w:style w:type="character" w:customStyle="1" w:styleId="style4146">
    <w:name w:val="标题 2 Char"/>
    <w:next w:val="style4146"/>
    <w:link w:val="style2"/>
    <w:qFormat/>
    <w:uiPriority w:val="99"/>
    <w:rPr>
      <w:sz w:val="28"/>
      <w:szCs w:val="28"/>
    </w:rPr>
  </w:style>
  <w:style w:type="character" w:customStyle="1" w:styleId="style4147">
    <w:name w:val="标题 3 Char1"/>
    <w:next w:val="style4147"/>
    <w:link w:val="style3"/>
    <w:qFormat/>
    <w:uiPriority w:val="0"/>
    <w:rPr>
      <w:b/>
      <w:bCs/>
      <w:sz w:val="24"/>
      <w:szCs w:val="24"/>
    </w:rPr>
  </w:style>
  <w:style w:type="character" w:customStyle="1" w:styleId="style4148">
    <w:name w:val="font51"/>
    <w:basedOn w:val="style65"/>
    <w:next w:val="style4148"/>
    <w:qFormat/>
    <w:uiPriority w:val="0"/>
    <w:rPr>
      <w:rFonts w:ascii="宋体" w:cs="宋体" w:eastAsia="宋体" w:hAnsi="宋体" w:hint="eastAsia"/>
      <w:color w:val="ff0000"/>
      <w:sz w:val="22"/>
      <w:szCs w:val="22"/>
      <w:u w:val="none"/>
    </w:rPr>
  </w:style>
  <w:style w:type="character" w:customStyle="1" w:styleId="style4149">
    <w:name w:val="font61"/>
    <w:basedOn w:val="style65"/>
    <w:next w:val="style4149"/>
    <w:qFormat/>
    <w:uiPriority w:val="0"/>
    <w:rPr>
      <w:rFonts w:ascii="Calibri" w:cs="Calibri" w:hAnsi="Calibri"/>
      <w:color w:val="000000"/>
      <w:sz w:val="22"/>
      <w:szCs w:val="22"/>
      <w:u w:val="none"/>
    </w:rPr>
  </w:style>
  <w:style w:type="paragraph" w:customStyle="1" w:styleId="style4150">
    <w:name w:val="Default2"/>
    <w:next w:val="style4150"/>
    <w:qFormat/>
    <w:uiPriority w:val="0"/>
    <w:pPr>
      <w:widowControl w:val="false"/>
      <w:autoSpaceDE w:val="false"/>
      <w:autoSpaceDN w:val="false"/>
      <w:adjustRightInd w:val="false"/>
    </w:pPr>
    <w:rPr>
      <w:rFonts w:ascii="黑体" w:cs="Times New Roman" w:eastAsia="黑体" w:hAnsi="Calibri"/>
      <w:sz w:val="21"/>
      <w:szCs w:val="22"/>
      <w:lang w:val="en-US" w:bidi="ar-SA" w:eastAsia="zh-CN"/>
    </w:rPr>
  </w:style>
  <w:style w:type="character" w:customStyle="1" w:styleId="style4151">
    <w:name w:val="mini-outputtext1"/>
    <w:basedOn w:val="style65"/>
    <w:next w:val="style4151"/>
    <w:qFormat/>
    <w:uiPriority w:val="0"/>
  </w:style>
  <w:style w:type="paragraph" w:customStyle="1" w:styleId="style4152">
    <w:name w:val="正文-公1"/>
    <w:basedOn w:val="style0"/>
    <w:next w:val="style4152"/>
    <w:qFormat/>
    <w:uiPriority w:val="0"/>
    <w:pPr>
      <w:ind w:firstLine="200" w:firstLineChars="200"/>
    </w:pPr>
    <w:rPr/>
  </w:style>
  <w:style w:type="paragraph" w:customStyle="1" w:styleId="style4153">
    <w:name w:val="p0"/>
    <w:basedOn w:val="style0"/>
    <w:next w:val="style4153"/>
    <w:qFormat/>
    <w:uiPriority w:val="0"/>
    <w:pPr>
      <w:widowControl/>
      <w:spacing w:before="100" w:beforeAutospacing="true" w:after="100" w:afterAutospacing="true"/>
      <w:jc w:val="left"/>
    </w:pPr>
    <w:rPr>
      <w:rFonts w:ascii="宋体" w:cs="宋体" w:hAnsi="宋体"/>
      <w:kern w:val="0"/>
      <w:sz w:val="24"/>
    </w:rPr>
  </w:style>
  <w:style w:type="paragraph" w:customStyle="1" w:styleId="style4154">
    <w:name w:val="AONormal"/>
    <w:next w:val="style4154"/>
    <w:qFormat/>
    <w:uiPriority w:val="0"/>
    <w:pPr>
      <w:autoSpaceDE w:val="false"/>
      <w:autoSpaceDN w:val="false"/>
      <w:adjustRightInd w:val="false"/>
      <w:spacing w:lineRule="exact" w:line="400"/>
      <w:ind w:firstLine="440" w:firstLineChars="200"/>
    </w:pPr>
    <w:rPr>
      <w:rFonts w:ascii="华文楷体" w:cs="华文楷体" w:eastAsia="华文楷体" w:hAnsi="华文楷体"/>
      <w:sz w:val="22"/>
      <w:szCs w:val="21"/>
      <w:lang w:val="en-US" w:bidi="ar-SA" w:eastAsia="zh-CN"/>
    </w:rPr>
  </w:style>
</w:styles>
</file>

<file path=word/_rels/document.xml.rels><?xml version="1.0" encoding="UTF-8"?>
<Relationships xmlns="http://schemas.openxmlformats.org/package/2006/relationships"><Relationship Id="rId11" Type="http://schemas.openxmlformats.org/officeDocument/2006/relationships/header" Target="header9.xml"/><Relationship Id="rId10" Type="http://schemas.openxmlformats.org/officeDocument/2006/relationships/footer" Target="footer8.xml"/><Relationship Id="rId13" Type="http://schemas.openxmlformats.org/officeDocument/2006/relationships/footer" Target="footer11.xml"/><Relationship Id="rId12" Type="http://schemas.openxmlformats.org/officeDocument/2006/relationships/footer" Target="footer10.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1.png"/><Relationship Id="rId15" Type="http://schemas.openxmlformats.org/officeDocument/2006/relationships/styles" Target="styles.xml"/><Relationship Id="rId14" Type="http://schemas.openxmlformats.org/officeDocument/2006/relationships/footer" Target="footer12.xml"/><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footer" Target="footer4.xml"/><Relationship Id="rId19" Type="http://schemas.openxmlformats.org/officeDocument/2006/relationships/customXml" Target="../customXml/item1.xml"/><Relationship Id="rId6" Type="http://schemas.openxmlformats.org/officeDocument/2006/relationships/header" Target="header5.xml"/><Relationship Id="rId18" Type="http://schemas.openxmlformats.org/officeDocument/2006/relationships/theme" Target="theme/theme1.xml"/><Relationship Id="rId7" Type="http://schemas.openxmlformats.org/officeDocument/2006/relationships/footer" Target="foot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28249</Words>
  <Pages>57</Pages>
  <Characters>30449</Characters>
  <Application>WPS Office</Application>
  <DocSecurity>0</DocSecurity>
  <Paragraphs>1500</Paragraphs>
  <ScaleCrop>false</ScaleCrop>
  <Company>China</Company>
  <LinksUpToDate>false</LinksUpToDate>
  <CharactersWithSpaces>31178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2022-09-14T07:09:00Z</dcterms:created>
  <dc:creator>Administrator</dc:creator>
  <lastModifiedBy>23049RAD8C</lastModifiedBy>
  <lastPrinted>2023-08-02T07:11:00Z</lastPrinted>
  <dcterms:modified xsi:type="dcterms:W3CDTF">2025-09-11T09:06:14Z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2021-04-28T00:00:00Z</vt:filetime>
  </property>
  <property fmtid="{D5CDD505-2E9C-101B-9397-08002B2CF9AE}" pid="5" name="KSOProductBuildVer">
    <vt:lpwstr>2052-12.1.0.22529</vt:lpwstr>
  </property>
  <property fmtid="{D5CDD505-2E9C-101B-9397-08002B2CF9AE}" pid="6" name="ICV">
    <vt:lpwstr>444DA937C2D0432099DACBCE72207FA6_13</vt:lpwstr>
  </property>
  <property fmtid="{D5CDD505-2E9C-101B-9397-08002B2CF9AE}" pid="7" name="KSOTemplateDocerSaveRecord">
    <vt:lpwstr>eyJoZGlkIjoiMGRmYWU5YzMwODFhN2VkZTE4NThiMTVhMDY3NjU0NTkiLCJ1c2VySWQiOiI5MTM5MDc4MjAifQ==</vt:lpwstr>
  </property>
</Properties>
</file>