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7AE2D0">
      <w:pPr>
        <w:tabs>
          <w:tab w:val="left" w:pos="1950"/>
        </w:tabs>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spacing w:val="20"/>
          <w:sz w:val="66"/>
          <w:szCs w:val="66"/>
          <w:lang w:val="en" w:eastAsia="zh-CN"/>
        </w:rPr>
        <w:t>河南工业和信息化职业学院2025年-2028年物业服务项目</w:t>
      </w:r>
      <w:r>
        <w:rPr>
          <w:rFonts w:hint="default" w:ascii="Times New Roman" w:hAnsi="Times New Roman" w:eastAsia="宋体" w:cs="Times New Roman"/>
          <w:b/>
          <w:bCs/>
          <w:color w:val="auto"/>
          <w:spacing w:val="20"/>
          <w:sz w:val="84"/>
          <w:szCs w:val="84"/>
          <w:lang w:val="en-US" w:eastAsia="zh-CN"/>
        </w:rPr>
        <w:t xml:space="preserve"> </w:t>
      </w:r>
    </w:p>
    <w:p w14:paraId="461CDF44">
      <w:pPr>
        <w:tabs>
          <w:tab w:val="left" w:pos="1950"/>
        </w:tabs>
        <w:jc w:val="left"/>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 </w:t>
      </w:r>
    </w:p>
    <w:p w14:paraId="336D81F7">
      <w:pPr>
        <w:tabs>
          <w:tab w:val="left" w:pos="1950"/>
        </w:tabs>
        <w:jc w:val="left"/>
        <w:rPr>
          <w:rFonts w:hint="default" w:ascii="Times New Roman" w:hAnsi="Times New Roman" w:eastAsia="宋体" w:cs="Times New Roman"/>
          <w:b/>
          <w:bCs/>
          <w:color w:val="auto"/>
          <w:lang w:val="en-US" w:eastAsia="zh-CN"/>
        </w:rPr>
      </w:pPr>
    </w:p>
    <w:p w14:paraId="2D522079">
      <w:pPr>
        <w:pStyle w:val="97"/>
        <w:rPr>
          <w:rFonts w:hint="default" w:ascii="Times New Roman" w:hAnsi="Times New Roman" w:eastAsia="宋体" w:cs="Times New Roman"/>
          <w:b/>
          <w:bCs/>
          <w:color w:val="auto"/>
          <w:lang w:val="en-US" w:eastAsia="zh-CN"/>
        </w:rPr>
      </w:pPr>
    </w:p>
    <w:p w14:paraId="7EDD7791">
      <w:pPr>
        <w:pStyle w:val="97"/>
        <w:rPr>
          <w:rFonts w:hint="default" w:ascii="Times New Roman" w:hAnsi="Times New Roman" w:eastAsia="宋体" w:cs="Times New Roman"/>
          <w:b/>
          <w:bCs/>
          <w:color w:val="auto"/>
          <w:lang w:val="en-US" w:eastAsia="zh-CN"/>
        </w:rPr>
      </w:pPr>
    </w:p>
    <w:p w14:paraId="7A35896C">
      <w:pPr>
        <w:jc w:val="center"/>
        <w:rPr>
          <w:rFonts w:hint="default" w:ascii="Times New Roman" w:hAnsi="Times New Roman" w:eastAsia="宋体" w:cs="Times New Roman"/>
          <w:b/>
          <w:bCs/>
          <w:color w:val="auto"/>
          <w:sz w:val="160"/>
          <w:szCs w:val="160"/>
          <w:lang w:eastAsia="zh-CN"/>
        </w:rPr>
      </w:pPr>
      <w:r>
        <w:rPr>
          <w:rFonts w:hint="default" w:ascii="Times New Roman" w:hAnsi="Times New Roman" w:eastAsia="宋体" w:cs="Times New Roman"/>
          <w:b/>
          <w:color w:val="auto"/>
          <w:sz w:val="160"/>
          <w:szCs w:val="160"/>
          <w:lang w:eastAsia="zh-CN"/>
        </w:rPr>
        <w:t>招标文件</w:t>
      </w:r>
    </w:p>
    <w:p w14:paraId="660EC1A0">
      <w:pPr>
        <w:jc w:val="center"/>
        <w:rPr>
          <w:rFonts w:hint="default" w:ascii="Times New Roman" w:hAnsi="Times New Roman" w:eastAsia="宋体" w:cs="Times New Roman"/>
          <w:b/>
          <w:color w:val="auto"/>
          <w:sz w:val="36"/>
          <w:szCs w:val="36"/>
          <w:lang w:val="en" w:eastAsia="zh-CN"/>
        </w:rPr>
      </w:pPr>
      <w:r>
        <w:rPr>
          <w:rFonts w:hint="default" w:ascii="Times New Roman" w:hAnsi="Times New Roman" w:eastAsia="宋体" w:cs="Times New Roman"/>
          <w:b/>
          <w:color w:val="auto"/>
          <w:sz w:val="36"/>
          <w:szCs w:val="36"/>
          <w:lang w:eastAsia="zh-CN"/>
        </w:rPr>
        <w:t>采购编号：</w:t>
      </w:r>
      <w:r>
        <w:rPr>
          <w:rFonts w:hint="default" w:ascii="Times New Roman" w:hAnsi="Times New Roman" w:eastAsia="宋体" w:cs="Times New Roman"/>
          <w:b/>
          <w:color w:val="auto"/>
          <w:sz w:val="36"/>
          <w:szCs w:val="36"/>
          <w:lang w:val="en" w:eastAsia="zh-CN"/>
        </w:rPr>
        <w:t>豫财招标采购-2025-791</w:t>
      </w:r>
    </w:p>
    <w:p w14:paraId="57112881">
      <w:pPr>
        <w:tabs>
          <w:tab w:val="left" w:pos="1950"/>
        </w:tabs>
        <w:jc w:val="left"/>
        <w:rPr>
          <w:rFonts w:hint="default" w:ascii="Times New Roman" w:hAnsi="Times New Roman" w:eastAsia="宋体" w:cs="Times New Roman"/>
          <w:b/>
          <w:bCs/>
          <w:color w:val="auto"/>
          <w:sz w:val="32"/>
          <w:szCs w:val="32"/>
          <w:lang w:val="en-US" w:eastAsia="zh-CN"/>
        </w:rPr>
      </w:pPr>
    </w:p>
    <w:p w14:paraId="3B2CD11F">
      <w:pPr>
        <w:spacing w:line="240" w:lineRule="atLeast"/>
        <w:ind w:left="1080" w:hanging="540"/>
        <w:jc w:val="center"/>
        <w:rPr>
          <w:rFonts w:hint="default" w:ascii="Times New Roman" w:hAnsi="Times New Roman" w:eastAsia="宋体" w:cs="Times New Roman"/>
          <w:b/>
          <w:bCs/>
          <w:color w:val="auto"/>
          <w:sz w:val="28"/>
          <w:szCs w:val="28"/>
        </w:rPr>
      </w:pPr>
      <w:r>
        <w:rPr>
          <w:rFonts w:hint="default" w:ascii="Times New Roman" w:hAnsi="Times New Roman" w:eastAsia="宋体" w:cs="Times New Roman"/>
          <w:color w:val="auto"/>
          <w:lang w:val="en-US" w:eastAsia="zh-CN"/>
        </w:rPr>
        <w:drawing>
          <wp:inline distT="0" distB="0" distL="114300" distR="114300">
            <wp:extent cx="1399540" cy="1399540"/>
            <wp:effectExtent l="0" t="0" r="1016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1399540" cy="1399540"/>
                    </a:xfrm>
                    <a:prstGeom prst="rect">
                      <a:avLst/>
                    </a:prstGeom>
                    <a:noFill/>
                    <a:ln>
                      <a:noFill/>
                    </a:ln>
                  </pic:spPr>
                </pic:pic>
              </a:graphicData>
            </a:graphic>
          </wp:inline>
        </w:drawing>
      </w:r>
    </w:p>
    <w:p w14:paraId="1E700493">
      <w:pPr>
        <w:spacing w:line="240" w:lineRule="atLeast"/>
        <w:ind w:left="1080" w:hanging="540"/>
        <w:jc w:val="center"/>
        <w:rPr>
          <w:rFonts w:hint="default" w:ascii="Times New Roman" w:hAnsi="Times New Roman" w:eastAsia="宋体" w:cs="Times New Roman"/>
          <w:b/>
          <w:bCs/>
          <w:color w:val="auto"/>
          <w:sz w:val="28"/>
          <w:szCs w:val="28"/>
          <w:lang w:val="en-US"/>
        </w:rPr>
      </w:pPr>
    </w:p>
    <w:p w14:paraId="2F4E8404">
      <w:pPr>
        <w:spacing w:line="240" w:lineRule="atLeast"/>
        <w:ind w:left="1080" w:hanging="540"/>
        <w:jc w:val="center"/>
        <w:rPr>
          <w:rFonts w:hint="default" w:ascii="Times New Roman" w:hAnsi="Times New Roman" w:eastAsia="宋体" w:cs="Times New Roman"/>
          <w:b/>
          <w:bCs/>
          <w:color w:val="auto"/>
          <w:sz w:val="28"/>
          <w:szCs w:val="28"/>
          <w:lang w:val="en-US"/>
        </w:rPr>
      </w:pPr>
    </w:p>
    <w:p w14:paraId="63C99946">
      <w:pPr>
        <w:pStyle w:val="97"/>
        <w:rPr>
          <w:rFonts w:hint="default" w:ascii="Times New Roman" w:hAnsi="Times New Roman" w:eastAsia="宋体" w:cs="Times New Roman"/>
          <w:b/>
          <w:bCs/>
          <w:color w:val="auto"/>
          <w:sz w:val="28"/>
          <w:szCs w:val="28"/>
          <w:lang w:val="en-US"/>
        </w:rPr>
      </w:pPr>
    </w:p>
    <w:p w14:paraId="7D6D7E3B">
      <w:pPr>
        <w:pStyle w:val="97"/>
        <w:rPr>
          <w:rFonts w:hint="default" w:ascii="Times New Roman" w:hAnsi="Times New Roman" w:eastAsia="宋体" w:cs="Times New Roman"/>
          <w:b/>
          <w:bCs/>
          <w:color w:val="auto"/>
          <w:sz w:val="28"/>
          <w:szCs w:val="28"/>
          <w:lang w:val="en-US"/>
        </w:rPr>
      </w:pPr>
    </w:p>
    <w:p w14:paraId="13535358">
      <w:pPr>
        <w:spacing w:line="240" w:lineRule="atLeast"/>
        <w:rPr>
          <w:rFonts w:hint="default" w:ascii="Times New Roman" w:hAnsi="Times New Roman" w:eastAsia="宋体" w:cs="Times New Roman"/>
          <w:b/>
          <w:bCs/>
          <w:color w:val="auto"/>
          <w:sz w:val="28"/>
          <w:szCs w:val="28"/>
          <w:lang w:val="en-US"/>
        </w:rPr>
      </w:pPr>
    </w:p>
    <w:p w14:paraId="03A38D53">
      <w:pPr>
        <w:spacing w:line="700" w:lineRule="exact"/>
        <w:ind w:left="1050" w:leftChars="500"/>
        <w:rPr>
          <w:rFonts w:hint="default" w:ascii="Times New Roman" w:hAnsi="Times New Roman" w:eastAsia="宋体" w:cs="Times New Roman"/>
          <w:b/>
          <w:color w:val="auto"/>
          <w:sz w:val="36"/>
          <w:szCs w:val="36"/>
          <w:lang w:val="en" w:eastAsia="zh-CN"/>
        </w:rPr>
      </w:pPr>
      <w:r>
        <w:rPr>
          <w:rFonts w:hint="default" w:ascii="Times New Roman" w:hAnsi="Times New Roman" w:eastAsia="宋体" w:cs="Times New Roman"/>
          <w:b/>
          <w:color w:val="auto"/>
          <w:sz w:val="36"/>
          <w:szCs w:val="36"/>
          <w:lang w:eastAsia="zh-CN"/>
        </w:rPr>
        <w:t>采   购   人：</w:t>
      </w:r>
      <w:r>
        <w:rPr>
          <w:rFonts w:hint="default" w:ascii="Times New Roman" w:hAnsi="Times New Roman" w:eastAsia="宋体" w:cs="Times New Roman"/>
          <w:b/>
          <w:color w:val="auto"/>
          <w:sz w:val="36"/>
          <w:szCs w:val="36"/>
          <w:lang w:val="en" w:eastAsia="zh-CN"/>
        </w:rPr>
        <w:t>河南工业和信息化职业学院</w:t>
      </w:r>
    </w:p>
    <w:p w14:paraId="479D9A0E">
      <w:pPr>
        <w:spacing w:line="700" w:lineRule="exact"/>
        <w:ind w:left="1050" w:leftChars="500"/>
        <w:rPr>
          <w:rFonts w:hint="default" w:ascii="Times New Roman" w:hAnsi="Times New Roman" w:eastAsia="宋体" w:cs="Times New Roman"/>
          <w:b/>
          <w:bCs/>
          <w:color w:val="auto"/>
          <w:spacing w:val="56"/>
          <w:sz w:val="36"/>
          <w:szCs w:val="36"/>
          <w:lang w:eastAsia="zh-CN"/>
        </w:rPr>
      </w:pPr>
      <w:r>
        <w:rPr>
          <w:rFonts w:hint="default" w:ascii="Times New Roman" w:hAnsi="Times New Roman" w:eastAsia="宋体" w:cs="Times New Roman"/>
          <w:b/>
          <w:color w:val="auto"/>
          <w:sz w:val="36"/>
          <w:szCs w:val="36"/>
          <w:lang w:eastAsia="zh-CN"/>
        </w:rPr>
        <w:t>集中采购机构：河南省公共资源交易中心</w:t>
      </w:r>
    </w:p>
    <w:p w14:paraId="05E69C41">
      <w:pPr>
        <w:jc w:val="center"/>
        <w:rPr>
          <w:rFonts w:hint="default" w:ascii="Times New Roman" w:hAnsi="Times New Roman" w:eastAsia="宋体" w:cs="Times New Roman"/>
          <w:b/>
          <w:bCs/>
          <w:color w:val="auto"/>
          <w:lang w:val="en-US" w:eastAsia="zh-CN"/>
        </w:rPr>
      </w:pPr>
    </w:p>
    <w:p w14:paraId="4C689698">
      <w:pPr>
        <w:spacing w:line="240" w:lineRule="atLeast"/>
        <w:jc w:val="center"/>
        <w:rPr>
          <w:rFonts w:hint="default" w:ascii="Times New Roman" w:hAnsi="Times New Roman" w:eastAsia="宋体" w:cs="Times New Roman"/>
          <w:b/>
          <w:color w:val="auto"/>
          <w:sz w:val="36"/>
          <w:szCs w:val="36"/>
          <w:lang w:val="en"/>
        </w:rPr>
      </w:pPr>
      <w:r>
        <w:rPr>
          <w:rFonts w:hint="default" w:ascii="Times New Roman" w:hAnsi="Times New Roman" w:eastAsia="宋体" w:cs="Times New Roman"/>
          <w:b/>
          <w:bCs/>
          <w:color w:val="auto"/>
          <w:sz w:val="36"/>
          <w:szCs w:val="36"/>
          <w:lang w:val="en" w:eastAsia="zh-CN"/>
        </w:rPr>
        <w:t>2025年7月</w:t>
      </w:r>
    </w:p>
    <w:p w14:paraId="31BC49CF">
      <w:pPr>
        <w:rPr>
          <w:rFonts w:hint="default" w:ascii="Times New Roman" w:hAnsi="Times New Roman" w:eastAsia="宋体" w:cs="Times New Roman"/>
          <w:b/>
          <w:bCs/>
          <w:color w:val="auto"/>
          <w:sz w:val="48"/>
          <w:szCs w:val="48"/>
          <w:lang w:val="en-US" w:eastAsia="zh-CN"/>
        </w:rPr>
      </w:pPr>
      <w:r>
        <w:rPr>
          <w:rFonts w:hint="default" w:ascii="Times New Roman" w:hAnsi="Times New Roman" w:eastAsia="宋体" w:cs="Times New Roman"/>
          <w:b/>
          <w:bCs/>
          <w:color w:val="auto"/>
          <w:sz w:val="48"/>
          <w:szCs w:val="48"/>
          <w:lang w:val="en-US" w:eastAsia="zh-CN"/>
        </w:rPr>
        <w:br w:type="page"/>
      </w:r>
    </w:p>
    <w:p w14:paraId="4D5247B2">
      <w:pPr>
        <w:spacing w:line="240" w:lineRule="atLeast"/>
        <w:jc w:val="center"/>
        <w:rPr>
          <w:rFonts w:hint="default" w:ascii="Times New Roman" w:hAnsi="Times New Roman" w:eastAsia="宋体" w:cs="Times New Roman"/>
          <w:b/>
          <w:bCs/>
          <w:color w:val="auto"/>
          <w:sz w:val="52"/>
          <w:szCs w:val="52"/>
          <w:lang w:val="en-US" w:eastAsia="zh-CN"/>
        </w:rPr>
      </w:pPr>
      <w:r>
        <w:rPr>
          <w:rFonts w:hint="default" w:ascii="Times New Roman" w:hAnsi="Times New Roman" w:eastAsia="宋体" w:cs="Times New Roman"/>
          <w:b/>
          <w:bCs/>
          <w:color w:val="auto"/>
          <w:sz w:val="48"/>
          <w:szCs w:val="48"/>
          <w:lang w:val="en-US" w:eastAsia="zh-CN"/>
        </w:rPr>
        <w:t>目 录</w:t>
      </w:r>
    </w:p>
    <w:p w14:paraId="662A16FE">
      <w:pPr>
        <w:pStyle w:val="31"/>
        <w:tabs>
          <w:tab w:val="right" w:leader="dot" w:pos="8929"/>
        </w:tabs>
        <w:rPr>
          <w:rFonts w:hint="default" w:ascii="Times New Roman" w:hAnsi="Times New Roman" w:cs="Times New Roman"/>
          <w:color w:val="auto"/>
          <w:sz w:val="32"/>
          <w:szCs w:val="32"/>
        </w:rPr>
      </w:pPr>
      <w:bookmarkStart w:id="0" w:name="_Toc349457307"/>
      <w:r>
        <w:rPr>
          <w:rFonts w:hint="default" w:ascii="Times New Roman" w:hAnsi="Times New Roman" w:eastAsia="方正黑体_GBK" w:cs="Times New Roman"/>
          <w:color w:val="auto"/>
          <w:sz w:val="32"/>
          <w:szCs w:val="32"/>
        </w:rPr>
        <w:fldChar w:fldCharType="begin"/>
      </w:r>
      <w:r>
        <w:rPr>
          <w:rFonts w:hint="default" w:ascii="Times New Roman" w:hAnsi="Times New Roman" w:eastAsia="方正黑体_GBK" w:cs="Times New Roman"/>
          <w:color w:val="auto"/>
          <w:sz w:val="32"/>
          <w:szCs w:val="32"/>
        </w:rPr>
        <w:instrText xml:space="preserve">TOC \o "1-1" \h \u </w:instrText>
      </w:r>
      <w:r>
        <w:rPr>
          <w:rFonts w:hint="default" w:ascii="Times New Roman" w:hAnsi="Times New Roman" w:eastAsia="方正黑体_GBK" w:cs="Times New Roman"/>
          <w:color w:val="auto"/>
          <w:sz w:val="32"/>
          <w:szCs w:val="32"/>
        </w:rPr>
        <w:fldChar w:fldCharType="separate"/>
      </w:r>
      <w:r>
        <w:rPr>
          <w:rFonts w:hint="default" w:ascii="Times New Roman" w:hAnsi="Times New Roman" w:eastAsia="方正黑体_GBK" w:cs="Times New Roman"/>
          <w:color w:val="auto"/>
          <w:sz w:val="32"/>
          <w:szCs w:val="32"/>
        </w:rPr>
        <w:fldChar w:fldCharType="begin"/>
      </w:r>
      <w:r>
        <w:rPr>
          <w:rFonts w:hint="default" w:ascii="Times New Roman" w:hAnsi="Times New Roman" w:eastAsia="方正黑体_GBK" w:cs="Times New Roman"/>
          <w:color w:val="auto"/>
          <w:sz w:val="32"/>
          <w:szCs w:val="32"/>
        </w:rPr>
        <w:instrText xml:space="preserve"> HYPERLINK \l _Toc26819 </w:instrText>
      </w:r>
      <w:r>
        <w:rPr>
          <w:rFonts w:hint="default" w:ascii="Times New Roman" w:hAnsi="Times New Roman" w:eastAsia="方正黑体_GBK" w:cs="Times New Roman"/>
          <w:color w:val="auto"/>
          <w:sz w:val="32"/>
          <w:szCs w:val="32"/>
        </w:rPr>
        <w:fldChar w:fldCharType="separate"/>
      </w:r>
      <w:r>
        <w:rPr>
          <w:rFonts w:hint="default" w:ascii="Times New Roman" w:hAnsi="Times New Roman" w:eastAsia="宋体" w:cs="Times New Roman"/>
          <w:color w:val="auto"/>
          <w:sz w:val="32"/>
          <w:szCs w:val="32"/>
          <w:lang w:eastAsia="zh-CN"/>
        </w:rPr>
        <w:t>第一章 投标邀请</w:t>
      </w:r>
      <w:r>
        <w:rPr>
          <w:rFonts w:hint="default" w:ascii="Times New Roman" w:hAnsi="Times New Roman" w:cs="Times New Roman"/>
          <w:color w:val="auto"/>
          <w:sz w:val="32"/>
          <w:szCs w:val="32"/>
        </w:rPr>
        <w:tab/>
      </w:r>
      <w:r>
        <w:rPr>
          <w:rFonts w:hint="default" w:ascii="Times New Roman" w:hAnsi="Times New Roman" w:cs="Times New Roman"/>
          <w:color w:val="auto"/>
          <w:sz w:val="32"/>
          <w:szCs w:val="32"/>
        </w:rPr>
        <w:fldChar w:fldCharType="begin"/>
      </w:r>
      <w:r>
        <w:rPr>
          <w:rFonts w:hint="default" w:ascii="Times New Roman" w:hAnsi="Times New Roman" w:cs="Times New Roman"/>
          <w:color w:val="auto"/>
          <w:sz w:val="32"/>
          <w:szCs w:val="32"/>
        </w:rPr>
        <w:instrText xml:space="preserve"> PAGEREF _Toc26819 \h </w:instrText>
      </w:r>
      <w:r>
        <w:rPr>
          <w:rFonts w:hint="default" w:ascii="Times New Roman" w:hAnsi="Times New Roman" w:cs="Times New Roman"/>
          <w:color w:val="auto"/>
          <w:sz w:val="32"/>
          <w:szCs w:val="32"/>
        </w:rPr>
        <w:fldChar w:fldCharType="separate"/>
      </w:r>
      <w:r>
        <w:rPr>
          <w:rFonts w:hint="default" w:ascii="Times New Roman" w:hAnsi="Times New Roman" w:cs="Times New Roman"/>
          <w:color w:val="auto"/>
          <w:sz w:val="32"/>
          <w:szCs w:val="32"/>
        </w:rPr>
        <w:t>3</w:t>
      </w:r>
      <w:r>
        <w:rPr>
          <w:rFonts w:hint="default" w:ascii="Times New Roman" w:hAnsi="Times New Roman" w:cs="Times New Roman"/>
          <w:color w:val="auto"/>
          <w:sz w:val="32"/>
          <w:szCs w:val="32"/>
        </w:rPr>
        <w:fldChar w:fldCharType="end"/>
      </w:r>
      <w:r>
        <w:rPr>
          <w:rFonts w:hint="default" w:ascii="Times New Roman" w:hAnsi="Times New Roman" w:eastAsia="方正黑体_GBK" w:cs="Times New Roman"/>
          <w:color w:val="auto"/>
          <w:sz w:val="32"/>
          <w:szCs w:val="32"/>
        </w:rPr>
        <w:fldChar w:fldCharType="end"/>
      </w:r>
    </w:p>
    <w:p w14:paraId="63F7AA5E">
      <w:pPr>
        <w:pStyle w:val="31"/>
        <w:tabs>
          <w:tab w:val="right" w:leader="dot" w:pos="8929"/>
        </w:tabs>
        <w:rPr>
          <w:rFonts w:hint="default" w:ascii="Times New Roman" w:hAnsi="Times New Roman" w:cs="Times New Roman"/>
          <w:color w:val="auto"/>
          <w:sz w:val="32"/>
          <w:szCs w:val="32"/>
        </w:rPr>
      </w:pPr>
      <w:r>
        <w:rPr>
          <w:rFonts w:hint="default" w:ascii="Times New Roman" w:hAnsi="Times New Roman" w:eastAsia="方正黑体_GBK" w:cs="Times New Roman"/>
          <w:color w:val="auto"/>
          <w:sz w:val="32"/>
          <w:szCs w:val="32"/>
        </w:rPr>
        <w:fldChar w:fldCharType="begin"/>
      </w:r>
      <w:r>
        <w:rPr>
          <w:rFonts w:hint="default" w:ascii="Times New Roman" w:hAnsi="Times New Roman" w:eastAsia="方正黑体_GBK" w:cs="Times New Roman"/>
          <w:color w:val="auto"/>
          <w:sz w:val="32"/>
          <w:szCs w:val="32"/>
        </w:rPr>
        <w:instrText xml:space="preserve"> HYPERLINK \l _Toc18210 </w:instrText>
      </w:r>
      <w:r>
        <w:rPr>
          <w:rFonts w:hint="default" w:ascii="Times New Roman" w:hAnsi="Times New Roman" w:eastAsia="方正黑体_GBK" w:cs="Times New Roman"/>
          <w:color w:val="auto"/>
          <w:sz w:val="32"/>
          <w:szCs w:val="32"/>
        </w:rPr>
        <w:fldChar w:fldCharType="separate"/>
      </w:r>
      <w:r>
        <w:rPr>
          <w:rFonts w:hint="default" w:ascii="Times New Roman" w:hAnsi="Times New Roman" w:eastAsia="宋体" w:cs="Times New Roman"/>
          <w:color w:val="auto"/>
          <w:sz w:val="32"/>
          <w:szCs w:val="32"/>
          <w:lang w:eastAsia="zh-CN"/>
        </w:rPr>
        <w:t>第二章 投标人须知前附表</w:t>
      </w:r>
      <w:r>
        <w:rPr>
          <w:rFonts w:hint="default" w:ascii="Times New Roman" w:hAnsi="Times New Roman" w:cs="Times New Roman"/>
          <w:color w:val="auto"/>
          <w:sz w:val="32"/>
          <w:szCs w:val="32"/>
        </w:rPr>
        <w:tab/>
      </w:r>
      <w:r>
        <w:rPr>
          <w:rFonts w:hint="default" w:ascii="Times New Roman" w:hAnsi="Times New Roman" w:cs="Times New Roman"/>
          <w:color w:val="auto"/>
          <w:sz w:val="32"/>
          <w:szCs w:val="32"/>
        </w:rPr>
        <w:fldChar w:fldCharType="begin"/>
      </w:r>
      <w:r>
        <w:rPr>
          <w:rFonts w:hint="default" w:ascii="Times New Roman" w:hAnsi="Times New Roman" w:cs="Times New Roman"/>
          <w:color w:val="auto"/>
          <w:sz w:val="32"/>
          <w:szCs w:val="32"/>
        </w:rPr>
        <w:instrText xml:space="preserve"> PAGEREF _Toc18210 \h </w:instrText>
      </w:r>
      <w:r>
        <w:rPr>
          <w:rFonts w:hint="default" w:ascii="Times New Roman" w:hAnsi="Times New Roman" w:cs="Times New Roman"/>
          <w:color w:val="auto"/>
          <w:sz w:val="32"/>
          <w:szCs w:val="32"/>
        </w:rPr>
        <w:fldChar w:fldCharType="separate"/>
      </w:r>
      <w:r>
        <w:rPr>
          <w:rFonts w:hint="default" w:ascii="Times New Roman" w:hAnsi="Times New Roman" w:cs="Times New Roman"/>
          <w:color w:val="auto"/>
          <w:sz w:val="32"/>
          <w:szCs w:val="32"/>
        </w:rPr>
        <w:t>6</w:t>
      </w:r>
      <w:r>
        <w:rPr>
          <w:rFonts w:hint="default" w:ascii="Times New Roman" w:hAnsi="Times New Roman" w:cs="Times New Roman"/>
          <w:color w:val="auto"/>
          <w:sz w:val="32"/>
          <w:szCs w:val="32"/>
        </w:rPr>
        <w:fldChar w:fldCharType="end"/>
      </w:r>
      <w:r>
        <w:rPr>
          <w:rFonts w:hint="default" w:ascii="Times New Roman" w:hAnsi="Times New Roman" w:eastAsia="方正黑体_GBK" w:cs="Times New Roman"/>
          <w:color w:val="auto"/>
          <w:sz w:val="32"/>
          <w:szCs w:val="32"/>
        </w:rPr>
        <w:fldChar w:fldCharType="end"/>
      </w:r>
    </w:p>
    <w:p w14:paraId="2DB7BF31">
      <w:pPr>
        <w:pStyle w:val="31"/>
        <w:tabs>
          <w:tab w:val="right" w:leader="dot" w:pos="8929"/>
        </w:tabs>
        <w:rPr>
          <w:rFonts w:hint="default" w:ascii="Times New Roman" w:hAnsi="Times New Roman" w:cs="Times New Roman"/>
          <w:color w:val="auto"/>
          <w:sz w:val="32"/>
          <w:szCs w:val="32"/>
        </w:rPr>
      </w:pPr>
      <w:r>
        <w:rPr>
          <w:rFonts w:hint="default" w:ascii="Times New Roman" w:hAnsi="Times New Roman" w:eastAsia="方正黑体_GBK" w:cs="Times New Roman"/>
          <w:color w:val="auto"/>
          <w:sz w:val="32"/>
          <w:szCs w:val="32"/>
        </w:rPr>
        <w:fldChar w:fldCharType="begin"/>
      </w:r>
      <w:r>
        <w:rPr>
          <w:rFonts w:hint="default" w:ascii="Times New Roman" w:hAnsi="Times New Roman" w:eastAsia="方正黑体_GBK" w:cs="Times New Roman"/>
          <w:color w:val="auto"/>
          <w:sz w:val="32"/>
          <w:szCs w:val="32"/>
        </w:rPr>
        <w:instrText xml:space="preserve"> HYPERLINK \l _Toc10558 </w:instrText>
      </w:r>
      <w:r>
        <w:rPr>
          <w:rFonts w:hint="default" w:ascii="Times New Roman" w:hAnsi="Times New Roman" w:eastAsia="方正黑体_GBK" w:cs="Times New Roman"/>
          <w:color w:val="auto"/>
          <w:sz w:val="32"/>
          <w:szCs w:val="32"/>
        </w:rPr>
        <w:fldChar w:fldCharType="separate"/>
      </w:r>
      <w:r>
        <w:rPr>
          <w:rFonts w:hint="default" w:ascii="Times New Roman" w:hAnsi="Times New Roman" w:eastAsia="宋体" w:cs="Times New Roman"/>
          <w:color w:val="auto"/>
          <w:sz w:val="32"/>
          <w:szCs w:val="32"/>
          <w:lang w:val="en-US" w:eastAsia="zh-CN"/>
        </w:rPr>
        <w:t xml:space="preserve">第三章 </w:t>
      </w:r>
      <w:r>
        <w:rPr>
          <w:rFonts w:hint="default" w:ascii="Times New Roman" w:hAnsi="Times New Roman" w:eastAsia="宋体" w:cs="Times New Roman"/>
          <w:color w:val="auto"/>
          <w:sz w:val="32"/>
          <w:szCs w:val="32"/>
          <w:lang w:eastAsia="zh-CN"/>
        </w:rPr>
        <w:t>投标人须知</w:t>
      </w:r>
      <w:r>
        <w:rPr>
          <w:rFonts w:hint="default" w:ascii="Times New Roman" w:hAnsi="Times New Roman" w:cs="Times New Roman"/>
          <w:color w:val="auto"/>
          <w:sz w:val="32"/>
          <w:szCs w:val="32"/>
        </w:rPr>
        <w:tab/>
      </w:r>
      <w:r>
        <w:rPr>
          <w:rFonts w:hint="default" w:ascii="Times New Roman" w:hAnsi="Times New Roman" w:cs="Times New Roman"/>
          <w:color w:val="auto"/>
          <w:sz w:val="32"/>
          <w:szCs w:val="32"/>
        </w:rPr>
        <w:fldChar w:fldCharType="begin"/>
      </w:r>
      <w:r>
        <w:rPr>
          <w:rFonts w:hint="default" w:ascii="Times New Roman" w:hAnsi="Times New Roman" w:cs="Times New Roman"/>
          <w:color w:val="auto"/>
          <w:sz w:val="32"/>
          <w:szCs w:val="32"/>
        </w:rPr>
        <w:instrText xml:space="preserve"> PAGEREF _Toc10558 \h </w:instrText>
      </w:r>
      <w:r>
        <w:rPr>
          <w:rFonts w:hint="default" w:ascii="Times New Roman" w:hAnsi="Times New Roman" w:cs="Times New Roman"/>
          <w:color w:val="auto"/>
          <w:sz w:val="32"/>
          <w:szCs w:val="32"/>
        </w:rPr>
        <w:fldChar w:fldCharType="separate"/>
      </w:r>
      <w:r>
        <w:rPr>
          <w:rFonts w:hint="default" w:ascii="Times New Roman" w:hAnsi="Times New Roman" w:cs="Times New Roman"/>
          <w:color w:val="auto"/>
          <w:sz w:val="32"/>
          <w:szCs w:val="32"/>
        </w:rPr>
        <w:t>13</w:t>
      </w:r>
      <w:r>
        <w:rPr>
          <w:rFonts w:hint="default" w:ascii="Times New Roman" w:hAnsi="Times New Roman" w:cs="Times New Roman"/>
          <w:color w:val="auto"/>
          <w:sz w:val="32"/>
          <w:szCs w:val="32"/>
        </w:rPr>
        <w:fldChar w:fldCharType="end"/>
      </w:r>
      <w:r>
        <w:rPr>
          <w:rFonts w:hint="default" w:ascii="Times New Roman" w:hAnsi="Times New Roman" w:eastAsia="方正黑体_GBK" w:cs="Times New Roman"/>
          <w:color w:val="auto"/>
          <w:sz w:val="32"/>
          <w:szCs w:val="32"/>
        </w:rPr>
        <w:fldChar w:fldCharType="end"/>
      </w:r>
    </w:p>
    <w:p w14:paraId="57363DD7">
      <w:pPr>
        <w:pStyle w:val="31"/>
        <w:tabs>
          <w:tab w:val="right" w:leader="dot" w:pos="8929"/>
        </w:tabs>
        <w:rPr>
          <w:rFonts w:hint="default" w:ascii="Times New Roman" w:hAnsi="Times New Roman" w:cs="Times New Roman"/>
          <w:color w:val="auto"/>
          <w:sz w:val="32"/>
          <w:szCs w:val="32"/>
        </w:rPr>
      </w:pPr>
      <w:r>
        <w:rPr>
          <w:rFonts w:hint="default" w:ascii="Times New Roman" w:hAnsi="Times New Roman" w:eastAsia="方正黑体_GBK" w:cs="Times New Roman"/>
          <w:color w:val="auto"/>
          <w:sz w:val="32"/>
          <w:szCs w:val="32"/>
        </w:rPr>
        <w:fldChar w:fldCharType="begin"/>
      </w:r>
      <w:r>
        <w:rPr>
          <w:rFonts w:hint="default" w:ascii="Times New Roman" w:hAnsi="Times New Roman" w:eastAsia="方正黑体_GBK" w:cs="Times New Roman"/>
          <w:color w:val="auto"/>
          <w:sz w:val="32"/>
          <w:szCs w:val="32"/>
        </w:rPr>
        <w:instrText xml:space="preserve"> HYPERLINK \l _Toc26100 </w:instrText>
      </w:r>
      <w:r>
        <w:rPr>
          <w:rFonts w:hint="default" w:ascii="Times New Roman" w:hAnsi="Times New Roman" w:eastAsia="方正黑体_GBK" w:cs="Times New Roman"/>
          <w:color w:val="auto"/>
          <w:sz w:val="32"/>
          <w:szCs w:val="32"/>
        </w:rPr>
        <w:fldChar w:fldCharType="separate"/>
      </w:r>
      <w:r>
        <w:rPr>
          <w:rFonts w:hint="default" w:ascii="Times New Roman" w:hAnsi="Times New Roman" w:eastAsia="宋体" w:cs="Times New Roman"/>
          <w:color w:val="auto"/>
          <w:sz w:val="32"/>
          <w:szCs w:val="32"/>
          <w:lang w:val="en-US" w:eastAsia="zh-CN"/>
        </w:rPr>
        <w:t xml:space="preserve">第四章 </w:t>
      </w:r>
      <w:r>
        <w:rPr>
          <w:rFonts w:hint="default" w:ascii="Times New Roman" w:hAnsi="Times New Roman" w:eastAsia="宋体" w:cs="Times New Roman"/>
          <w:color w:val="auto"/>
          <w:sz w:val="32"/>
          <w:szCs w:val="32"/>
          <w:lang w:eastAsia="zh-CN"/>
        </w:rPr>
        <w:t>资格证明文件格式</w:t>
      </w:r>
      <w:r>
        <w:rPr>
          <w:rFonts w:hint="default" w:ascii="Times New Roman" w:hAnsi="Times New Roman" w:cs="Times New Roman"/>
          <w:color w:val="auto"/>
          <w:sz w:val="32"/>
          <w:szCs w:val="32"/>
        </w:rPr>
        <w:tab/>
      </w:r>
      <w:r>
        <w:rPr>
          <w:rFonts w:hint="default" w:ascii="Times New Roman" w:hAnsi="Times New Roman" w:cs="Times New Roman"/>
          <w:color w:val="auto"/>
          <w:sz w:val="32"/>
          <w:szCs w:val="32"/>
        </w:rPr>
        <w:fldChar w:fldCharType="begin"/>
      </w:r>
      <w:r>
        <w:rPr>
          <w:rFonts w:hint="default" w:ascii="Times New Roman" w:hAnsi="Times New Roman" w:cs="Times New Roman"/>
          <w:color w:val="auto"/>
          <w:sz w:val="32"/>
          <w:szCs w:val="32"/>
        </w:rPr>
        <w:instrText xml:space="preserve"> PAGEREF _Toc26100 \h </w:instrText>
      </w:r>
      <w:r>
        <w:rPr>
          <w:rFonts w:hint="default" w:ascii="Times New Roman" w:hAnsi="Times New Roman" w:cs="Times New Roman"/>
          <w:color w:val="auto"/>
          <w:sz w:val="32"/>
          <w:szCs w:val="32"/>
        </w:rPr>
        <w:fldChar w:fldCharType="separate"/>
      </w:r>
      <w:r>
        <w:rPr>
          <w:rFonts w:hint="default" w:ascii="Times New Roman" w:hAnsi="Times New Roman" w:cs="Times New Roman"/>
          <w:color w:val="auto"/>
          <w:sz w:val="32"/>
          <w:szCs w:val="32"/>
        </w:rPr>
        <w:t>29</w:t>
      </w:r>
      <w:r>
        <w:rPr>
          <w:rFonts w:hint="default" w:ascii="Times New Roman" w:hAnsi="Times New Roman" w:cs="Times New Roman"/>
          <w:color w:val="auto"/>
          <w:sz w:val="32"/>
          <w:szCs w:val="32"/>
        </w:rPr>
        <w:fldChar w:fldCharType="end"/>
      </w:r>
      <w:r>
        <w:rPr>
          <w:rFonts w:hint="default" w:ascii="Times New Roman" w:hAnsi="Times New Roman" w:eastAsia="方正黑体_GBK" w:cs="Times New Roman"/>
          <w:color w:val="auto"/>
          <w:sz w:val="32"/>
          <w:szCs w:val="32"/>
        </w:rPr>
        <w:fldChar w:fldCharType="end"/>
      </w:r>
    </w:p>
    <w:p w14:paraId="05AF8D24">
      <w:pPr>
        <w:pStyle w:val="31"/>
        <w:tabs>
          <w:tab w:val="right" w:leader="dot" w:pos="8929"/>
        </w:tabs>
        <w:rPr>
          <w:rFonts w:hint="default" w:ascii="Times New Roman" w:hAnsi="Times New Roman" w:cs="Times New Roman"/>
          <w:color w:val="auto"/>
          <w:sz w:val="32"/>
          <w:szCs w:val="32"/>
        </w:rPr>
      </w:pPr>
      <w:r>
        <w:rPr>
          <w:rFonts w:hint="default" w:ascii="Times New Roman" w:hAnsi="Times New Roman" w:eastAsia="方正黑体_GBK" w:cs="Times New Roman"/>
          <w:color w:val="auto"/>
          <w:sz w:val="32"/>
          <w:szCs w:val="32"/>
        </w:rPr>
        <w:fldChar w:fldCharType="begin"/>
      </w:r>
      <w:r>
        <w:rPr>
          <w:rFonts w:hint="default" w:ascii="Times New Roman" w:hAnsi="Times New Roman" w:eastAsia="方正黑体_GBK" w:cs="Times New Roman"/>
          <w:color w:val="auto"/>
          <w:sz w:val="32"/>
          <w:szCs w:val="32"/>
        </w:rPr>
        <w:instrText xml:space="preserve"> HYPERLINK \l _Toc13985 </w:instrText>
      </w:r>
      <w:r>
        <w:rPr>
          <w:rFonts w:hint="default" w:ascii="Times New Roman" w:hAnsi="Times New Roman" w:eastAsia="方正黑体_GBK" w:cs="Times New Roman"/>
          <w:color w:val="auto"/>
          <w:sz w:val="32"/>
          <w:szCs w:val="32"/>
        </w:rPr>
        <w:fldChar w:fldCharType="separate"/>
      </w:r>
      <w:r>
        <w:rPr>
          <w:rFonts w:hint="default" w:ascii="Times New Roman" w:hAnsi="Times New Roman" w:eastAsia="宋体" w:cs="Times New Roman"/>
          <w:color w:val="auto"/>
          <w:sz w:val="32"/>
          <w:szCs w:val="32"/>
          <w:lang w:eastAsia="zh-CN"/>
        </w:rPr>
        <w:t>第五章 投标文件格式</w:t>
      </w:r>
      <w:r>
        <w:rPr>
          <w:rFonts w:hint="default" w:ascii="Times New Roman" w:hAnsi="Times New Roman" w:cs="Times New Roman"/>
          <w:color w:val="auto"/>
          <w:sz w:val="32"/>
          <w:szCs w:val="32"/>
        </w:rPr>
        <w:tab/>
      </w:r>
      <w:r>
        <w:rPr>
          <w:rFonts w:hint="default" w:ascii="Times New Roman" w:hAnsi="Times New Roman" w:cs="Times New Roman"/>
          <w:color w:val="auto"/>
          <w:sz w:val="32"/>
          <w:szCs w:val="32"/>
        </w:rPr>
        <w:fldChar w:fldCharType="begin"/>
      </w:r>
      <w:r>
        <w:rPr>
          <w:rFonts w:hint="default" w:ascii="Times New Roman" w:hAnsi="Times New Roman" w:cs="Times New Roman"/>
          <w:color w:val="auto"/>
          <w:sz w:val="32"/>
          <w:szCs w:val="32"/>
        </w:rPr>
        <w:instrText xml:space="preserve"> PAGEREF _Toc13985 \h </w:instrText>
      </w:r>
      <w:r>
        <w:rPr>
          <w:rFonts w:hint="default" w:ascii="Times New Roman" w:hAnsi="Times New Roman" w:cs="Times New Roman"/>
          <w:color w:val="auto"/>
          <w:sz w:val="32"/>
          <w:szCs w:val="32"/>
        </w:rPr>
        <w:fldChar w:fldCharType="separate"/>
      </w:r>
      <w:r>
        <w:rPr>
          <w:rFonts w:hint="default" w:ascii="Times New Roman" w:hAnsi="Times New Roman" w:cs="Times New Roman"/>
          <w:color w:val="auto"/>
          <w:sz w:val="32"/>
          <w:szCs w:val="32"/>
        </w:rPr>
        <w:t>38</w:t>
      </w:r>
      <w:r>
        <w:rPr>
          <w:rFonts w:hint="default" w:ascii="Times New Roman" w:hAnsi="Times New Roman" w:cs="Times New Roman"/>
          <w:color w:val="auto"/>
          <w:sz w:val="32"/>
          <w:szCs w:val="32"/>
        </w:rPr>
        <w:fldChar w:fldCharType="end"/>
      </w:r>
      <w:r>
        <w:rPr>
          <w:rFonts w:hint="default" w:ascii="Times New Roman" w:hAnsi="Times New Roman" w:eastAsia="方正黑体_GBK" w:cs="Times New Roman"/>
          <w:color w:val="auto"/>
          <w:sz w:val="32"/>
          <w:szCs w:val="32"/>
        </w:rPr>
        <w:fldChar w:fldCharType="end"/>
      </w:r>
    </w:p>
    <w:p w14:paraId="778123DA">
      <w:pPr>
        <w:pStyle w:val="31"/>
        <w:tabs>
          <w:tab w:val="right" w:leader="dot" w:pos="8929"/>
        </w:tabs>
        <w:rPr>
          <w:rFonts w:hint="default" w:ascii="Times New Roman" w:hAnsi="Times New Roman" w:cs="Times New Roman"/>
          <w:color w:val="auto"/>
          <w:sz w:val="32"/>
          <w:szCs w:val="32"/>
        </w:rPr>
      </w:pPr>
      <w:r>
        <w:rPr>
          <w:rFonts w:hint="default" w:ascii="Times New Roman" w:hAnsi="Times New Roman" w:eastAsia="方正黑体_GBK" w:cs="Times New Roman"/>
          <w:color w:val="auto"/>
          <w:sz w:val="32"/>
          <w:szCs w:val="32"/>
        </w:rPr>
        <w:fldChar w:fldCharType="begin"/>
      </w:r>
      <w:r>
        <w:rPr>
          <w:rFonts w:hint="default" w:ascii="Times New Roman" w:hAnsi="Times New Roman" w:eastAsia="方正黑体_GBK" w:cs="Times New Roman"/>
          <w:color w:val="auto"/>
          <w:sz w:val="32"/>
          <w:szCs w:val="32"/>
        </w:rPr>
        <w:instrText xml:space="preserve"> HYPERLINK \l _Toc24672 </w:instrText>
      </w:r>
      <w:r>
        <w:rPr>
          <w:rFonts w:hint="default" w:ascii="Times New Roman" w:hAnsi="Times New Roman" w:eastAsia="方正黑体_GBK" w:cs="Times New Roman"/>
          <w:color w:val="auto"/>
          <w:sz w:val="32"/>
          <w:szCs w:val="32"/>
        </w:rPr>
        <w:fldChar w:fldCharType="separate"/>
      </w:r>
      <w:r>
        <w:rPr>
          <w:rFonts w:hint="default" w:ascii="Times New Roman" w:hAnsi="Times New Roman" w:eastAsia="宋体" w:cs="Times New Roman"/>
          <w:color w:val="auto"/>
          <w:sz w:val="32"/>
          <w:szCs w:val="32"/>
          <w:lang w:eastAsia="zh-CN"/>
        </w:rPr>
        <w:t>第六章</w:t>
      </w:r>
      <w:r>
        <w:rPr>
          <w:rFonts w:hint="default" w:ascii="Times New Roman" w:hAnsi="Times New Roman" w:eastAsia="宋体" w:cs="Times New Roman"/>
          <w:color w:val="auto"/>
          <w:sz w:val="32"/>
          <w:szCs w:val="32"/>
          <w:lang w:val="en-US" w:eastAsia="zh-CN"/>
        </w:rPr>
        <w:t xml:space="preserve"> </w:t>
      </w:r>
      <w:r>
        <w:rPr>
          <w:rFonts w:hint="default" w:ascii="Times New Roman" w:hAnsi="Times New Roman" w:eastAsia="宋体" w:cs="Times New Roman"/>
          <w:color w:val="auto"/>
          <w:sz w:val="32"/>
          <w:szCs w:val="32"/>
          <w:lang w:eastAsia="zh-CN"/>
        </w:rPr>
        <w:t>项目需求及有关要求</w:t>
      </w:r>
      <w:r>
        <w:rPr>
          <w:rFonts w:hint="default" w:ascii="Times New Roman" w:hAnsi="Times New Roman" w:cs="Times New Roman"/>
          <w:color w:val="auto"/>
          <w:sz w:val="32"/>
          <w:szCs w:val="32"/>
        </w:rPr>
        <w:tab/>
      </w:r>
      <w:r>
        <w:rPr>
          <w:rFonts w:hint="default" w:ascii="Times New Roman" w:hAnsi="Times New Roman" w:cs="Times New Roman"/>
          <w:color w:val="auto"/>
          <w:sz w:val="32"/>
          <w:szCs w:val="32"/>
        </w:rPr>
        <w:fldChar w:fldCharType="begin"/>
      </w:r>
      <w:r>
        <w:rPr>
          <w:rFonts w:hint="default" w:ascii="Times New Roman" w:hAnsi="Times New Roman" w:cs="Times New Roman"/>
          <w:color w:val="auto"/>
          <w:sz w:val="32"/>
          <w:szCs w:val="32"/>
        </w:rPr>
        <w:instrText xml:space="preserve"> PAGEREF _Toc24672 \h </w:instrText>
      </w:r>
      <w:r>
        <w:rPr>
          <w:rFonts w:hint="default" w:ascii="Times New Roman" w:hAnsi="Times New Roman" w:cs="Times New Roman"/>
          <w:color w:val="auto"/>
          <w:sz w:val="32"/>
          <w:szCs w:val="32"/>
        </w:rPr>
        <w:fldChar w:fldCharType="separate"/>
      </w:r>
      <w:r>
        <w:rPr>
          <w:rFonts w:hint="default" w:ascii="Times New Roman" w:hAnsi="Times New Roman" w:cs="Times New Roman"/>
          <w:color w:val="auto"/>
          <w:sz w:val="32"/>
          <w:szCs w:val="32"/>
        </w:rPr>
        <w:t>51</w:t>
      </w:r>
      <w:r>
        <w:rPr>
          <w:rFonts w:hint="default" w:ascii="Times New Roman" w:hAnsi="Times New Roman" w:cs="Times New Roman"/>
          <w:color w:val="auto"/>
          <w:sz w:val="32"/>
          <w:szCs w:val="32"/>
        </w:rPr>
        <w:fldChar w:fldCharType="end"/>
      </w:r>
      <w:r>
        <w:rPr>
          <w:rFonts w:hint="default" w:ascii="Times New Roman" w:hAnsi="Times New Roman" w:eastAsia="方正黑体_GBK" w:cs="Times New Roman"/>
          <w:color w:val="auto"/>
          <w:sz w:val="32"/>
          <w:szCs w:val="32"/>
        </w:rPr>
        <w:fldChar w:fldCharType="end"/>
      </w:r>
    </w:p>
    <w:p w14:paraId="3033ABBE">
      <w:pPr>
        <w:pStyle w:val="31"/>
        <w:tabs>
          <w:tab w:val="right" w:leader="dot" w:pos="8929"/>
        </w:tabs>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32"/>
          <w:szCs w:val="32"/>
          <w:lang w:val="en-US" w:eastAsia="zh-CN"/>
        </w:rPr>
        <w:fldChar w:fldCharType="begin"/>
      </w:r>
      <w:r>
        <w:rPr>
          <w:rFonts w:hint="default" w:ascii="Times New Roman" w:hAnsi="Times New Roman" w:eastAsia="宋体" w:cs="Times New Roman"/>
          <w:color w:val="auto"/>
          <w:sz w:val="32"/>
          <w:szCs w:val="32"/>
          <w:lang w:val="en-US" w:eastAsia="zh-CN"/>
        </w:rPr>
        <w:instrText xml:space="preserve"> HYPERLINK \l _Toc16195 </w:instrText>
      </w:r>
      <w:r>
        <w:rPr>
          <w:rFonts w:hint="default" w:ascii="Times New Roman" w:hAnsi="Times New Roman" w:eastAsia="宋体" w:cs="Times New Roman"/>
          <w:color w:val="auto"/>
          <w:sz w:val="32"/>
          <w:szCs w:val="32"/>
          <w:lang w:val="en-US" w:eastAsia="zh-CN"/>
        </w:rPr>
        <w:fldChar w:fldCharType="separate"/>
      </w:r>
      <w:r>
        <w:rPr>
          <w:rFonts w:hint="default" w:ascii="Times New Roman" w:hAnsi="Times New Roman" w:eastAsia="宋体" w:cs="Times New Roman"/>
          <w:color w:val="auto"/>
          <w:sz w:val="32"/>
          <w:szCs w:val="32"/>
          <w:lang w:val="en-US" w:eastAsia="zh-CN"/>
        </w:rPr>
        <w:t>第七章 评标方法和标准</w:t>
      </w:r>
      <w:r>
        <w:rPr>
          <w:rFonts w:hint="default" w:ascii="Times New Roman" w:hAnsi="Times New Roman" w:eastAsia="宋体" w:cs="Times New Roman"/>
          <w:color w:val="auto"/>
          <w:sz w:val="32"/>
          <w:szCs w:val="32"/>
          <w:lang w:val="en-US" w:eastAsia="zh-CN"/>
        </w:rPr>
        <w:tab/>
      </w:r>
      <w:r>
        <w:rPr>
          <w:rFonts w:hint="default" w:ascii="Times New Roman" w:hAnsi="Times New Roman" w:eastAsia="宋体" w:cs="Times New Roman"/>
          <w:color w:val="auto"/>
          <w:sz w:val="32"/>
          <w:szCs w:val="32"/>
          <w:lang w:val="en-US" w:eastAsia="zh-CN"/>
        </w:rPr>
        <w:fldChar w:fldCharType="begin"/>
      </w:r>
      <w:r>
        <w:rPr>
          <w:rFonts w:hint="default" w:ascii="Times New Roman" w:hAnsi="Times New Roman" w:eastAsia="宋体" w:cs="Times New Roman"/>
          <w:color w:val="auto"/>
          <w:sz w:val="32"/>
          <w:szCs w:val="32"/>
          <w:lang w:val="en-US" w:eastAsia="zh-CN"/>
        </w:rPr>
        <w:instrText xml:space="preserve"> PAGEREF _Toc16195 \h </w:instrText>
      </w:r>
      <w:r>
        <w:rPr>
          <w:rFonts w:hint="default" w:ascii="Times New Roman" w:hAnsi="Times New Roman" w:eastAsia="宋体" w:cs="Times New Roman"/>
          <w:color w:val="auto"/>
          <w:sz w:val="32"/>
          <w:szCs w:val="32"/>
          <w:lang w:val="en-US" w:eastAsia="zh-CN"/>
        </w:rPr>
        <w:fldChar w:fldCharType="separate"/>
      </w:r>
      <w:r>
        <w:rPr>
          <w:rFonts w:hint="default" w:ascii="Times New Roman" w:hAnsi="Times New Roman" w:eastAsia="宋体" w:cs="Times New Roman"/>
          <w:color w:val="auto"/>
          <w:sz w:val="32"/>
          <w:szCs w:val="32"/>
          <w:lang w:val="en-US" w:eastAsia="zh-CN"/>
        </w:rPr>
        <w:t>63</w:t>
      </w:r>
      <w:r>
        <w:rPr>
          <w:rFonts w:hint="default" w:ascii="Times New Roman" w:hAnsi="Times New Roman" w:eastAsia="宋体" w:cs="Times New Roman"/>
          <w:color w:val="auto"/>
          <w:sz w:val="32"/>
          <w:szCs w:val="32"/>
          <w:lang w:val="en-US" w:eastAsia="zh-CN"/>
        </w:rPr>
        <w:fldChar w:fldCharType="end"/>
      </w:r>
      <w:r>
        <w:rPr>
          <w:rFonts w:hint="default" w:ascii="Times New Roman" w:hAnsi="Times New Roman" w:eastAsia="宋体" w:cs="Times New Roman"/>
          <w:color w:val="auto"/>
          <w:sz w:val="32"/>
          <w:szCs w:val="32"/>
          <w:lang w:val="en-US" w:eastAsia="zh-CN"/>
        </w:rPr>
        <w:fldChar w:fldCharType="end"/>
      </w:r>
    </w:p>
    <w:p w14:paraId="06616E92">
      <w:pPr>
        <w:pStyle w:val="31"/>
        <w:tabs>
          <w:tab w:val="right" w:leader="dot" w:pos="8929"/>
        </w:tabs>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32"/>
          <w:szCs w:val="32"/>
          <w:lang w:val="en-US" w:eastAsia="zh-CN"/>
        </w:rPr>
        <w:fldChar w:fldCharType="begin"/>
      </w:r>
      <w:r>
        <w:rPr>
          <w:rFonts w:hint="default" w:ascii="Times New Roman" w:hAnsi="Times New Roman" w:eastAsia="宋体" w:cs="Times New Roman"/>
          <w:color w:val="auto"/>
          <w:sz w:val="32"/>
          <w:szCs w:val="32"/>
          <w:lang w:val="en-US" w:eastAsia="zh-CN"/>
        </w:rPr>
        <w:instrText xml:space="preserve"> HYPERLINK \l _Toc16361 </w:instrText>
      </w:r>
      <w:r>
        <w:rPr>
          <w:rFonts w:hint="default" w:ascii="Times New Roman" w:hAnsi="Times New Roman" w:eastAsia="宋体" w:cs="Times New Roman"/>
          <w:color w:val="auto"/>
          <w:sz w:val="32"/>
          <w:szCs w:val="32"/>
          <w:lang w:val="en-US" w:eastAsia="zh-CN"/>
        </w:rPr>
        <w:fldChar w:fldCharType="separate"/>
      </w:r>
      <w:r>
        <w:rPr>
          <w:rFonts w:hint="default" w:ascii="Times New Roman" w:hAnsi="Times New Roman" w:eastAsia="宋体" w:cs="Times New Roman"/>
          <w:color w:val="auto"/>
          <w:sz w:val="32"/>
          <w:szCs w:val="32"/>
          <w:lang w:val="en-US" w:eastAsia="zh-CN"/>
        </w:rPr>
        <w:t>第八章 政府采购合同</w:t>
      </w:r>
      <w:r>
        <w:rPr>
          <w:rFonts w:hint="default" w:ascii="Times New Roman" w:hAnsi="Times New Roman" w:eastAsia="宋体" w:cs="Times New Roman"/>
          <w:color w:val="auto"/>
          <w:sz w:val="32"/>
          <w:szCs w:val="32"/>
          <w:lang w:val="en-US" w:eastAsia="zh-CN"/>
        </w:rPr>
        <w:tab/>
      </w:r>
      <w:r>
        <w:rPr>
          <w:rFonts w:hint="default" w:ascii="Times New Roman" w:hAnsi="Times New Roman" w:eastAsia="宋体" w:cs="Times New Roman"/>
          <w:color w:val="auto"/>
          <w:sz w:val="32"/>
          <w:szCs w:val="32"/>
          <w:lang w:val="en-US" w:eastAsia="zh-CN"/>
        </w:rPr>
        <w:fldChar w:fldCharType="begin"/>
      </w:r>
      <w:r>
        <w:rPr>
          <w:rFonts w:hint="default" w:ascii="Times New Roman" w:hAnsi="Times New Roman" w:eastAsia="宋体" w:cs="Times New Roman"/>
          <w:color w:val="auto"/>
          <w:sz w:val="32"/>
          <w:szCs w:val="32"/>
          <w:lang w:val="en-US" w:eastAsia="zh-CN"/>
        </w:rPr>
        <w:instrText xml:space="preserve"> PAGEREF _Toc16361 \h </w:instrText>
      </w:r>
      <w:r>
        <w:rPr>
          <w:rFonts w:hint="default" w:ascii="Times New Roman" w:hAnsi="Times New Roman" w:eastAsia="宋体" w:cs="Times New Roman"/>
          <w:color w:val="auto"/>
          <w:sz w:val="32"/>
          <w:szCs w:val="32"/>
          <w:lang w:val="en-US" w:eastAsia="zh-CN"/>
        </w:rPr>
        <w:fldChar w:fldCharType="separate"/>
      </w:r>
      <w:r>
        <w:rPr>
          <w:rFonts w:hint="default" w:ascii="Times New Roman" w:hAnsi="Times New Roman" w:eastAsia="宋体" w:cs="Times New Roman"/>
          <w:color w:val="auto"/>
          <w:sz w:val="32"/>
          <w:szCs w:val="32"/>
          <w:lang w:val="en-US" w:eastAsia="zh-CN"/>
        </w:rPr>
        <w:t>69</w:t>
      </w:r>
      <w:r>
        <w:rPr>
          <w:rFonts w:hint="default" w:ascii="Times New Roman" w:hAnsi="Times New Roman" w:eastAsia="宋体" w:cs="Times New Roman"/>
          <w:color w:val="auto"/>
          <w:sz w:val="32"/>
          <w:szCs w:val="32"/>
          <w:lang w:val="en-US" w:eastAsia="zh-CN"/>
        </w:rPr>
        <w:fldChar w:fldCharType="end"/>
      </w:r>
      <w:r>
        <w:rPr>
          <w:rFonts w:hint="default" w:ascii="Times New Roman" w:hAnsi="Times New Roman" w:eastAsia="宋体" w:cs="Times New Roman"/>
          <w:color w:val="auto"/>
          <w:sz w:val="32"/>
          <w:szCs w:val="32"/>
          <w:lang w:val="en-US" w:eastAsia="zh-CN"/>
        </w:rPr>
        <w:fldChar w:fldCharType="end"/>
      </w:r>
    </w:p>
    <w:p w14:paraId="4762C888">
      <w:pPr>
        <w:pStyle w:val="31"/>
        <w:tabs>
          <w:tab w:val="right" w:leader="dot" w:pos="8929"/>
        </w:tabs>
        <w:rPr>
          <w:rFonts w:hint="default" w:ascii="Times New Roman" w:hAnsi="Times New Roman" w:cs="Times New Roman"/>
          <w:color w:val="auto"/>
          <w:sz w:val="32"/>
          <w:szCs w:val="32"/>
        </w:rPr>
      </w:pPr>
      <w:r>
        <w:rPr>
          <w:rFonts w:hint="default" w:ascii="Times New Roman" w:hAnsi="Times New Roman" w:eastAsia="宋体" w:cs="Times New Roman"/>
          <w:color w:val="auto"/>
          <w:sz w:val="32"/>
          <w:szCs w:val="32"/>
          <w:lang w:val="en-US" w:eastAsia="zh-CN"/>
        </w:rPr>
        <w:fldChar w:fldCharType="begin"/>
      </w:r>
      <w:r>
        <w:rPr>
          <w:rFonts w:hint="default" w:ascii="Times New Roman" w:hAnsi="Times New Roman" w:eastAsia="宋体" w:cs="Times New Roman"/>
          <w:color w:val="auto"/>
          <w:sz w:val="32"/>
          <w:szCs w:val="32"/>
          <w:lang w:val="en-US" w:eastAsia="zh-CN"/>
        </w:rPr>
        <w:instrText xml:space="preserve"> HYPERLINK \l _Toc4348 </w:instrText>
      </w:r>
      <w:r>
        <w:rPr>
          <w:rFonts w:hint="default" w:ascii="Times New Roman" w:hAnsi="Times New Roman" w:eastAsia="宋体" w:cs="Times New Roman"/>
          <w:color w:val="auto"/>
          <w:sz w:val="32"/>
          <w:szCs w:val="32"/>
          <w:lang w:val="en-US" w:eastAsia="zh-CN"/>
        </w:rPr>
        <w:fldChar w:fldCharType="separate"/>
      </w:r>
      <w:r>
        <w:rPr>
          <w:rFonts w:hint="default" w:ascii="Times New Roman" w:hAnsi="Times New Roman" w:eastAsia="宋体" w:cs="Times New Roman"/>
          <w:color w:val="auto"/>
          <w:sz w:val="32"/>
          <w:szCs w:val="32"/>
          <w:lang w:val="en-US" w:eastAsia="zh-CN"/>
        </w:rPr>
        <w:t>第九章 附件</w:t>
      </w:r>
      <w:r>
        <w:rPr>
          <w:rFonts w:hint="default" w:ascii="Times New Roman" w:hAnsi="Times New Roman" w:eastAsia="宋体" w:cs="Times New Roman"/>
          <w:color w:val="auto"/>
          <w:sz w:val="32"/>
          <w:szCs w:val="32"/>
          <w:lang w:val="en-US" w:eastAsia="zh-CN"/>
        </w:rPr>
        <w:tab/>
      </w:r>
      <w:r>
        <w:rPr>
          <w:rFonts w:hint="default" w:ascii="Times New Roman" w:hAnsi="Times New Roman" w:eastAsia="宋体" w:cs="Times New Roman"/>
          <w:color w:val="auto"/>
          <w:sz w:val="32"/>
          <w:szCs w:val="32"/>
          <w:lang w:val="en-US" w:eastAsia="zh-CN"/>
        </w:rPr>
        <w:fldChar w:fldCharType="begin"/>
      </w:r>
      <w:r>
        <w:rPr>
          <w:rFonts w:hint="default" w:ascii="Times New Roman" w:hAnsi="Times New Roman" w:eastAsia="宋体" w:cs="Times New Roman"/>
          <w:color w:val="auto"/>
          <w:sz w:val="32"/>
          <w:szCs w:val="32"/>
          <w:lang w:val="en-US" w:eastAsia="zh-CN"/>
        </w:rPr>
        <w:instrText xml:space="preserve"> PAGEREF _Toc4348 \h </w:instrText>
      </w:r>
      <w:r>
        <w:rPr>
          <w:rFonts w:hint="default" w:ascii="Times New Roman" w:hAnsi="Times New Roman" w:eastAsia="宋体" w:cs="Times New Roman"/>
          <w:color w:val="auto"/>
          <w:sz w:val="32"/>
          <w:szCs w:val="32"/>
          <w:lang w:val="en-US" w:eastAsia="zh-CN"/>
        </w:rPr>
        <w:fldChar w:fldCharType="separate"/>
      </w:r>
      <w:r>
        <w:rPr>
          <w:rFonts w:hint="default" w:ascii="Times New Roman" w:hAnsi="Times New Roman" w:eastAsia="宋体" w:cs="Times New Roman"/>
          <w:color w:val="auto"/>
          <w:sz w:val="32"/>
          <w:szCs w:val="32"/>
          <w:lang w:val="en-US" w:eastAsia="zh-CN"/>
        </w:rPr>
        <w:t>90</w:t>
      </w:r>
      <w:r>
        <w:rPr>
          <w:rFonts w:hint="default" w:ascii="Times New Roman" w:hAnsi="Times New Roman" w:eastAsia="宋体" w:cs="Times New Roman"/>
          <w:color w:val="auto"/>
          <w:sz w:val="32"/>
          <w:szCs w:val="32"/>
          <w:lang w:val="en-US" w:eastAsia="zh-CN"/>
        </w:rPr>
        <w:fldChar w:fldCharType="end"/>
      </w:r>
      <w:r>
        <w:rPr>
          <w:rFonts w:hint="default" w:ascii="Times New Roman" w:hAnsi="Times New Roman" w:eastAsia="宋体" w:cs="Times New Roman"/>
          <w:color w:val="auto"/>
          <w:sz w:val="32"/>
          <w:szCs w:val="32"/>
          <w:lang w:val="en-US" w:eastAsia="zh-CN"/>
        </w:rPr>
        <w:fldChar w:fldCharType="end"/>
      </w:r>
    </w:p>
    <w:p w14:paraId="2CF552E1">
      <w:pPr>
        <w:spacing w:line="360" w:lineRule="auto"/>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fldChar w:fldCharType="end"/>
      </w:r>
    </w:p>
    <w:p w14:paraId="48C63F3D">
      <w:pPr>
        <w:pStyle w:val="2"/>
        <w:spacing w:before="0" w:after="0" w:line="240" w:lineRule="auto"/>
        <w:jc w:val="center"/>
        <w:rPr>
          <w:rFonts w:hint="default" w:ascii="Times New Roman" w:hAnsi="Times New Roman" w:eastAsia="宋体" w:cs="Times New Roman"/>
          <w:color w:val="auto"/>
          <w:sz w:val="36"/>
          <w:szCs w:val="36"/>
          <w:lang w:eastAsia="zh-CN"/>
        </w:rPr>
      </w:pPr>
      <w:r>
        <w:rPr>
          <w:rFonts w:hint="default" w:ascii="Times New Roman" w:hAnsi="Times New Roman" w:eastAsia="宋体" w:cs="Times New Roman"/>
          <w:color w:val="auto"/>
          <w:sz w:val="24"/>
          <w:szCs w:val="24"/>
          <w:lang w:eastAsia="zh-CN"/>
        </w:rPr>
        <w:br w:type="page"/>
      </w:r>
      <w:bookmarkStart w:id="1" w:name="_Toc932735091"/>
      <w:bookmarkStart w:id="2" w:name="_Toc424031016"/>
      <w:bookmarkStart w:id="3" w:name="_Toc175269916"/>
      <w:bookmarkStart w:id="4" w:name="_Toc968113947"/>
      <w:bookmarkStart w:id="5" w:name="_Toc471743684"/>
      <w:bookmarkStart w:id="6" w:name="_Toc1592953130"/>
      <w:bookmarkStart w:id="7" w:name="_Toc1788225408"/>
      <w:bookmarkStart w:id="8" w:name="_Toc1877678980_WPSOffice_Level1"/>
      <w:bookmarkStart w:id="9" w:name="_Toc1232167429_WPSOffice_Level1"/>
      <w:bookmarkStart w:id="10" w:name="_Toc774922682"/>
      <w:bookmarkStart w:id="11" w:name="_Toc1997956478"/>
      <w:bookmarkStart w:id="12" w:name="_Toc1664555187_WPSOffice_Level1"/>
      <w:bookmarkStart w:id="13" w:name="_Toc1076329457"/>
      <w:bookmarkStart w:id="14" w:name="_Toc36262373_WPSOffice_Level1"/>
      <w:bookmarkStart w:id="15" w:name="_Toc1980840421"/>
      <w:bookmarkStart w:id="16" w:name="_Toc1767733431"/>
      <w:bookmarkStart w:id="17" w:name="_Toc1306098204"/>
      <w:bookmarkStart w:id="18" w:name="_Toc2103182066_WPSOffice_Level1"/>
      <w:bookmarkStart w:id="19" w:name="_Toc26819"/>
      <w:bookmarkStart w:id="20" w:name="_Toc729479254"/>
      <w:r>
        <w:rPr>
          <w:rFonts w:hint="default" w:ascii="Times New Roman" w:hAnsi="Times New Roman" w:eastAsia="宋体" w:cs="Times New Roman"/>
          <w:color w:val="auto"/>
          <w:sz w:val="36"/>
          <w:szCs w:val="36"/>
          <w:lang w:eastAsia="zh-CN"/>
        </w:rPr>
        <w:t xml:space="preserve">第一章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Pr>
          <w:rFonts w:hint="default" w:ascii="Times New Roman" w:hAnsi="Times New Roman" w:eastAsia="宋体" w:cs="Times New Roman"/>
          <w:color w:val="auto"/>
          <w:sz w:val="36"/>
          <w:szCs w:val="36"/>
          <w:lang w:eastAsia="zh-CN"/>
        </w:rPr>
        <w:t>投标邀请</w:t>
      </w:r>
      <w:bookmarkEnd w:id="15"/>
      <w:bookmarkEnd w:id="16"/>
      <w:bookmarkEnd w:id="17"/>
      <w:bookmarkEnd w:id="18"/>
      <w:bookmarkEnd w:id="19"/>
      <w:bookmarkEnd w:id="20"/>
    </w:p>
    <w:p w14:paraId="15521E00">
      <w:pPr>
        <w:spacing w:line="500" w:lineRule="exact"/>
        <w:ind w:firstLine="562"/>
        <w:jc w:val="center"/>
        <w:rPr>
          <w:rFonts w:hint="default" w:ascii="Times New Roman" w:hAnsi="Times New Roman" w:eastAsia="仿宋_GB2312" w:cs="Times New Roman"/>
          <w:b/>
          <w:color w:val="auto"/>
          <w:sz w:val="32"/>
          <w:szCs w:val="32"/>
          <w:lang w:eastAsia="zh-CN"/>
        </w:rPr>
      </w:pPr>
      <w:bookmarkStart w:id="21" w:name="_Toc940675556_WPSOffice_Level2"/>
      <w:r>
        <w:rPr>
          <w:rFonts w:hint="default" w:ascii="Times New Roman" w:hAnsi="Times New Roman" w:eastAsia="仿宋_GB2312" w:cs="Times New Roman"/>
          <w:b/>
          <w:color w:val="auto"/>
          <w:sz w:val="32"/>
          <w:szCs w:val="32"/>
          <w:lang w:val="en" w:eastAsia="zh-CN"/>
        </w:rPr>
        <w:t>河南工业和信息化职业学院2025年-2028年物业服务项目</w:t>
      </w:r>
      <w:r>
        <w:rPr>
          <w:rFonts w:hint="default" w:ascii="Times New Roman" w:hAnsi="Times New Roman" w:eastAsia="仿宋_GB2312" w:cs="Times New Roman"/>
          <w:b/>
          <w:color w:val="auto"/>
          <w:sz w:val="32"/>
          <w:szCs w:val="32"/>
          <w:lang w:val="en-US" w:eastAsia="zh-CN"/>
        </w:rPr>
        <w:t xml:space="preserve"> </w:t>
      </w:r>
      <w:r>
        <w:rPr>
          <w:rFonts w:hint="default" w:ascii="Times New Roman" w:hAnsi="Times New Roman" w:eastAsia="仿宋_GB2312" w:cs="Times New Roman"/>
          <w:b/>
          <w:color w:val="auto"/>
          <w:sz w:val="32"/>
          <w:szCs w:val="32"/>
          <w:lang w:eastAsia="zh-CN"/>
        </w:rPr>
        <w:t>-公开招标公告</w:t>
      </w:r>
      <w:bookmarkEnd w:id="21"/>
    </w:p>
    <w:p w14:paraId="1CA856C1">
      <w:pPr>
        <w:keepNext w:val="0"/>
        <w:keepLines w:val="0"/>
        <w:pageBreakBefore w:val="0"/>
        <w:widowControl/>
        <w:kinsoku/>
        <w:wordWrap/>
        <w:overflowPunct/>
        <w:topLinePunct w:val="0"/>
        <w:autoSpaceDE/>
        <w:autoSpaceDN/>
        <w:bidi w:val="0"/>
        <w:adjustRightInd/>
        <w:snapToGrid/>
        <w:spacing w:line="460" w:lineRule="exact"/>
        <w:jc w:val="both"/>
        <w:textAlignment w:val="auto"/>
        <w:rPr>
          <w:rFonts w:hint="default" w:ascii="Times New Roman" w:hAnsi="Times New Roman" w:eastAsia="仿宋_GB2312" w:cs="Times New Roman"/>
          <w:b/>
          <w:color w:val="auto"/>
          <w:sz w:val="28"/>
          <w:szCs w:val="28"/>
          <w:lang w:eastAsia="zh-CN"/>
        </w:rPr>
      </w:pPr>
      <w:r>
        <w:rPr>
          <w:rFonts w:hint="default" w:ascii="Times New Roman" w:hAnsi="Times New Roman" w:cs="Times New Roman"/>
          <w:color w:val="auto"/>
          <w:u w:val="single"/>
        </w:rPr>
        <mc:AlternateContent>
          <mc:Choice Requires="wps">
            <w:drawing>
              <wp:anchor distT="0" distB="0" distL="114300" distR="114300" simplePos="0" relativeHeight="251659264" behindDoc="0" locked="0" layoutInCell="1" allowOverlap="1">
                <wp:simplePos x="0" y="0"/>
                <wp:positionH relativeFrom="column">
                  <wp:posOffset>-173990</wp:posOffset>
                </wp:positionH>
                <wp:positionV relativeFrom="paragraph">
                  <wp:posOffset>172085</wp:posOffset>
                </wp:positionV>
                <wp:extent cx="6007735" cy="1804670"/>
                <wp:effectExtent l="4445" t="4445" r="7620" b="19685"/>
                <wp:wrapTopAndBottom/>
                <wp:docPr id="1014745615"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6007735" cy="1804670"/>
                        </a:xfrm>
                        <a:prstGeom prst="rect">
                          <a:avLst/>
                        </a:prstGeom>
                        <a:noFill/>
                        <a:ln w="9525">
                          <a:solidFill>
                            <a:srgbClr val="000000"/>
                          </a:solidFill>
                          <a:miter lim="800000"/>
                        </a:ln>
                        <a:effectLst/>
                      </wps:spPr>
                      <wps:txbx>
                        <w:txbxContent>
                          <w:p w14:paraId="37992AD2">
                            <w:pPr>
                              <w:pStyle w:val="224"/>
                              <w:spacing w:line="360" w:lineRule="auto"/>
                              <w:ind w:firstLine="562" w:firstLineChars="200"/>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项目概况</w:t>
                            </w:r>
                          </w:p>
                          <w:p w14:paraId="2E030F97">
                            <w:pPr>
                              <w:pStyle w:val="224"/>
                              <w:spacing w:line="360" w:lineRule="auto"/>
                              <w:ind w:firstLine="562" w:firstLineChars="200"/>
                              <w:rPr>
                                <w:rFonts w:hint="default" w:ascii="Times New Roman" w:hAnsi="Times New Roman" w:cs="Times New Roman"/>
                              </w:rPr>
                            </w:pPr>
                            <w:r>
                              <w:rPr>
                                <w:rFonts w:hint="eastAsia" w:ascii="Times New Roman" w:hAnsi="Times New Roman" w:eastAsia="仿宋_GB2312" w:cs="Times New Roman"/>
                                <w:b/>
                                <w:bCs/>
                                <w:sz w:val="28"/>
                                <w:szCs w:val="28"/>
                                <w:u w:val="single"/>
                                <w:lang w:eastAsia="zh-CN"/>
                              </w:rPr>
                              <w:t>河南工业和信息化职业学院2025年-2028年物业服务项目</w:t>
                            </w:r>
                            <w:r>
                              <w:rPr>
                                <w:rFonts w:hint="default" w:ascii="Times New Roman" w:hAnsi="Times New Roman" w:eastAsia="仿宋_GB2312" w:cs="Times New Roman"/>
                                <w:b/>
                                <w:bCs/>
                                <w:sz w:val="28"/>
                                <w:szCs w:val="28"/>
                                <w:u w:val="single"/>
                              </w:rPr>
                              <w:t xml:space="preserve"> </w:t>
                            </w:r>
                            <w:r>
                              <w:rPr>
                                <w:rFonts w:hint="default" w:ascii="Times New Roman" w:hAnsi="Times New Roman" w:eastAsia="仿宋_GB2312" w:cs="Times New Roman"/>
                                <w:sz w:val="28"/>
                                <w:szCs w:val="28"/>
                              </w:rPr>
                              <w:t>招标项目的潜在投标人应在</w:t>
                            </w:r>
                            <w:r>
                              <w:rPr>
                                <w:rFonts w:hint="default" w:ascii="Times New Roman" w:hAnsi="Times New Roman" w:eastAsia="仿宋_GB2312" w:cs="Times New Roman"/>
                                <w:b/>
                                <w:bCs/>
                                <w:sz w:val="28"/>
                                <w:szCs w:val="28"/>
                                <w:u w:val="single"/>
                              </w:rPr>
                              <w:t>河南省公共资源交易中心</w:t>
                            </w:r>
                            <w:r>
                              <w:rPr>
                                <w:rFonts w:hint="default" w:ascii="Times New Roman" w:hAnsi="Times New Roman" w:eastAsia="仿宋_GB2312" w:cs="Times New Roman"/>
                                <w:b/>
                                <w:bCs/>
                                <w:sz w:val="28"/>
                                <w:szCs w:val="28"/>
                                <w:u w:val="single"/>
                                <w:lang w:val="en-US" w:eastAsia="zh-CN"/>
                              </w:rPr>
                              <w:t>网站</w:t>
                            </w:r>
                            <w:r>
                              <w:rPr>
                                <w:rFonts w:hint="default" w:ascii="Times New Roman" w:hAnsi="Times New Roman" w:eastAsia="仿宋_GB2312" w:cs="Times New Roman"/>
                                <w:b/>
                                <w:bCs/>
                                <w:sz w:val="28"/>
                                <w:szCs w:val="28"/>
                                <w:u w:val="single"/>
                              </w:rPr>
                              <w:t>（</w:t>
                            </w:r>
                            <w:r>
                              <w:rPr>
                                <w:rFonts w:hint="default" w:ascii="Times New Roman" w:hAnsi="Times New Roman" w:eastAsia="仿宋" w:cs="Times New Roman"/>
                                <w:i w:val="0"/>
                                <w:iCs w:val="0"/>
                                <w:caps w:val="0"/>
                                <w:color w:val="333333"/>
                                <w:spacing w:val="0"/>
                                <w:sz w:val="32"/>
                                <w:szCs w:val="32"/>
                                <w:u w:val="single"/>
                                <w:shd w:val="clear" w:color="auto" w:fill="FFFFFF"/>
                              </w:rPr>
                              <w:t>hnsggzyjy.henan.gov.cn</w:t>
                            </w:r>
                            <w:r>
                              <w:rPr>
                                <w:rFonts w:hint="default" w:ascii="Times New Roman" w:hAnsi="Times New Roman" w:eastAsia="仿宋_GB2312" w:cs="Times New Roman"/>
                                <w:b/>
                                <w:bCs/>
                                <w:sz w:val="28"/>
                                <w:szCs w:val="28"/>
                                <w:u w:val="single"/>
                              </w:rPr>
                              <w:t>）</w:t>
                            </w:r>
                            <w:r>
                              <w:rPr>
                                <w:rFonts w:hint="default" w:ascii="Times New Roman" w:hAnsi="Times New Roman" w:eastAsia="仿宋_GB2312" w:cs="Times New Roman"/>
                                <w:sz w:val="28"/>
                                <w:szCs w:val="28"/>
                              </w:rPr>
                              <w:t>获取招标文件，并于</w:t>
                            </w:r>
                            <w:r>
                              <w:rPr>
                                <w:rFonts w:hint="eastAsia" w:ascii="Times New Roman" w:hAnsi="Times New Roman" w:eastAsia="仿宋_GB2312" w:cs="Times New Roman"/>
                                <w:b/>
                                <w:bCs/>
                                <w:sz w:val="28"/>
                                <w:szCs w:val="28"/>
                                <w:u w:val="single"/>
                                <w:lang w:val="en" w:eastAsia="zh-CN"/>
                              </w:rPr>
                              <w:t>2025年</w:t>
                            </w:r>
                            <w:r>
                              <w:rPr>
                                <w:rFonts w:hint="eastAsia" w:ascii="Times New Roman" w:hAnsi="Times New Roman" w:eastAsia="仿宋_GB2312" w:cs="Times New Roman"/>
                                <w:b/>
                                <w:bCs/>
                                <w:sz w:val="28"/>
                                <w:szCs w:val="28"/>
                                <w:u w:val="single"/>
                                <w:lang w:val="en-US" w:eastAsia="zh-CN"/>
                              </w:rPr>
                              <w:t>8月</w:t>
                            </w:r>
                            <w:r>
                              <w:rPr>
                                <w:rFonts w:hint="eastAsia" w:ascii="Times New Roman" w:hAnsi="Times New Roman" w:eastAsia="仿宋_GB2312" w:cs="Times New Roman"/>
                                <w:b/>
                                <w:bCs/>
                                <w:color w:val="auto"/>
                                <w:sz w:val="28"/>
                                <w:szCs w:val="28"/>
                                <w:u w:val="single"/>
                                <w:lang w:val="en-US" w:eastAsia="zh-CN"/>
                              </w:rPr>
                              <w:t>21</w:t>
                            </w:r>
                            <w:r>
                              <w:rPr>
                                <w:rFonts w:hint="default" w:ascii="Times New Roman" w:hAnsi="Times New Roman" w:eastAsia="仿宋_GB2312" w:cs="Times New Roman"/>
                                <w:b/>
                                <w:bCs/>
                                <w:sz w:val="28"/>
                                <w:szCs w:val="28"/>
                                <w:u w:val="single"/>
                                <w:lang w:val="en-US" w:eastAsia="zh-CN"/>
                              </w:rPr>
                              <w:t>日</w:t>
                            </w:r>
                            <w:r>
                              <w:rPr>
                                <w:rFonts w:hint="default" w:ascii="Times New Roman" w:hAnsi="Times New Roman" w:eastAsia="仿宋_GB2312" w:cs="Times New Roman"/>
                                <w:b/>
                                <w:bCs/>
                                <w:sz w:val="28"/>
                                <w:szCs w:val="28"/>
                                <w:u w:val="single"/>
                              </w:rPr>
                              <w:t>09时00分（北京时间）</w:t>
                            </w:r>
                            <w:r>
                              <w:rPr>
                                <w:rFonts w:hint="default" w:ascii="Times New Roman" w:hAnsi="Times New Roman" w:eastAsia="仿宋_GB2312" w:cs="Times New Roman"/>
                                <w:sz w:val="28"/>
                                <w:szCs w:val="28"/>
                              </w:rPr>
                              <w:t>前递交投标文件。</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13.7pt;margin-top:13.55pt;height:142.1pt;width:473.05pt;mso-wrap-distance-bottom:0pt;mso-wrap-distance-top:0pt;z-index:251659264;mso-width-relative:page;mso-height-relative:page;" filled="f" stroked="t" coordsize="21600,21600" o:gfxdata="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Xk94nXAAAACgEAAA8AAAAA&#10;AAAAAQAgAAAAIgAAAGRycy9kb3ducmV2LnhtbFBLAQIUABQAAAAIAIdO4kAjLS/CTgIAAHcEAAAO&#10;AAAAAAAAAAEAIAAAACYBAABkcnMvZTJvRG9jLnhtbFBLBQYAAAAABgAGAFkBAADmBQAAAAA=&#10;">
                <v:fill on="f" focussize="0,0"/>
                <v:stroke color="#000000" miterlimit="8" joinstyle="miter"/>
                <v:imagedata o:title=""/>
                <o:lock v:ext="edit" aspectratio="f"/>
                <v:textbox>
                  <w:txbxContent>
                    <w:p w14:paraId="37992AD2">
                      <w:pPr>
                        <w:pStyle w:val="224"/>
                        <w:spacing w:line="360" w:lineRule="auto"/>
                        <w:ind w:firstLine="562" w:firstLineChars="200"/>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项目概况</w:t>
                      </w:r>
                    </w:p>
                    <w:p w14:paraId="2E030F97">
                      <w:pPr>
                        <w:pStyle w:val="224"/>
                        <w:spacing w:line="360" w:lineRule="auto"/>
                        <w:ind w:firstLine="562" w:firstLineChars="200"/>
                        <w:rPr>
                          <w:rFonts w:hint="default" w:ascii="Times New Roman" w:hAnsi="Times New Roman" w:cs="Times New Roman"/>
                        </w:rPr>
                      </w:pPr>
                      <w:r>
                        <w:rPr>
                          <w:rFonts w:hint="eastAsia" w:ascii="Times New Roman" w:hAnsi="Times New Roman" w:eastAsia="仿宋_GB2312" w:cs="Times New Roman"/>
                          <w:b/>
                          <w:bCs/>
                          <w:sz w:val="28"/>
                          <w:szCs w:val="28"/>
                          <w:u w:val="single"/>
                          <w:lang w:eastAsia="zh-CN"/>
                        </w:rPr>
                        <w:t>河南工业和信息化职业学院2025年-2028年物业服务项目</w:t>
                      </w:r>
                      <w:r>
                        <w:rPr>
                          <w:rFonts w:hint="default" w:ascii="Times New Roman" w:hAnsi="Times New Roman" w:eastAsia="仿宋_GB2312" w:cs="Times New Roman"/>
                          <w:b/>
                          <w:bCs/>
                          <w:sz w:val="28"/>
                          <w:szCs w:val="28"/>
                          <w:u w:val="single"/>
                        </w:rPr>
                        <w:t xml:space="preserve"> </w:t>
                      </w:r>
                      <w:r>
                        <w:rPr>
                          <w:rFonts w:hint="default" w:ascii="Times New Roman" w:hAnsi="Times New Roman" w:eastAsia="仿宋_GB2312" w:cs="Times New Roman"/>
                          <w:sz w:val="28"/>
                          <w:szCs w:val="28"/>
                        </w:rPr>
                        <w:t>招标项目的潜在投标人应在</w:t>
                      </w:r>
                      <w:r>
                        <w:rPr>
                          <w:rFonts w:hint="default" w:ascii="Times New Roman" w:hAnsi="Times New Roman" w:eastAsia="仿宋_GB2312" w:cs="Times New Roman"/>
                          <w:b/>
                          <w:bCs/>
                          <w:sz w:val="28"/>
                          <w:szCs w:val="28"/>
                          <w:u w:val="single"/>
                        </w:rPr>
                        <w:t>河南省公共资源交易中心</w:t>
                      </w:r>
                      <w:r>
                        <w:rPr>
                          <w:rFonts w:hint="default" w:ascii="Times New Roman" w:hAnsi="Times New Roman" w:eastAsia="仿宋_GB2312" w:cs="Times New Roman"/>
                          <w:b/>
                          <w:bCs/>
                          <w:sz w:val="28"/>
                          <w:szCs w:val="28"/>
                          <w:u w:val="single"/>
                          <w:lang w:val="en-US" w:eastAsia="zh-CN"/>
                        </w:rPr>
                        <w:t>网站</w:t>
                      </w:r>
                      <w:r>
                        <w:rPr>
                          <w:rFonts w:hint="default" w:ascii="Times New Roman" w:hAnsi="Times New Roman" w:eastAsia="仿宋_GB2312" w:cs="Times New Roman"/>
                          <w:b/>
                          <w:bCs/>
                          <w:sz w:val="28"/>
                          <w:szCs w:val="28"/>
                          <w:u w:val="single"/>
                        </w:rPr>
                        <w:t>（</w:t>
                      </w:r>
                      <w:r>
                        <w:rPr>
                          <w:rFonts w:hint="default" w:ascii="Times New Roman" w:hAnsi="Times New Roman" w:eastAsia="仿宋" w:cs="Times New Roman"/>
                          <w:i w:val="0"/>
                          <w:iCs w:val="0"/>
                          <w:caps w:val="0"/>
                          <w:color w:val="333333"/>
                          <w:spacing w:val="0"/>
                          <w:sz w:val="32"/>
                          <w:szCs w:val="32"/>
                          <w:u w:val="single"/>
                          <w:shd w:val="clear" w:color="auto" w:fill="FFFFFF"/>
                        </w:rPr>
                        <w:t>hnsggzyjy.henan.gov.cn</w:t>
                      </w:r>
                      <w:r>
                        <w:rPr>
                          <w:rFonts w:hint="default" w:ascii="Times New Roman" w:hAnsi="Times New Roman" w:eastAsia="仿宋_GB2312" w:cs="Times New Roman"/>
                          <w:b/>
                          <w:bCs/>
                          <w:sz w:val="28"/>
                          <w:szCs w:val="28"/>
                          <w:u w:val="single"/>
                        </w:rPr>
                        <w:t>）</w:t>
                      </w:r>
                      <w:r>
                        <w:rPr>
                          <w:rFonts w:hint="default" w:ascii="Times New Roman" w:hAnsi="Times New Roman" w:eastAsia="仿宋_GB2312" w:cs="Times New Roman"/>
                          <w:sz w:val="28"/>
                          <w:szCs w:val="28"/>
                        </w:rPr>
                        <w:t>获取招标文件，并于</w:t>
                      </w:r>
                      <w:r>
                        <w:rPr>
                          <w:rFonts w:hint="eastAsia" w:ascii="Times New Roman" w:hAnsi="Times New Roman" w:eastAsia="仿宋_GB2312" w:cs="Times New Roman"/>
                          <w:b/>
                          <w:bCs/>
                          <w:sz w:val="28"/>
                          <w:szCs w:val="28"/>
                          <w:u w:val="single"/>
                          <w:lang w:val="en" w:eastAsia="zh-CN"/>
                        </w:rPr>
                        <w:t>2025年</w:t>
                      </w:r>
                      <w:r>
                        <w:rPr>
                          <w:rFonts w:hint="eastAsia" w:ascii="Times New Roman" w:hAnsi="Times New Roman" w:eastAsia="仿宋_GB2312" w:cs="Times New Roman"/>
                          <w:b/>
                          <w:bCs/>
                          <w:sz w:val="28"/>
                          <w:szCs w:val="28"/>
                          <w:u w:val="single"/>
                          <w:lang w:val="en-US" w:eastAsia="zh-CN"/>
                        </w:rPr>
                        <w:t>8月</w:t>
                      </w:r>
                      <w:r>
                        <w:rPr>
                          <w:rFonts w:hint="eastAsia" w:ascii="Times New Roman" w:hAnsi="Times New Roman" w:eastAsia="仿宋_GB2312" w:cs="Times New Roman"/>
                          <w:b/>
                          <w:bCs/>
                          <w:color w:val="auto"/>
                          <w:sz w:val="28"/>
                          <w:szCs w:val="28"/>
                          <w:u w:val="single"/>
                          <w:lang w:val="en-US" w:eastAsia="zh-CN"/>
                        </w:rPr>
                        <w:t>21</w:t>
                      </w:r>
                      <w:r>
                        <w:rPr>
                          <w:rFonts w:hint="default" w:ascii="Times New Roman" w:hAnsi="Times New Roman" w:eastAsia="仿宋_GB2312" w:cs="Times New Roman"/>
                          <w:b/>
                          <w:bCs/>
                          <w:sz w:val="28"/>
                          <w:szCs w:val="28"/>
                          <w:u w:val="single"/>
                          <w:lang w:val="en-US" w:eastAsia="zh-CN"/>
                        </w:rPr>
                        <w:t>日</w:t>
                      </w:r>
                      <w:r>
                        <w:rPr>
                          <w:rFonts w:hint="default" w:ascii="Times New Roman" w:hAnsi="Times New Roman" w:eastAsia="仿宋_GB2312" w:cs="Times New Roman"/>
                          <w:b/>
                          <w:bCs/>
                          <w:sz w:val="28"/>
                          <w:szCs w:val="28"/>
                          <w:u w:val="single"/>
                        </w:rPr>
                        <w:t>09时00分（北京时间）</w:t>
                      </w:r>
                      <w:r>
                        <w:rPr>
                          <w:rFonts w:hint="default" w:ascii="Times New Roman" w:hAnsi="Times New Roman" w:eastAsia="仿宋_GB2312" w:cs="Times New Roman"/>
                          <w:sz w:val="28"/>
                          <w:szCs w:val="28"/>
                        </w:rPr>
                        <w:t>前递交投标文件。</w:t>
                      </w:r>
                    </w:p>
                  </w:txbxContent>
                </v:textbox>
                <w10:wrap type="topAndBottom"/>
              </v:shape>
            </w:pict>
          </mc:Fallback>
        </mc:AlternateContent>
      </w:r>
    </w:p>
    <w:p w14:paraId="30F405BF">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方正小标宋_GBK" w:cs="Times New Roman"/>
          <w:color w:val="auto"/>
          <w:sz w:val="28"/>
          <w:szCs w:val="28"/>
          <w:lang w:eastAsia="zh-CN"/>
        </w:rPr>
      </w:pPr>
      <w:bookmarkStart w:id="22" w:name="_Toc1456310841_WPSOffice_Level2"/>
      <w:bookmarkStart w:id="23" w:name="_Toc1811351892_WPSOffice_Level2"/>
      <w:bookmarkStart w:id="24" w:name="_Toc1649568961_WPSOffice_Level2"/>
      <w:bookmarkStart w:id="25" w:name="_Toc1853601844_WPSOffice_Level2"/>
      <w:bookmarkStart w:id="26" w:name="_Toc2031125453_WPSOffice_Level2"/>
      <w:r>
        <w:rPr>
          <w:rFonts w:hint="default" w:ascii="Times New Roman" w:hAnsi="Times New Roman" w:eastAsia="方正小标宋_GBK" w:cs="Times New Roman"/>
          <w:color w:val="auto"/>
          <w:sz w:val="28"/>
          <w:szCs w:val="28"/>
          <w:lang w:eastAsia="zh-CN"/>
        </w:rPr>
        <w:t>一、项目基本情况</w:t>
      </w:r>
      <w:bookmarkEnd w:id="22"/>
      <w:bookmarkEnd w:id="23"/>
      <w:bookmarkEnd w:id="24"/>
      <w:bookmarkEnd w:id="25"/>
      <w:bookmarkEnd w:id="26"/>
    </w:p>
    <w:p w14:paraId="32F3FA69">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 w:eastAsia="zh-CN"/>
        </w:rPr>
      </w:pPr>
      <w:bookmarkStart w:id="27" w:name="_Toc712505010_WPSOffice_Level3"/>
      <w:bookmarkStart w:id="28" w:name="_Toc632830029_WPSOffice_Level3"/>
      <w:bookmarkStart w:id="29" w:name="_Toc120342159_WPSOffice_Level3"/>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项目编号：</w:t>
      </w:r>
      <w:bookmarkEnd w:id="27"/>
      <w:bookmarkEnd w:id="28"/>
      <w:bookmarkEnd w:id="29"/>
      <w:r>
        <w:rPr>
          <w:rFonts w:hint="default" w:ascii="Times New Roman" w:hAnsi="Times New Roman" w:eastAsia="仿宋_GB2312" w:cs="Times New Roman"/>
          <w:color w:val="auto"/>
          <w:sz w:val="28"/>
          <w:szCs w:val="28"/>
          <w:lang w:val="en" w:eastAsia="zh-CN"/>
        </w:rPr>
        <w:t>豫财招标采购-2025-791</w:t>
      </w:r>
    </w:p>
    <w:p w14:paraId="44B51B5C">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bookmarkStart w:id="30" w:name="_Toc1019416_WPSOffice_Level3"/>
      <w:bookmarkStart w:id="31" w:name="_Toc1461506997_WPSOffice_Level3"/>
      <w:bookmarkStart w:id="32" w:name="_Toc2136105441_WPSOffice_Level3"/>
      <w:r>
        <w:rPr>
          <w:rFonts w:hint="default" w:ascii="Times New Roman" w:hAnsi="Times New Roman" w:eastAsia="仿宋_GB2312" w:cs="Times New Roman"/>
          <w:color w:val="auto"/>
          <w:sz w:val="28"/>
          <w:szCs w:val="28"/>
          <w:lang w:eastAsia="zh-CN"/>
        </w:rPr>
        <w:t>2、项目名称：</w:t>
      </w:r>
      <w:bookmarkEnd w:id="30"/>
      <w:bookmarkEnd w:id="31"/>
      <w:bookmarkEnd w:id="32"/>
      <w:r>
        <w:rPr>
          <w:rFonts w:hint="default" w:ascii="Times New Roman" w:hAnsi="Times New Roman" w:eastAsia="仿宋_GB2312" w:cs="Times New Roman"/>
          <w:color w:val="auto"/>
          <w:sz w:val="28"/>
          <w:szCs w:val="28"/>
          <w:lang w:val="en" w:eastAsia="zh-CN"/>
        </w:rPr>
        <w:t>河南工业和信息化职业学院2025年-2028年物业服务项目</w:t>
      </w:r>
      <w:r>
        <w:rPr>
          <w:rFonts w:hint="default" w:ascii="Times New Roman" w:hAnsi="Times New Roman" w:eastAsia="仿宋_GB2312" w:cs="Times New Roman"/>
          <w:color w:val="auto"/>
          <w:sz w:val="28"/>
          <w:szCs w:val="28"/>
          <w:lang w:val="en-US" w:eastAsia="zh-CN"/>
        </w:rPr>
        <w:t xml:space="preserve"> </w:t>
      </w:r>
    </w:p>
    <w:p w14:paraId="02B662F4">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eastAsia="zh-CN"/>
        </w:rPr>
      </w:pPr>
      <w:bookmarkStart w:id="33" w:name="_Toc1331877378_WPSOffice_Level3"/>
      <w:bookmarkStart w:id="34" w:name="_Toc997609044_WPSOffice_Level3"/>
      <w:bookmarkStart w:id="35" w:name="_Toc1350258088_WPSOffice_Level3"/>
      <w:r>
        <w:rPr>
          <w:rFonts w:hint="default" w:ascii="Times New Roman" w:hAnsi="Times New Roman" w:eastAsia="仿宋_GB2312" w:cs="Times New Roman"/>
          <w:color w:val="auto"/>
          <w:sz w:val="28"/>
          <w:szCs w:val="28"/>
          <w:lang w:eastAsia="zh-CN"/>
        </w:rPr>
        <w:t>3、采购方式：公开招标</w:t>
      </w:r>
      <w:bookmarkEnd w:id="33"/>
      <w:bookmarkEnd w:id="34"/>
      <w:bookmarkEnd w:id="35"/>
    </w:p>
    <w:p w14:paraId="31B9332C">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eastAsia="zh-CN"/>
        </w:rPr>
      </w:pPr>
      <w:bookmarkStart w:id="36" w:name="_Toc2510158_WPSOffice_Level3"/>
      <w:bookmarkStart w:id="37" w:name="_Toc91128674_WPSOffice_Level3"/>
      <w:bookmarkStart w:id="38" w:name="_Toc654106674_WPSOffice_Level3"/>
      <w:r>
        <w:rPr>
          <w:rFonts w:hint="default" w:ascii="Times New Roman" w:hAnsi="Times New Roman" w:eastAsia="仿宋_GB2312" w:cs="Times New Roman"/>
          <w:color w:val="auto"/>
          <w:sz w:val="28"/>
          <w:szCs w:val="28"/>
          <w:lang w:eastAsia="zh-CN"/>
        </w:rPr>
        <w:t>4、预算金额：</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val="en" w:eastAsia="zh-CN"/>
        </w:rPr>
        <w:t>7470000</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元</w:t>
      </w:r>
      <w:bookmarkEnd w:id="36"/>
      <w:bookmarkEnd w:id="37"/>
      <w:bookmarkEnd w:id="38"/>
    </w:p>
    <w:p w14:paraId="52385A81">
      <w:pPr>
        <w:keepNext w:val="0"/>
        <w:keepLines w:val="0"/>
        <w:pageBreakBefore w:val="0"/>
        <w:widowControl/>
        <w:kinsoku/>
        <w:wordWrap/>
        <w:overflowPunct/>
        <w:topLinePunct w:val="0"/>
        <w:autoSpaceDE/>
        <w:autoSpaceDN/>
        <w:bidi w:val="0"/>
        <w:adjustRightInd/>
        <w:snapToGrid/>
        <w:spacing w:line="460" w:lineRule="exact"/>
        <w:ind w:firstLine="977" w:firstLineChars="349"/>
        <w:jc w:val="left"/>
        <w:textAlignment w:val="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最高限价：</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val="en" w:eastAsia="zh-CN"/>
        </w:rPr>
        <w:t>7470000</w:t>
      </w:r>
      <w:r>
        <w:rPr>
          <w:rFonts w:hint="default" w:ascii="Times New Roman" w:hAnsi="Times New Roman" w:eastAsia="仿宋_GB2312" w:cs="Times New Roman"/>
          <w:color w:val="auto"/>
          <w:sz w:val="28"/>
          <w:szCs w:val="28"/>
          <w:lang w:eastAsia="zh-CN"/>
        </w:rPr>
        <w:t>元</w:t>
      </w:r>
    </w:p>
    <w:tbl>
      <w:tblPr>
        <w:tblStyle w:val="52"/>
        <w:tblpPr w:leftFromText="180" w:rightFromText="180" w:vertAnchor="text" w:horzAnchor="page" w:tblpX="1250" w:tblpY="390"/>
        <w:tblOverlap w:val="never"/>
        <w:tblW w:w="9824"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444"/>
        <w:gridCol w:w="2742"/>
        <w:gridCol w:w="2227"/>
        <w:gridCol w:w="2127"/>
        <w:gridCol w:w="2284"/>
      </w:tblGrid>
      <w:tr w14:paraId="63096C6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10" w:hRule="atLeast"/>
        </w:trPr>
        <w:tc>
          <w:tcPr>
            <w:tcW w:w="444"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709AD2B0">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_GB2312" w:cs="Times New Roman"/>
                <w:color w:val="auto"/>
                <w:kern w:val="0"/>
                <w:sz w:val="28"/>
                <w:szCs w:val="28"/>
              </w:rPr>
            </w:pPr>
            <w:bookmarkStart w:id="39" w:name="_Toc1882423541_WPSOffice_Level3"/>
            <w:bookmarkStart w:id="40" w:name="_Toc1585577024_WPSOffice_Level3"/>
            <w:bookmarkStart w:id="41" w:name="_Toc530655014_WPSOffice_Level3"/>
            <w:r>
              <w:rPr>
                <w:rFonts w:hint="default" w:ascii="Times New Roman" w:hAnsi="Times New Roman" w:eastAsia="仿宋_GB2312" w:cs="Times New Roman"/>
                <w:color w:val="auto"/>
                <w:kern w:val="0"/>
                <w:sz w:val="28"/>
                <w:szCs w:val="28"/>
              </w:rPr>
              <w:t>序号</w:t>
            </w:r>
          </w:p>
        </w:tc>
        <w:tc>
          <w:tcPr>
            <w:tcW w:w="2742"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2FD9906E">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包号</w:t>
            </w:r>
          </w:p>
        </w:tc>
        <w:tc>
          <w:tcPr>
            <w:tcW w:w="222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68582D32">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包名称</w:t>
            </w:r>
          </w:p>
        </w:tc>
        <w:tc>
          <w:tcPr>
            <w:tcW w:w="212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396FF5C9">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包预算（元）</w:t>
            </w:r>
          </w:p>
        </w:tc>
        <w:tc>
          <w:tcPr>
            <w:tcW w:w="2284"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03F5455">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包最高限价（元）</w:t>
            </w:r>
          </w:p>
        </w:tc>
      </w:tr>
      <w:tr w14:paraId="564F15D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10" w:hRule="atLeast"/>
        </w:trPr>
        <w:tc>
          <w:tcPr>
            <w:tcW w:w="444"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7E548E3A">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lang w:val="en-US"/>
              </w:rPr>
              <w:t>1</w:t>
            </w:r>
          </w:p>
        </w:tc>
        <w:tc>
          <w:tcPr>
            <w:tcW w:w="2742"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7C2D008E">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豫政采(1)20250163-1</w:t>
            </w:r>
          </w:p>
        </w:tc>
        <w:tc>
          <w:tcPr>
            <w:tcW w:w="222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62BB974A">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 w:eastAsia="zh-CN"/>
              </w:rPr>
              <w:t>河南工业和信息化职业学院2025年-2028年物业服务项目</w:t>
            </w:r>
            <w:r>
              <w:rPr>
                <w:rFonts w:hint="default" w:ascii="Times New Roman" w:hAnsi="Times New Roman" w:eastAsia="仿宋_GB2312" w:cs="Times New Roman"/>
                <w:color w:val="auto"/>
                <w:kern w:val="0"/>
                <w:sz w:val="28"/>
                <w:szCs w:val="28"/>
                <w:lang w:val="en-US" w:eastAsia="zh-CN"/>
              </w:rPr>
              <w:t xml:space="preserve"> </w:t>
            </w:r>
          </w:p>
        </w:tc>
        <w:tc>
          <w:tcPr>
            <w:tcW w:w="212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F48D1CF">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 xml:space="preserve"> </w:t>
            </w:r>
            <w:r>
              <w:rPr>
                <w:rFonts w:hint="default" w:ascii="Times New Roman" w:hAnsi="Times New Roman" w:eastAsia="仿宋_GB2312" w:cs="Times New Roman"/>
                <w:color w:val="auto"/>
                <w:kern w:val="0"/>
                <w:sz w:val="28"/>
                <w:szCs w:val="28"/>
                <w:lang w:val="en" w:eastAsia="zh-CN"/>
              </w:rPr>
              <w:t>7470000</w:t>
            </w:r>
            <w:r>
              <w:rPr>
                <w:rFonts w:hint="default" w:ascii="Times New Roman" w:hAnsi="Times New Roman" w:eastAsia="仿宋_GB2312" w:cs="Times New Roman"/>
                <w:color w:val="auto"/>
                <w:kern w:val="0"/>
                <w:sz w:val="28"/>
                <w:szCs w:val="28"/>
                <w:lang w:val="en-US" w:eastAsia="zh-CN"/>
              </w:rPr>
              <w:t xml:space="preserve"> </w:t>
            </w:r>
          </w:p>
        </w:tc>
        <w:tc>
          <w:tcPr>
            <w:tcW w:w="2284"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20773E6">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 xml:space="preserve"> </w:t>
            </w:r>
            <w:r>
              <w:rPr>
                <w:rFonts w:hint="default" w:ascii="Times New Roman" w:hAnsi="Times New Roman" w:eastAsia="仿宋_GB2312" w:cs="Times New Roman"/>
                <w:color w:val="auto"/>
                <w:kern w:val="0"/>
                <w:sz w:val="28"/>
                <w:szCs w:val="28"/>
                <w:lang w:val="en" w:eastAsia="zh-CN"/>
              </w:rPr>
              <w:t>7470000</w:t>
            </w:r>
          </w:p>
        </w:tc>
      </w:tr>
    </w:tbl>
    <w:p w14:paraId="2D264AC0">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5.采购需求（包括但不限于标的的名称、数量、简要技术需求或服务要求等）</w:t>
      </w:r>
      <w:bookmarkEnd w:id="39"/>
      <w:bookmarkEnd w:id="40"/>
      <w:bookmarkEnd w:id="41"/>
    </w:p>
    <w:p w14:paraId="775E6629">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（1）本项目共分1个包；</w:t>
      </w:r>
    </w:p>
    <w:p w14:paraId="06C53531">
      <w:pPr>
        <w:spacing w:line="440" w:lineRule="exact"/>
        <w:ind w:firstLine="560" w:firstLineChars="200"/>
        <w:rPr>
          <w:rFonts w:hint="default" w:ascii="Times New Roman" w:hAnsi="Times New Roman" w:cs="Times New Roman"/>
          <w:color w:val="auto"/>
        </w:rPr>
      </w:pPr>
      <w:r>
        <w:rPr>
          <w:rFonts w:hint="default" w:ascii="Times New Roman" w:hAnsi="Times New Roman" w:eastAsia="仿宋_GB2312" w:cs="Times New Roman"/>
          <w:color w:val="auto"/>
          <w:sz w:val="28"/>
          <w:szCs w:val="28"/>
          <w:lang w:val="en-US" w:eastAsia="zh-CN"/>
        </w:rPr>
        <w:t>（2）采购内容：</w:t>
      </w:r>
      <w:r>
        <w:rPr>
          <w:rFonts w:hint="default" w:ascii="Times New Roman" w:hAnsi="Times New Roman" w:eastAsia="仿宋_GB2312" w:cs="Times New Roman"/>
          <w:color w:val="auto"/>
          <w:sz w:val="28"/>
          <w:szCs w:val="28"/>
          <w:lang w:val="en" w:eastAsia="zh-CN"/>
        </w:rPr>
        <w:t>河南工业和信息化职业学院2025年-2028年物业服务项目，包括：</w:t>
      </w:r>
      <w:r>
        <w:rPr>
          <w:rFonts w:hint="default" w:ascii="Times New Roman" w:hAnsi="Times New Roman" w:eastAsia="仿宋" w:cs="Times New Roman"/>
          <w:color w:val="auto"/>
          <w:kern w:val="0"/>
          <w:sz w:val="28"/>
          <w:szCs w:val="28"/>
          <w:lang w:val="en-US" w:eastAsia="zh-CN" w:bidi="ar"/>
        </w:rPr>
        <w:t xml:space="preserve">教学组团、宿舍楼、办公楼、教学楼内公共教室、主要会议室等处公共部分（走廊、楼梯、卫生间）的保洁工作；校园内道路、人行步道、广场、绿篱、草坪、宣传栏等的保洁工作；校园内所有公共区域垃圾清理外运工作；宿舍楼的管理工作；学生宿舍调整后宿舍内部整理工作；楼宇内下水道堵塞清理工作；校园整体水电五金维修工作。 </w:t>
      </w:r>
    </w:p>
    <w:p w14:paraId="3248D2E9">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需要配备</w:t>
      </w:r>
      <w:r>
        <w:rPr>
          <w:rFonts w:hint="eastAsia" w:ascii="Times New Roman" w:hAnsi="Times New Roman" w:eastAsia="仿宋_GB2312" w:cs="Times New Roman"/>
          <w:color w:val="auto"/>
          <w:sz w:val="28"/>
          <w:szCs w:val="28"/>
          <w:lang w:val="en-US" w:eastAsia="zh-CN"/>
        </w:rPr>
        <w:t>项目经理</w:t>
      </w:r>
      <w:r>
        <w:rPr>
          <w:rFonts w:hint="default" w:ascii="Times New Roman" w:hAnsi="Times New Roman" w:eastAsia="仿宋_GB2312" w:cs="Times New Roman"/>
          <w:color w:val="auto"/>
          <w:sz w:val="28"/>
          <w:szCs w:val="28"/>
          <w:lang w:val="en-US" w:eastAsia="zh-CN"/>
        </w:rPr>
        <w:t>1名，保洁人员34人（含保洁队长1人），垃圾清运人员2人，</w:t>
      </w:r>
      <w:r>
        <w:rPr>
          <w:rFonts w:hint="eastAsia" w:ascii="Times New Roman" w:hAnsi="Times New Roman" w:eastAsia="仿宋_GB2312" w:cs="Times New Roman"/>
          <w:color w:val="auto"/>
          <w:sz w:val="28"/>
          <w:szCs w:val="28"/>
          <w:lang w:val="en-US" w:eastAsia="zh-CN"/>
        </w:rPr>
        <w:t>宿舍管理员</w:t>
      </w:r>
      <w:r>
        <w:rPr>
          <w:rFonts w:hint="default" w:ascii="Times New Roman" w:hAnsi="Times New Roman" w:eastAsia="仿宋_GB2312" w:cs="Times New Roman"/>
          <w:color w:val="auto"/>
          <w:sz w:val="28"/>
          <w:szCs w:val="28"/>
          <w:lang w:val="en-US" w:eastAsia="zh-CN"/>
        </w:rPr>
        <w:t>24人，校园整体维修人员8人，项目整体人数不得低于69人，寒暑假期间不低于33人。</w:t>
      </w:r>
    </w:p>
    <w:p w14:paraId="644042D4">
      <w:pPr>
        <w:keepNext w:val="0"/>
        <w:keepLines w:val="0"/>
        <w:pageBreakBefore w:val="0"/>
        <w:widowControl/>
        <w:kinsoku/>
        <w:wordWrap/>
        <w:overflowPunct/>
        <w:topLinePunct w:val="0"/>
        <w:autoSpaceDE/>
        <w:autoSpaceDN/>
        <w:bidi w:val="0"/>
        <w:adjustRightInd/>
        <w:snapToGrid/>
        <w:spacing w:line="460" w:lineRule="exact"/>
        <w:ind w:left="559" w:leftChars="266"/>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（3）服务期限：</w:t>
      </w:r>
      <w:r>
        <w:rPr>
          <w:rFonts w:hint="default" w:ascii="Times New Roman" w:hAnsi="Times New Roman" w:eastAsia="仿宋_GB2312" w:cs="Times New Roman"/>
          <w:color w:val="auto"/>
          <w:kern w:val="2"/>
          <w:sz w:val="28"/>
          <w:szCs w:val="28"/>
          <w:u w:val="none"/>
          <w:lang w:val="en-US" w:eastAsia="zh-CN"/>
        </w:rPr>
        <w:t>3年；</w:t>
      </w:r>
    </w:p>
    <w:p w14:paraId="22FB366D">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（4）服务地点：</w:t>
      </w:r>
      <w:bookmarkStart w:id="42" w:name="_Toc1866155745_WPSOffice_Level3"/>
      <w:r>
        <w:rPr>
          <w:rFonts w:hint="default" w:ascii="Times New Roman" w:hAnsi="Times New Roman" w:eastAsia="仿宋_GB2312" w:cs="Times New Roman"/>
          <w:color w:val="auto"/>
          <w:sz w:val="28"/>
          <w:szCs w:val="28"/>
          <w:lang w:val="en" w:eastAsia="zh-CN"/>
        </w:rPr>
        <w:t>河南工业和信息化职业学院新校区（河南省焦作市新区碧莲路801号）</w:t>
      </w:r>
      <w:r>
        <w:rPr>
          <w:rFonts w:hint="default" w:ascii="Times New Roman" w:hAnsi="Times New Roman" w:eastAsia="仿宋_GB2312" w:cs="Times New Roman"/>
          <w:color w:val="auto"/>
          <w:sz w:val="28"/>
          <w:szCs w:val="28"/>
          <w:lang w:val="en-US" w:eastAsia="zh-CN"/>
        </w:rPr>
        <w:t>；</w:t>
      </w:r>
    </w:p>
    <w:p w14:paraId="40E55BD3">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（5）服务质量：</w:t>
      </w:r>
      <w:bookmarkStart w:id="43" w:name="_Toc1031072132_WPSOffice_Level3"/>
      <w:r>
        <w:rPr>
          <w:rFonts w:hint="default" w:ascii="Times New Roman" w:hAnsi="Times New Roman" w:eastAsia="仿宋_GB2312" w:cs="Times New Roman"/>
          <w:color w:val="auto"/>
          <w:sz w:val="28"/>
          <w:szCs w:val="28"/>
          <w:highlight w:val="none"/>
          <w:lang w:val="en-US" w:eastAsia="zh-CN"/>
        </w:rPr>
        <w:t>满足采购人要求。</w:t>
      </w:r>
    </w:p>
    <w:p w14:paraId="6C484176">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bookmarkStart w:id="44" w:name="_Toc1826742135_WPSOffice_Level3"/>
      <w:r>
        <w:rPr>
          <w:rFonts w:hint="default" w:ascii="Times New Roman" w:hAnsi="Times New Roman" w:eastAsia="仿宋_GB2312" w:cs="Times New Roman"/>
          <w:color w:val="auto"/>
          <w:sz w:val="28"/>
          <w:szCs w:val="28"/>
          <w:lang w:val="en-US" w:eastAsia="zh-CN"/>
        </w:rPr>
        <w:t>6.合同履行期限：</w:t>
      </w:r>
      <w:bookmarkEnd w:id="42"/>
      <w:bookmarkEnd w:id="43"/>
      <w:bookmarkEnd w:id="44"/>
      <w:r>
        <w:rPr>
          <w:rFonts w:hint="default" w:ascii="Times New Roman" w:hAnsi="Times New Roman" w:eastAsia="仿宋_GB2312" w:cs="Times New Roman"/>
          <w:color w:val="auto"/>
          <w:sz w:val="28"/>
          <w:szCs w:val="28"/>
          <w:lang w:val="en-US" w:eastAsia="zh-CN"/>
        </w:rPr>
        <w:t>同服务期限</w:t>
      </w:r>
    </w:p>
    <w:p w14:paraId="137F28DF">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bookmarkStart w:id="45" w:name="_Toc804008546_WPSOffice_Level3"/>
      <w:bookmarkStart w:id="46" w:name="_Toc634119560_WPSOffice_Level3"/>
      <w:bookmarkStart w:id="47" w:name="_Toc1547155158_WPSOffice_Level3"/>
      <w:r>
        <w:rPr>
          <w:rFonts w:hint="default" w:ascii="Times New Roman" w:hAnsi="Times New Roman" w:eastAsia="仿宋_GB2312" w:cs="Times New Roman"/>
          <w:color w:val="auto"/>
          <w:sz w:val="28"/>
          <w:szCs w:val="28"/>
          <w:lang w:val="en-US" w:eastAsia="zh-CN"/>
        </w:rPr>
        <w:t>7.本项目是否接受联合体投标：否</w:t>
      </w:r>
      <w:bookmarkEnd w:id="45"/>
      <w:bookmarkEnd w:id="46"/>
      <w:bookmarkEnd w:id="47"/>
    </w:p>
    <w:p w14:paraId="0D37CB85">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bookmarkStart w:id="48" w:name="_Toc1454916570_WPSOffice_Level3"/>
      <w:bookmarkStart w:id="49" w:name="_Toc1075148766_WPSOffice_Level3"/>
      <w:bookmarkStart w:id="50" w:name="_Toc1394357842_WPSOffice_Level3"/>
      <w:r>
        <w:rPr>
          <w:rFonts w:hint="default" w:ascii="Times New Roman" w:hAnsi="Times New Roman" w:eastAsia="仿宋_GB2312" w:cs="Times New Roman"/>
          <w:color w:val="auto"/>
          <w:sz w:val="28"/>
          <w:szCs w:val="28"/>
          <w:lang w:val="en-US" w:eastAsia="zh-CN"/>
        </w:rPr>
        <w:t>8.是否</w:t>
      </w:r>
      <w:r>
        <w:rPr>
          <w:rFonts w:hint="eastAsia" w:ascii="Times New Roman" w:hAnsi="Times New Roman" w:eastAsia="仿宋_GB2312" w:cs="Times New Roman"/>
          <w:color w:val="auto"/>
          <w:sz w:val="28"/>
          <w:szCs w:val="28"/>
          <w:lang w:val="en-US" w:eastAsia="zh-CN"/>
        </w:rPr>
        <w:t>接受</w:t>
      </w:r>
      <w:r>
        <w:rPr>
          <w:rFonts w:hint="default" w:ascii="Times New Roman" w:hAnsi="Times New Roman" w:eastAsia="仿宋_GB2312" w:cs="Times New Roman"/>
          <w:color w:val="auto"/>
          <w:sz w:val="28"/>
          <w:szCs w:val="28"/>
          <w:lang w:val="en-US" w:eastAsia="zh-CN"/>
        </w:rPr>
        <w:t>进口产品：否</w:t>
      </w:r>
      <w:bookmarkEnd w:id="48"/>
      <w:bookmarkEnd w:id="49"/>
      <w:bookmarkEnd w:id="50"/>
    </w:p>
    <w:p w14:paraId="7EAA389B">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是否专门面向中小企业：否</w:t>
      </w:r>
    </w:p>
    <w:p w14:paraId="78F68458">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方正小标宋_GBK" w:cs="Times New Roman"/>
          <w:color w:val="auto"/>
          <w:sz w:val="28"/>
          <w:szCs w:val="28"/>
          <w:lang w:val="en-US" w:eastAsia="zh-CN"/>
        </w:rPr>
      </w:pPr>
      <w:bookmarkStart w:id="51" w:name="_Toc584363550_WPSOffice_Level2"/>
      <w:bookmarkStart w:id="52" w:name="_Toc2026118901_WPSOffice_Level2"/>
      <w:bookmarkStart w:id="53" w:name="_Toc407944620_WPSOffice_Level2"/>
      <w:bookmarkStart w:id="54" w:name="_Toc1298400066_WPSOffice_Level2"/>
      <w:bookmarkStart w:id="55" w:name="_Toc1990946225_WPSOffice_Level2"/>
      <w:r>
        <w:rPr>
          <w:rFonts w:hint="default" w:ascii="Times New Roman" w:hAnsi="Times New Roman" w:eastAsia="方正小标宋_GBK" w:cs="Times New Roman"/>
          <w:color w:val="auto"/>
          <w:sz w:val="28"/>
          <w:szCs w:val="28"/>
          <w:lang w:val="en-US" w:eastAsia="zh-CN"/>
        </w:rPr>
        <w:t>二、申请人资格要求</w:t>
      </w:r>
      <w:bookmarkEnd w:id="51"/>
      <w:bookmarkEnd w:id="52"/>
      <w:bookmarkEnd w:id="53"/>
      <w:bookmarkEnd w:id="54"/>
      <w:r>
        <w:rPr>
          <w:rFonts w:hint="default" w:ascii="Times New Roman" w:hAnsi="Times New Roman" w:eastAsia="仿宋_GB2312" w:cs="Times New Roman"/>
          <w:color w:val="auto"/>
          <w:sz w:val="28"/>
          <w:szCs w:val="28"/>
          <w:lang w:val="en-US" w:eastAsia="zh-CN"/>
        </w:rPr>
        <w:t>：</w:t>
      </w:r>
      <w:bookmarkEnd w:id="55"/>
    </w:p>
    <w:p w14:paraId="37188F7A">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bookmarkStart w:id="56" w:name="_Toc786047326_WPSOffice_Level3"/>
      <w:bookmarkStart w:id="57" w:name="_Toc795001869_WPSOffice_Level3"/>
      <w:bookmarkStart w:id="58" w:name="_Toc288167634_WPSOffice_Level3"/>
      <w:r>
        <w:rPr>
          <w:rFonts w:hint="default" w:ascii="Times New Roman" w:hAnsi="Times New Roman" w:eastAsia="仿宋_GB2312" w:cs="Times New Roman"/>
          <w:color w:val="auto"/>
          <w:sz w:val="28"/>
          <w:szCs w:val="28"/>
          <w:lang w:val="en-US" w:eastAsia="zh-CN"/>
        </w:rPr>
        <w:t>1.满足《中华人民共和国政府采购法》第二十二条规定；</w:t>
      </w:r>
      <w:bookmarkEnd w:id="56"/>
      <w:bookmarkEnd w:id="57"/>
      <w:bookmarkEnd w:id="58"/>
    </w:p>
    <w:p w14:paraId="090C9C1A">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bookmarkStart w:id="59" w:name="_Toc1004075335_WPSOffice_Level3"/>
      <w:bookmarkStart w:id="60" w:name="_Toc1059537205_WPSOffice_Level3"/>
      <w:bookmarkStart w:id="61" w:name="_Toc282163985_WPSOffice_Level3"/>
      <w:r>
        <w:rPr>
          <w:rFonts w:hint="default" w:ascii="Times New Roman" w:hAnsi="Times New Roman" w:eastAsia="仿宋_GB2312" w:cs="Times New Roman"/>
          <w:color w:val="auto"/>
          <w:sz w:val="28"/>
          <w:szCs w:val="28"/>
          <w:lang w:val="en-US" w:eastAsia="zh-CN"/>
        </w:rPr>
        <w:t>2.</w:t>
      </w:r>
      <w:bookmarkEnd w:id="59"/>
      <w:r>
        <w:rPr>
          <w:rFonts w:hint="default" w:ascii="Times New Roman" w:hAnsi="Times New Roman" w:eastAsia="仿宋_GB2312" w:cs="Times New Roman"/>
          <w:color w:val="auto"/>
          <w:sz w:val="28"/>
          <w:szCs w:val="28"/>
          <w:lang w:val="en-US" w:eastAsia="zh-CN"/>
        </w:rPr>
        <w:t>落实政府采购政策满足的资格要求：</w:t>
      </w:r>
      <w:bookmarkEnd w:id="60"/>
    </w:p>
    <w:bookmarkEnd w:id="61"/>
    <w:p w14:paraId="5BF821B2">
      <w:pPr>
        <w:keepNext w:val="0"/>
        <w:keepLines w:val="0"/>
        <w:pageBreakBefore w:val="0"/>
        <w:widowControl/>
        <w:kinsoku/>
        <w:wordWrap/>
        <w:overflowPunct/>
        <w:topLinePunct w:val="0"/>
        <w:autoSpaceDE/>
        <w:autoSpaceDN/>
        <w:bidi w:val="0"/>
        <w:adjustRightInd/>
        <w:snapToGrid/>
        <w:spacing w:line="460" w:lineRule="exact"/>
        <w:ind w:firstLine="840" w:firstLineChars="300"/>
        <w:jc w:val="left"/>
        <w:textAlignment w:val="auto"/>
        <w:rPr>
          <w:rFonts w:hint="default" w:ascii="Times New Roman" w:hAnsi="Times New Roman" w:eastAsia="仿宋_GB2312" w:cs="Times New Roman"/>
          <w:color w:val="auto"/>
          <w:sz w:val="28"/>
          <w:szCs w:val="28"/>
          <w:lang w:val="en-US" w:eastAsia="zh-CN"/>
        </w:rPr>
      </w:pPr>
      <w:bookmarkStart w:id="62" w:name="_Toc879078693_WPSOffice_Level3"/>
      <w:r>
        <w:rPr>
          <w:rFonts w:hint="default" w:ascii="Times New Roman" w:hAnsi="Times New Roman" w:eastAsia="仿宋_GB2312" w:cs="Times New Roman"/>
          <w:color w:val="auto"/>
          <w:sz w:val="28"/>
          <w:szCs w:val="28"/>
          <w:lang w:val="en-US" w:eastAsia="zh-CN"/>
        </w:rPr>
        <w:t>无</w:t>
      </w:r>
    </w:p>
    <w:p w14:paraId="3711FC82">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3.本项目的特定资格要求：</w:t>
      </w:r>
      <w:bookmarkEnd w:id="62"/>
    </w:p>
    <w:p w14:paraId="2EAA7791">
      <w:pPr>
        <w:keepNext w:val="0"/>
        <w:keepLines w:val="0"/>
        <w:pageBreakBefore w:val="0"/>
        <w:widowControl/>
        <w:kinsoku/>
        <w:wordWrap/>
        <w:overflowPunct/>
        <w:topLinePunct w:val="0"/>
        <w:autoSpaceDE/>
        <w:autoSpaceDN/>
        <w:bidi w:val="0"/>
        <w:adjustRightInd/>
        <w:snapToGrid/>
        <w:spacing w:line="460" w:lineRule="exact"/>
        <w:ind w:firstLine="840" w:firstLineChars="3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无</w:t>
      </w:r>
    </w:p>
    <w:p w14:paraId="1C32DDB8">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方正小标宋_GBK" w:cs="Times New Roman"/>
          <w:color w:val="auto"/>
          <w:sz w:val="28"/>
          <w:szCs w:val="28"/>
          <w:lang w:val="en-US" w:eastAsia="zh-CN"/>
        </w:rPr>
      </w:pPr>
      <w:bookmarkStart w:id="63" w:name="_Toc295468326_WPSOffice_Level2"/>
      <w:bookmarkStart w:id="64" w:name="_Toc1677814303_WPSOffice_Level2"/>
      <w:bookmarkStart w:id="65" w:name="_Toc1144697108_WPSOffice_Level2"/>
      <w:bookmarkStart w:id="66" w:name="_Toc2045253496_WPSOffice_Level2"/>
      <w:bookmarkStart w:id="67" w:name="_Toc872248170_WPSOffice_Level2"/>
      <w:r>
        <w:rPr>
          <w:rFonts w:hint="default" w:ascii="Times New Roman" w:hAnsi="Times New Roman" w:eastAsia="方正小标宋_GBK" w:cs="Times New Roman"/>
          <w:color w:val="auto"/>
          <w:sz w:val="28"/>
          <w:szCs w:val="28"/>
          <w:lang w:val="en-US" w:eastAsia="zh-CN"/>
        </w:rPr>
        <w:t>三、获取招标文件</w:t>
      </w:r>
      <w:bookmarkEnd w:id="63"/>
      <w:bookmarkEnd w:id="64"/>
      <w:bookmarkEnd w:id="65"/>
      <w:bookmarkEnd w:id="66"/>
      <w:bookmarkEnd w:id="67"/>
    </w:p>
    <w:p w14:paraId="1D21E6FB">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w:t>
      </w:r>
      <w:r>
        <w:rPr>
          <w:rFonts w:hint="default" w:ascii="Times New Roman" w:hAnsi="Times New Roman" w:eastAsia="仿宋_GB2312" w:cs="Times New Roman"/>
          <w:color w:val="auto"/>
          <w:sz w:val="28"/>
          <w:szCs w:val="28"/>
          <w:lang w:val="en" w:eastAsia="zh-CN"/>
        </w:rPr>
        <w:t>2025年7月</w:t>
      </w:r>
      <w:r>
        <w:rPr>
          <w:rFonts w:hint="eastAsia" w:ascii="Times New Roman" w:hAnsi="Times New Roman" w:eastAsia="仿宋_GB2312" w:cs="Times New Roman"/>
          <w:color w:val="auto"/>
          <w:sz w:val="28"/>
          <w:szCs w:val="28"/>
          <w:lang w:val="en-US" w:eastAsia="zh-CN"/>
        </w:rPr>
        <w:t>31</w:t>
      </w:r>
      <w:r>
        <w:rPr>
          <w:rFonts w:hint="default" w:ascii="Times New Roman" w:hAnsi="Times New Roman" w:eastAsia="仿宋_GB2312" w:cs="Times New Roman"/>
          <w:color w:val="auto"/>
          <w:sz w:val="28"/>
          <w:szCs w:val="28"/>
          <w:lang w:val="en-US" w:eastAsia="zh-CN"/>
        </w:rPr>
        <w:t>日至</w:t>
      </w:r>
      <w:r>
        <w:rPr>
          <w:rFonts w:hint="default" w:ascii="Times New Roman" w:hAnsi="Times New Roman" w:eastAsia="仿宋_GB2312" w:cs="Times New Roman"/>
          <w:color w:val="auto"/>
          <w:sz w:val="28"/>
          <w:szCs w:val="28"/>
          <w:lang w:val="en" w:eastAsia="zh-CN"/>
        </w:rPr>
        <w:t>2025年</w:t>
      </w:r>
      <w:r>
        <w:rPr>
          <w:rFonts w:hint="eastAsia"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lang w:val="en" w:eastAsia="zh-CN"/>
        </w:rPr>
        <w:t>月</w:t>
      </w:r>
      <w:r>
        <w:rPr>
          <w:rFonts w:hint="eastAsia"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val="en-US" w:eastAsia="zh-CN"/>
        </w:rPr>
        <w:t xml:space="preserve">日，每天上午00:00至12:00，下午12:00至23:59（北京时间，法定节假日除外。） </w:t>
      </w:r>
    </w:p>
    <w:p w14:paraId="27E97F63">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2.地点：河南省公共资源交易中心网站（hnsggzyjy.henan.gov.cn）。</w:t>
      </w:r>
    </w:p>
    <w:p w14:paraId="2783B54F">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3.方式：投标人使用CA数字证书登录“河南省公共资源交易中心”网站（hnsggzyjy.henan.gov.cn），并按网上提示下载投标项目所含格式(.hnzf)的招标文件及资料。注册、登录、下载等具体事宜</w:t>
      </w:r>
      <w:r>
        <w:rPr>
          <w:rFonts w:hint="default" w:ascii="Times New Roman" w:hAnsi="Times New Roman" w:eastAsia="仿宋" w:cs="Times New Roman"/>
          <w:color w:val="auto"/>
          <w:sz w:val="28"/>
          <w:szCs w:val="28"/>
          <w:lang w:val="en-US" w:eastAsia="zh-CN"/>
        </w:rPr>
        <w:t>请查阅河南省公共资源交易中心网站“公共服务”→“办事指南”。</w:t>
      </w:r>
    </w:p>
    <w:p w14:paraId="6B1A3179">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4.售价：0元 </w:t>
      </w:r>
    </w:p>
    <w:p w14:paraId="2A064ED1">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bookmarkStart w:id="68" w:name="_Toc994305580_WPSOffice_Level2"/>
      <w:bookmarkStart w:id="69" w:name="_Toc1361166934_WPSOffice_Level2"/>
      <w:bookmarkStart w:id="70" w:name="_Toc1432496505_WPSOffice_Level2"/>
      <w:bookmarkStart w:id="71" w:name="_Toc1740030706_WPSOffice_Level2"/>
      <w:bookmarkStart w:id="72" w:name="_Toc2091398558_WPSOffice_Level2"/>
      <w:r>
        <w:rPr>
          <w:rFonts w:hint="default" w:ascii="Times New Roman" w:hAnsi="Times New Roman" w:eastAsia="方正小标宋_GBK" w:cs="Times New Roman"/>
          <w:color w:val="auto"/>
          <w:sz w:val="28"/>
          <w:szCs w:val="28"/>
          <w:lang w:val="en-US" w:eastAsia="zh-CN"/>
        </w:rPr>
        <w:t>四、投标截止时间及地点</w:t>
      </w:r>
      <w:bookmarkEnd w:id="68"/>
      <w:bookmarkEnd w:id="69"/>
      <w:bookmarkEnd w:id="70"/>
      <w:bookmarkEnd w:id="71"/>
      <w:bookmarkEnd w:id="72"/>
    </w:p>
    <w:p w14:paraId="159CD794">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w:t>
      </w:r>
      <w:r>
        <w:rPr>
          <w:rFonts w:hint="default" w:ascii="Times New Roman" w:hAnsi="Times New Roman" w:eastAsia="仿宋_GB2312" w:cs="Times New Roman"/>
          <w:color w:val="auto"/>
          <w:sz w:val="28"/>
          <w:szCs w:val="28"/>
          <w:lang w:val="en" w:eastAsia="zh-CN"/>
        </w:rPr>
        <w:t>2025年</w:t>
      </w:r>
      <w:r>
        <w:rPr>
          <w:rFonts w:hint="default"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lang w:val="en" w:eastAsia="zh-CN"/>
        </w:rPr>
        <w:t>月</w:t>
      </w:r>
      <w:r>
        <w:rPr>
          <w:rFonts w:hint="eastAsia" w:ascii="Times New Roman" w:hAnsi="Times New Roman" w:eastAsia="仿宋_GB2312" w:cs="Times New Roman"/>
          <w:color w:val="auto"/>
          <w:sz w:val="28"/>
          <w:szCs w:val="28"/>
          <w:lang w:val="en-US" w:eastAsia="zh-CN"/>
        </w:rPr>
        <w:t>21</w:t>
      </w:r>
      <w:r>
        <w:rPr>
          <w:rFonts w:hint="default" w:ascii="Times New Roman" w:hAnsi="Times New Roman" w:eastAsia="仿宋_GB2312" w:cs="Times New Roman"/>
          <w:color w:val="auto"/>
          <w:sz w:val="28"/>
          <w:szCs w:val="28"/>
          <w:lang w:val="en-US" w:eastAsia="zh-CN"/>
        </w:rPr>
        <w:t>日09时00分（北京时间）</w:t>
      </w:r>
    </w:p>
    <w:p w14:paraId="5C111FDB">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rPr>
      </w:pPr>
      <w:r>
        <w:rPr>
          <w:rFonts w:hint="default" w:ascii="Times New Roman" w:hAnsi="Times New Roman" w:eastAsia="仿宋_GB2312" w:cs="Times New Roman"/>
          <w:color w:val="auto"/>
          <w:sz w:val="28"/>
          <w:szCs w:val="28"/>
          <w:lang w:val="en-US"/>
        </w:rPr>
        <w:t>2.地点：</w:t>
      </w:r>
      <w:r>
        <w:rPr>
          <w:rFonts w:hint="default" w:ascii="Times New Roman" w:hAnsi="Times New Roman" w:eastAsia="仿宋" w:cs="Times New Roman"/>
          <w:color w:val="auto"/>
          <w:sz w:val="28"/>
          <w:szCs w:val="28"/>
        </w:rPr>
        <w:t>河南省公共资源交易中心网站</w:t>
      </w:r>
      <w:r>
        <w:rPr>
          <w:rFonts w:hint="default" w:ascii="Times New Roman" w:hAnsi="Times New Roman" w:eastAsia="仿宋" w:cs="Times New Roman"/>
          <w:color w:val="auto"/>
          <w:sz w:val="28"/>
          <w:szCs w:val="28"/>
          <w:lang w:val="en-US"/>
        </w:rPr>
        <w:t>（</w:t>
      </w:r>
      <w:r>
        <w:rPr>
          <w:rFonts w:hint="default" w:ascii="Times New Roman" w:hAnsi="Times New Roman" w:eastAsia="仿宋_GB2312" w:cs="Times New Roman"/>
          <w:color w:val="auto"/>
          <w:sz w:val="28"/>
          <w:szCs w:val="28"/>
          <w:lang w:val="en-US" w:eastAsia="zh-CN"/>
        </w:rPr>
        <w:t>hnsggzyjy.henan.gov.cn</w:t>
      </w:r>
      <w:r>
        <w:rPr>
          <w:rFonts w:hint="default" w:ascii="Times New Roman" w:hAnsi="Times New Roman" w:eastAsia="仿宋" w:cs="Times New Roman"/>
          <w:color w:val="auto"/>
          <w:sz w:val="28"/>
          <w:szCs w:val="28"/>
          <w:lang w:val="en-US"/>
        </w:rPr>
        <w:t>）</w:t>
      </w:r>
      <w:r>
        <w:rPr>
          <w:rFonts w:hint="default" w:ascii="Times New Roman" w:hAnsi="Times New Roman" w:eastAsia="仿宋_GB2312" w:cs="Times New Roman"/>
          <w:color w:val="auto"/>
          <w:sz w:val="28"/>
          <w:szCs w:val="28"/>
          <w:lang w:val="en-US"/>
        </w:rPr>
        <w:t>。</w:t>
      </w:r>
    </w:p>
    <w:p w14:paraId="26EC6BA4">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方正小标宋_GBK" w:cs="Times New Roman"/>
          <w:color w:val="auto"/>
          <w:sz w:val="28"/>
          <w:szCs w:val="28"/>
          <w:lang w:val="en-US" w:eastAsia="zh-CN"/>
        </w:rPr>
      </w:pPr>
      <w:bookmarkStart w:id="73" w:name="_Toc2015382973_WPSOffice_Level2"/>
      <w:bookmarkStart w:id="74" w:name="_Toc843072336_WPSOffice_Level2"/>
      <w:bookmarkStart w:id="75" w:name="_Toc29068487_WPSOffice_Level2"/>
      <w:bookmarkStart w:id="76" w:name="_Toc1340501896_WPSOffice_Level2"/>
      <w:bookmarkStart w:id="77" w:name="_Toc1501260250_WPSOffice_Level2"/>
      <w:r>
        <w:rPr>
          <w:rFonts w:hint="default" w:ascii="Times New Roman" w:hAnsi="Times New Roman" w:eastAsia="方正小标宋_GBK" w:cs="Times New Roman"/>
          <w:color w:val="auto"/>
          <w:sz w:val="28"/>
          <w:szCs w:val="28"/>
          <w:lang w:val="en-US" w:eastAsia="zh-CN"/>
        </w:rPr>
        <w:t>五、开标时间及地点</w:t>
      </w:r>
      <w:bookmarkEnd w:id="73"/>
      <w:bookmarkEnd w:id="74"/>
      <w:bookmarkEnd w:id="75"/>
      <w:bookmarkEnd w:id="76"/>
      <w:bookmarkEnd w:id="77"/>
    </w:p>
    <w:p w14:paraId="19FD1849">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w:t>
      </w:r>
      <w:r>
        <w:rPr>
          <w:rFonts w:hint="default" w:ascii="Times New Roman" w:hAnsi="Times New Roman" w:eastAsia="仿宋_GB2312" w:cs="Times New Roman"/>
          <w:color w:val="auto"/>
          <w:sz w:val="28"/>
          <w:szCs w:val="28"/>
          <w:lang w:val="en" w:eastAsia="zh-CN"/>
        </w:rPr>
        <w:t>2025年</w:t>
      </w:r>
      <w:r>
        <w:rPr>
          <w:rFonts w:hint="default"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lang w:val="en" w:eastAsia="zh-CN"/>
        </w:rPr>
        <w:t>月</w:t>
      </w:r>
      <w:r>
        <w:rPr>
          <w:rFonts w:hint="eastAsia" w:ascii="Times New Roman" w:hAnsi="Times New Roman" w:eastAsia="仿宋_GB2312" w:cs="Times New Roman"/>
          <w:color w:val="auto"/>
          <w:sz w:val="28"/>
          <w:szCs w:val="28"/>
          <w:lang w:val="en-US" w:eastAsia="zh-CN"/>
        </w:rPr>
        <w:t>21</w:t>
      </w:r>
      <w:r>
        <w:rPr>
          <w:rFonts w:hint="default" w:ascii="Times New Roman" w:hAnsi="Times New Roman" w:eastAsia="仿宋_GB2312" w:cs="Times New Roman"/>
          <w:color w:val="auto"/>
          <w:sz w:val="28"/>
          <w:szCs w:val="28"/>
          <w:lang w:val="en-US" w:eastAsia="zh-CN"/>
        </w:rPr>
        <w:t>日09时00分（北京时间）</w:t>
      </w:r>
    </w:p>
    <w:p w14:paraId="76166122">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rPr>
        <w:t>2.地点：</w:t>
      </w:r>
      <w:bookmarkStart w:id="78" w:name="_Toc847108981_WPSOffice_Level2"/>
      <w:bookmarkStart w:id="79" w:name="_Toc1101443234_WPSOffice_Level2"/>
      <w:bookmarkStart w:id="80" w:name="_Toc74330375_WPSOffice_Level2"/>
      <w:r>
        <w:rPr>
          <w:rFonts w:hint="default" w:ascii="Times New Roman" w:hAnsi="Times New Roman" w:eastAsia="仿宋_GB2312" w:cs="Times New Roman"/>
          <w:color w:val="auto"/>
          <w:sz w:val="28"/>
          <w:szCs w:val="28"/>
          <w:lang w:val="en-US" w:eastAsia="zh-CN"/>
        </w:rPr>
        <w:t>河南省公共资源交易中心远程开标室；“河南省公共资源交易中心”网站（hnsggzyjy.henan.gov.cn）——不见面开标大厅。</w:t>
      </w:r>
    </w:p>
    <w:p w14:paraId="1FD4EDBA">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方正小标宋_GBK" w:cs="Times New Roman"/>
          <w:color w:val="auto"/>
          <w:sz w:val="28"/>
          <w:szCs w:val="28"/>
          <w:lang w:val="en-US" w:eastAsia="zh-CN"/>
        </w:rPr>
      </w:pPr>
      <w:bookmarkStart w:id="81" w:name="_Toc2023413763_WPSOffice_Level2"/>
      <w:bookmarkStart w:id="82" w:name="_Toc1299643612_WPSOffice_Level2"/>
      <w:r>
        <w:rPr>
          <w:rFonts w:hint="default" w:ascii="Times New Roman" w:hAnsi="Times New Roman" w:eastAsia="方正小标宋_GBK" w:cs="Times New Roman"/>
          <w:color w:val="auto"/>
          <w:sz w:val="28"/>
          <w:szCs w:val="28"/>
          <w:lang w:val="en-US" w:eastAsia="zh-CN"/>
        </w:rPr>
        <w:t>六、发布公告的媒介及招标公告期限</w:t>
      </w:r>
      <w:bookmarkEnd w:id="78"/>
      <w:bookmarkEnd w:id="79"/>
      <w:bookmarkEnd w:id="80"/>
      <w:bookmarkEnd w:id="81"/>
      <w:bookmarkEnd w:id="82"/>
    </w:p>
    <w:p w14:paraId="11D19B0B">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本次招标公告在《河南省政府采购网》《河南省公共资源交易中心网》上发布，招标公告期限为五个工作日。</w:t>
      </w:r>
    </w:p>
    <w:p w14:paraId="7B94D03A">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方正小标宋_GBK" w:cs="Times New Roman"/>
          <w:color w:val="auto"/>
          <w:sz w:val="28"/>
          <w:szCs w:val="28"/>
          <w:lang w:val="en-US" w:eastAsia="zh-CN"/>
        </w:rPr>
      </w:pPr>
      <w:bookmarkStart w:id="83" w:name="_Toc1849985481_WPSOffice_Level2"/>
      <w:bookmarkStart w:id="84" w:name="_Toc1765891161_WPSOffice_Level2"/>
      <w:bookmarkStart w:id="85" w:name="_Toc934758795_WPSOffice_Level2"/>
      <w:bookmarkStart w:id="86" w:name="_Toc271688487_WPSOffice_Level2"/>
      <w:bookmarkStart w:id="87" w:name="_Toc811435245_WPSOffice_Level2"/>
      <w:r>
        <w:rPr>
          <w:rFonts w:hint="default" w:ascii="Times New Roman" w:hAnsi="Times New Roman" w:eastAsia="方正小标宋_GBK" w:cs="Times New Roman"/>
          <w:color w:val="auto"/>
          <w:sz w:val="28"/>
          <w:szCs w:val="28"/>
          <w:lang w:val="en-US" w:eastAsia="zh-CN"/>
        </w:rPr>
        <w:t>七、其他补充事宜</w:t>
      </w:r>
      <w:bookmarkEnd w:id="83"/>
      <w:bookmarkEnd w:id="84"/>
      <w:bookmarkEnd w:id="85"/>
      <w:bookmarkEnd w:id="86"/>
      <w:bookmarkEnd w:id="87"/>
    </w:p>
    <w:p w14:paraId="05BC7BBE">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bookmarkStart w:id="88" w:name="_Toc1844119755_WPSOffice_Level2"/>
      <w:bookmarkStart w:id="89" w:name="_Toc104417590_WPSOffice_Level2"/>
      <w:bookmarkStart w:id="90" w:name="_Toc163594944_WPSOffice_Level2"/>
      <w:bookmarkStart w:id="91" w:name="_Toc1528591159_WPSOffice_Level2"/>
      <w:bookmarkStart w:id="92" w:name="_Toc1643921422_WPSOffice_Level2"/>
      <w:r>
        <w:rPr>
          <w:rFonts w:hint="default" w:ascii="Times New Roman" w:hAnsi="Times New Roman" w:eastAsia="仿宋_GB2312" w:cs="Times New Roman"/>
          <w:color w:val="auto"/>
          <w:sz w:val="28"/>
          <w:szCs w:val="28"/>
          <w:lang w:val="en-US" w:eastAsia="zh-CN"/>
        </w:rPr>
        <w:t>本项目落实中小企业扶持、促进残疾人就业等相关政府采购政策。</w:t>
      </w:r>
    </w:p>
    <w:p w14:paraId="090CDAC1">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方正小标宋_GBK" w:cs="Times New Roman"/>
          <w:color w:val="auto"/>
          <w:sz w:val="28"/>
          <w:szCs w:val="28"/>
          <w:lang w:val="en-US" w:eastAsia="zh-CN"/>
        </w:rPr>
      </w:pPr>
      <w:r>
        <w:rPr>
          <w:rFonts w:hint="default" w:ascii="Times New Roman" w:hAnsi="Times New Roman" w:eastAsia="方正小标宋_GBK" w:cs="Times New Roman"/>
          <w:color w:val="auto"/>
          <w:sz w:val="28"/>
          <w:szCs w:val="28"/>
          <w:lang w:val="en-US" w:eastAsia="zh-CN"/>
        </w:rPr>
        <w:t>八、凡对本次招标提出询问，请按照以下方式联系</w:t>
      </w:r>
      <w:bookmarkEnd w:id="88"/>
      <w:bookmarkEnd w:id="89"/>
      <w:bookmarkEnd w:id="90"/>
      <w:bookmarkEnd w:id="91"/>
      <w:bookmarkEnd w:id="92"/>
    </w:p>
    <w:p w14:paraId="57D81DBE">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bookmarkStart w:id="93" w:name="_Toc1644240802_WPSOffice_Level3"/>
      <w:bookmarkStart w:id="94" w:name="_Toc116085146_WPSOffice_Level3"/>
      <w:r>
        <w:rPr>
          <w:rFonts w:hint="default" w:ascii="Times New Roman" w:hAnsi="Times New Roman" w:eastAsia="仿宋_GB2312" w:cs="Times New Roman"/>
          <w:color w:val="auto"/>
          <w:sz w:val="28"/>
          <w:szCs w:val="28"/>
          <w:lang w:val="en-US" w:eastAsia="zh-CN"/>
        </w:rPr>
        <w:t xml:space="preserve">1. 采购人信息 </w:t>
      </w:r>
    </w:p>
    <w:p w14:paraId="52C19F05">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名称：</w:t>
      </w:r>
      <w:r>
        <w:rPr>
          <w:rFonts w:hint="default" w:ascii="Times New Roman" w:hAnsi="Times New Roman" w:eastAsia="仿宋_GB2312" w:cs="Times New Roman"/>
          <w:color w:val="auto"/>
          <w:sz w:val="28"/>
          <w:szCs w:val="28"/>
          <w:lang w:val="en" w:eastAsia="zh-CN"/>
        </w:rPr>
        <w:t>河南工业和信息化职业学院</w:t>
      </w:r>
      <w:r>
        <w:rPr>
          <w:rFonts w:hint="default" w:ascii="Times New Roman" w:hAnsi="Times New Roman" w:eastAsia="仿宋_GB2312" w:cs="Times New Roman"/>
          <w:color w:val="auto"/>
          <w:sz w:val="28"/>
          <w:szCs w:val="28"/>
          <w:lang w:val="en-US" w:eastAsia="zh-CN"/>
        </w:rPr>
        <w:t xml:space="preserve"> </w:t>
      </w:r>
    </w:p>
    <w:p w14:paraId="1FFF6F9A">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地址：河南省焦作市新区碧莲路801号 </w:t>
      </w:r>
    </w:p>
    <w:p w14:paraId="5CD730F2">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联系人：王文斐 薛璐</w:t>
      </w:r>
    </w:p>
    <w:p w14:paraId="01786EBF">
      <w:pPr>
        <w:spacing w:line="500" w:lineRule="exact"/>
        <w:ind w:firstLine="560" w:firstLineChars="200"/>
        <w:jc w:val="left"/>
        <w:rPr>
          <w:rFonts w:hint="default" w:ascii="Times New Roman" w:hAnsi="Times New Roman" w:eastAsia="宋体"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联系方式：0391-8767632</w:t>
      </w:r>
    </w:p>
    <w:p w14:paraId="14C6E8A1">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2.采购代理机构信息（如有） </w:t>
      </w:r>
    </w:p>
    <w:p w14:paraId="2D13C85D">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名称：河南省公共资源交易中心</w:t>
      </w:r>
    </w:p>
    <w:p w14:paraId="661A7C45">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地址：郑州市经二路12号</w:t>
      </w:r>
    </w:p>
    <w:p w14:paraId="1424A760">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联系人：郭老师 余老师</w:t>
      </w:r>
    </w:p>
    <w:p w14:paraId="5E1D6F42">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联系方式：0371-65915560</w:t>
      </w:r>
    </w:p>
    <w:p w14:paraId="2C0F3F38">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3. 项目联系方式 </w:t>
      </w:r>
    </w:p>
    <w:p w14:paraId="21D2B69A">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联系人：王文斐 薛璐</w:t>
      </w:r>
    </w:p>
    <w:p w14:paraId="35121809">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联系方式：0391-8767632</w:t>
      </w:r>
    </w:p>
    <w:bookmarkEnd w:id="93"/>
    <w:bookmarkEnd w:id="94"/>
    <w:p w14:paraId="5AFCA0D9">
      <w:pPr>
        <w:pStyle w:val="50"/>
        <w:rPr>
          <w:rFonts w:hint="default" w:ascii="Times New Roman" w:hAnsi="Times New Roman" w:cs="Times New Roman"/>
          <w:color w:val="auto"/>
          <w:lang w:val="en-US" w:eastAsia="zh-CN"/>
        </w:rPr>
        <w:sectPr>
          <w:footerReference r:id="rId3" w:type="default"/>
          <w:pgSz w:w="11900" w:h="16840"/>
          <w:pgMar w:top="1440" w:right="1174" w:bottom="1440" w:left="1797" w:header="851" w:footer="992" w:gutter="0"/>
          <w:pgNumType w:start="1"/>
          <w:cols w:space="720" w:num="1"/>
        </w:sectPr>
      </w:pPr>
    </w:p>
    <w:p w14:paraId="6B1F04C5">
      <w:pPr>
        <w:pStyle w:val="2"/>
        <w:spacing w:before="0" w:after="0" w:line="240" w:lineRule="auto"/>
        <w:jc w:val="center"/>
        <w:rPr>
          <w:rFonts w:hint="default" w:ascii="Times New Roman" w:hAnsi="Times New Roman" w:eastAsia="宋体" w:cs="Times New Roman"/>
          <w:color w:val="auto"/>
          <w:sz w:val="36"/>
          <w:szCs w:val="36"/>
          <w:lang w:eastAsia="zh-CN"/>
        </w:rPr>
      </w:pPr>
      <w:bookmarkStart w:id="95" w:name="_Toc2106074957"/>
      <w:bookmarkStart w:id="96" w:name="_Toc543843355"/>
      <w:bookmarkStart w:id="97" w:name="_Toc18210"/>
      <w:bookmarkStart w:id="98" w:name="_Toc1932859446_WPSOffice_Level1"/>
      <w:bookmarkStart w:id="99" w:name="_Toc894622228"/>
      <w:bookmarkStart w:id="100" w:name="_Toc337485847"/>
      <w:bookmarkStart w:id="101" w:name="_Toc1520451966"/>
      <w:bookmarkStart w:id="102" w:name="_Toc719882491_WPSOffice_Level1"/>
      <w:bookmarkStart w:id="103" w:name="_Toc1378990171"/>
      <w:bookmarkStart w:id="104" w:name="_Toc1158409811_WPSOffice_Level1"/>
      <w:bookmarkStart w:id="105" w:name="_Toc339222953_WPSOffice_Level1"/>
      <w:bookmarkStart w:id="106" w:name="_Toc1016738770_WPSOffice_Level1"/>
      <w:bookmarkStart w:id="107" w:name="_Toc403451568"/>
      <w:bookmarkStart w:id="108" w:name="_Toc27631594"/>
      <w:bookmarkStart w:id="109" w:name="_Toc1562014060"/>
      <w:bookmarkStart w:id="110" w:name="_Toc401873220"/>
      <w:bookmarkStart w:id="111" w:name="_Toc969346985"/>
      <w:bookmarkStart w:id="112" w:name="_Toc2032132179"/>
      <w:bookmarkStart w:id="113" w:name="_Toc1043881812"/>
      <w:r>
        <w:rPr>
          <w:rFonts w:hint="default" w:ascii="Times New Roman" w:hAnsi="Times New Roman" w:eastAsia="宋体" w:cs="Times New Roman"/>
          <w:color w:val="auto"/>
          <w:sz w:val="36"/>
          <w:szCs w:val="36"/>
          <w:lang w:eastAsia="zh-CN"/>
        </w:rPr>
        <w:t>第二章 投标人须知前附表</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66CB09AA">
      <w:pPr>
        <w:spacing w:line="48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本表是对投标人须知的具体补充和修改，如有矛盾，应以本表为准。</w:t>
      </w:r>
    </w:p>
    <w:tbl>
      <w:tblPr>
        <w:tblStyle w:val="52"/>
        <w:tblW w:w="8868" w:type="dxa"/>
        <w:tblInd w:w="-14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025"/>
        <w:gridCol w:w="7843"/>
      </w:tblGrid>
      <w:tr w14:paraId="2A045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0" w:hRule="atLeast"/>
          <w:tblHeader/>
        </w:trPr>
        <w:tc>
          <w:tcPr>
            <w:tcW w:w="1025" w:type="dxa"/>
            <w:noWrap w:val="0"/>
            <w:vAlign w:val="center"/>
          </w:tcPr>
          <w:p w14:paraId="51B12DC7">
            <w:pPr>
              <w:spacing w:line="360" w:lineRule="auto"/>
              <w:jc w:val="center"/>
              <w:rPr>
                <w:rFonts w:hint="default" w:ascii="Times New Roman" w:hAnsi="Times New Roman" w:eastAsia="仿宋_GB2312" w:cs="Times New Roman"/>
                <w:b/>
                <w:bCs/>
                <w:color w:val="auto"/>
                <w:sz w:val="30"/>
                <w:szCs w:val="30"/>
              </w:rPr>
            </w:pPr>
            <w:r>
              <w:rPr>
                <w:rFonts w:hint="default" w:ascii="Times New Roman" w:hAnsi="Times New Roman" w:eastAsia="仿宋_GB2312" w:cs="Times New Roman"/>
                <w:b/>
                <w:bCs/>
                <w:color w:val="auto"/>
                <w:sz w:val="30"/>
                <w:szCs w:val="30"/>
              </w:rPr>
              <w:t>条款号</w:t>
            </w:r>
          </w:p>
        </w:tc>
        <w:tc>
          <w:tcPr>
            <w:tcW w:w="7843" w:type="dxa"/>
            <w:noWrap w:val="0"/>
            <w:vAlign w:val="center"/>
          </w:tcPr>
          <w:p w14:paraId="12B5BE3E">
            <w:pPr>
              <w:spacing w:line="360" w:lineRule="auto"/>
              <w:jc w:val="center"/>
              <w:rPr>
                <w:rFonts w:hint="default" w:ascii="Times New Roman" w:hAnsi="Times New Roman" w:eastAsia="仿宋_GB2312" w:cs="Times New Roman"/>
                <w:b/>
                <w:bCs/>
                <w:color w:val="auto"/>
                <w:sz w:val="30"/>
                <w:szCs w:val="30"/>
              </w:rPr>
            </w:pPr>
            <w:r>
              <w:rPr>
                <w:rFonts w:hint="default" w:ascii="Times New Roman" w:hAnsi="Times New Roman" w:eastAsia="仿宋_GB2312" w:cs="Times New Roman"/>
                <w:b/>
                <w:bCs/>
                <w:color w:val="auto"/>
                <w:sz w:val="30"/>
                <w:szCs w:val="30"/>
              </w:rPr>
              <w:t>内      容</w:t>
            </w:r>
          </w:p>
        </w:tc>
      </w:tr>
      <w:tr w14:paraId="01C1E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8" w:hRule="atLeast"/>
        </w:trPr>
        <w:tc>
          <w:tcPr>
            <w:tcW w:w="1025" w:type="dxa"/>
            <w:noWrap w:val="0"/>
            <w:vAlign w:val="center"/>
          </w:tcPr>
          <w:p w14:paraId="0C14A694">
            <w:pPr>
              <w:spacing w:line="360" w:lineRule="auto"/>
              <w:jc w:val="center"/>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1.2</w:t>
            </w:r>
          </w:p>
        </w:tc>
        <w:tc>
          <w:tcPr>
            <w:tcW w:w="7843" w:type="dxa"/>
            <w:noWrap w:val="0"/>
            <w:vAlign w:val="center"/>
          </w:tcPr>
          <w:p w14:paraId="4D7B9016">
            <w:pPr>
              <w:spacing w:line="360" w:lineRule="auto"/>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采购项目：</w:t>
            </w:r>
            <w:r>
              <w:rPr>
                <w:rFonts w:hint="default" w:ascii="Times New Roman" w:hAnsi="Times New Roman" w:eastAsia="仿宋_GB2312" w:cs="Times New Roman"/>
                <w:color w:val="auto"/>
                <w:sz w:val="28"/>
                <w:szCs w:val="28"/>
                <w:lang w:val="en" w:eastAsia="zh-CN"/>
              </w:rPr>
              <w:t>河南工业和信息化职业学院2025年-2028年物业服务项目</w:t>
            </w:r>
            <w:r>
              <w:rPr>
                <w:rFonts w:hint="default" w:ascii="Times New Roman" w:hAnsi="Times New Roman" w:eastAsia="仿宋_GB2312" w:cs="Times New Roman"/>
                <w:color w:val="auto"/>
                <w:sz w:val="28"/>
                <w:szCs w:val="28"/>
                <w:lang w:val="en-US" w:eastAsia="zh-CN"/>
              </w:rPr>
              <w:t xml:space="preserve"> </w:t>
            </w:r>
          </w:p>
        </w:tc>
      </w:tr>
      <w:tr w14:paraId="3A379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88" w:hRule="atLeast"/>
        </w:trPr>
        <w:tc>
          <w:tcPr>
            <w:tcW w:w="1025" w:type="dxa"/>
            <w:noWrap w:val="0"/>
            <w:vAlign w:val="center"/>
          </w:tcPr>
          <w:p w14:paraId="423DF1D8">
            <w:pPr>
              <w:spacing w:line="360" w:lineRule="auto"/>
              <w:jc w:val="center"/>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1.3</w:t>
            </w:r>
          </w:p>
        </w:tc>
        <w:tc>
          <w:tcPr>
            <w:tcW w:w="7843" w:type="dxa"/>
            <w:noWrap w:val="0"/>
            <w:vAlign w:val="center"/>
          </w:tcPr>
          <w:p w14:paraId="2144A830">
            <w:pPr>
              <w:spacing w:line="360" w:lineRule="auto"/>
              <w:jc w:val="lef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采购编号：</w:t>
            </w:r>
            <w:r>
              <w:rPr>
                <w:rFonts w:hint="default" w:ascii="Times New Roman" w:hAnsi="Times New Roman" w:eastAsia="仿宋_GB2312" w:cs="Times New Roman"/>
                <w:color w:val="auto"/>
                <w:sz w:val="28"/>
                <w:szCs w:val="28"/>
                <w:lang w:val="en" w:eastAsia="zh-CN"/>
              </w:rPr>
              <w:t>豫财招标采购-2025-791</w:t>
            </w:r>
          </w:p>
        </w:tc>
      </w:tr>
      <w:tr w14:paraId="3F964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96" w:hRule="atLeast"/>
        </w:trPr>
        <w:tc>
          <w:tcPr>
            <w:tcW w:w="1025" w:type="dxa"/>
            <w:noWrap w:val="0"/>
            <w:vAlign w:val="center"/>
          </w:tcPr>
          <w:p w14:paraId="4BB8B4D1">
            <w:pPr>
              <w:spacing w:line="360" w:lineRule="auto"/>
              <w:jc w:val="center"/>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1.4</w:t>
            </w:r>
          </w:p>
        </w:tc>
        <w:tc>
          <w:tcPr>
            <w:tcW w:w="7843" w:type="dxa"/>
            <w:noWrap w:val="0"/>
            <w:vAlign w:val="center"/>
          </w:tcPr>
          <w:p w14:paraId="66E65E2F">
            <w:pPr>
              <w:spacing w:line="360" w:lineRule="auto"/>
              <w:rPr>
                <w:rFonts w:hint="default" w:ascii="Times New Roman" w:hAnsi="Times New Roman" w:cs="Times New Roman"/>
                <w:color w:val="auto"/>
                <w:sz w:val="28"/>
                <w:szCs w:val="28"/>
                <w:lang w:eastAsia="zh-CN"/>
              </w:rPr>
            </w:pPr>
            <w:r>
              <w:rPr>
                <w:rFonts w:hint="default" w:ascii="Times New Roman" w:hAnsi="Times New Roman" w:eastAsia="仿宋_GB2312" w:cs="Times New Roman"/>
                <w:color w:val="auto"/>
                <w:sz w:val="28"/>
                <w:szCs w:val="28"/>
                <w:lang w:eastAsia="zh-CN"/>
              </w:rPr>
              <w:t>采购项目简要说明：同“第一章 投标邀请”</w:t>
            </w:r>
          </w:p>
        </w:tc>
      </w:tr>
      <w:tr w14:paraId="5DC9C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025" w:type="dxa"/>
            <w:noWrap w:val="0"/>
            <w:vAlign w:val="center"/>
          </w:tcPr>
          <w:p w14:paraId="24B946F4">
            <w:pPr>
              <w:spacing w:line="360" w:lineRule="auto"/>
              <w:jc w:val="center"/>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2.2</w:t>
            </w:r>
          </w:p>
        </w:tc>
        <w:tc>
          <w:tcPr>
            <w:tcW w:w="7843" w:type="dxa"/>
            <w:noWrap w:val="0"/>
            <w:vAlign w:val="center"/>
          </w:tcPr>
          <w:p w14:paraId="35292208">
            <w:pPr>
              <w:pStyle w:val="97"/>
              <w:ind w:firstLine="0" w:firstLineChars="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采购人：</w:t>
            </w:r>
            <w:r>
              <w:rPr>
                <w:rFonts w:hint="default" w:ascii="Times New Roman" w:hAnsi="Times New Roman" w:eastAsia="仿宋_GB2312" w:cs="Times New Roman"/>
                <w:color w:val="auto"/>
                <w:sz w:val="28"/>
                <w:szCs w:val="28"/>
                <w:lang w:val="en" w:eastAsia="zh-CN"/>
              </w:rPr>
              <w:t>河南工业和信息化职业学院</w:t>
            </w:r>
            <w:r>
              <w:rPr>
                <w:rFonts w:hint="default" w:ascii="Times New Roman" w:hAnsi="Times New Roman" w:eastAsia="仿宋_GB2312" w:cs="Times New Roman"/>
                <w:color w:val="auto"/>
                <w:sz w:val="28"/>
                <w:szCs w:val="28"/>
                <w:lang w:val="en-US" w:eastAsia="zh-CN"/>
              </w:rPr>
              <w:t xml:space="preserve"> </w:t>
            </w:r>
          </w:p>
          <w:p w14:paraId="4C8D0540">
            <w:pPr>
              <w:pStyle w:val="97"/>
              <w:ind w:firstLine="0" w:firstLineChars="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地址：河南省焦作市新区碧莲路801号</w:t>
            </w:r>
          </w:p>
          <w:p w14:paraId="38C0EC64">
            <w:pPr>
              <w:pStyle w:val="97"/>
              <w:ind w:firstLine="0" w:firstLineChars="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联系人：王文斐 薛璐</w:t>
            </w:r>
          </w:p>
          <w:p w14:paraId="2F17B2A4">
            <w:pPr>
              <w:pStyle w:val="97"/>
              <w:ind w:firstLine="0" w:firstLineChars="0"/>
              <w:rPr>
                <w:rFonts w:hint="default" w:ascii="Times New Roman" w:hAnsi="Times New Roman" w:eastAsia="仿宋_GB2312" w:cs="Times New Roman"/>
                <w:color w:val="auto"/>
                <w:sz w:val="28"/>
                <w:szCs w:val="28"/>
                <w:lang w:val="en-US"/>
              </w:rPr>
            </w:pPr>
            <w:r>
              <w:rPr>
                <w:rFonts w:hint="default" w:ascii="Times New Roman" w:hAnsi="Times New Roman" w:eastAsia="仿宋_GB2312" w:cs="Times New Roman"/>
                <w:color w:val="auto"/>
                <w:sz w:val="28"/>
                <w:szCs w:val="28"/>
                <w:lang w:val="en-US" w:eastAsia="zh-CN"/>
              </w:rPr>
              <w:t>联系方式：0391-8767632</w:t>
            </w:r>
          </w:p>
          <w:p w14:paraId="4255E81E">
            <w:pPr>
              <w:pStyle w:val="17"/>
              <w:spacing w:before="0" w:line="360" w:lineRule="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28"/>
                <w:szCs w:val="28"/>
              </w:rPr>
              <w:t>邮箱：</w:t>
            </w:r>
            <w:r>
              <w:rPr>
                <w:rFonts w:hint="default" w:ascii="Times New Roman" w:hAnsi="Times New Roman" w:eastAsia="仿宋_GB2312" w:cs="Times New Roman"/>
                <w:color w:val="auto"/>
                <w:sz w:val="28"/>
                <w:szCs w:val="28"/>
                <w:lang w:val="en-US" w:eastAsia="zh-CN"/>
              </w:rPr>
              <w:t>hciitzcb@126.com</w:t>
            </w:r>
          </w:p>
        </w:tc>
      </w:tr>
      <w:tr w14:paraId="0EDFF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934" w:hRule="atLeast"/>
        </w:trPr>
        <w:tc>
          <w:tcPr>
            <w:tcW w:w="1025" w:type="dxa"/>
            <w:noWrap w:val="0"/>
            <w:vAlign w:val="center"/>
          </w:tcPr>
          <w:p w14:paraId="675721AD">
            <w:pPr>
              <w:spacing w:line="360" w:lineRule="auto"/>
              <w:jc w:val="center"/>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2.3</w:t>
            </w:r>
          </w:p>
        </w:tc>
        <w:tc>
          <w:tcPr>
            <w:tcW w:w="7843" w:type="dxa"/>
            <w:noWrap w:val="0"/>
            <w:vAlign w:val="center"/>
          </w:tcPr>
          <w:p w14:paraId="22F6E00A">
            <w:pPr>
              <w:spacing w:line="360" w:lineRule="auto"/>
              <w:jc w:val="left"/>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color w:val="auto"/>
                <w:sz w:val="30"/>
                <w:szCs w:val="30"/>
                <w:lang w:eastAsia="zh-CN"/>
              </w:rPr>
              <w:t>集中采购机构：河南省公共资源交易中心</w:t>
            </w:r>
          </w:p>
          <w:p w14:paraId="47AE817F">
            <w:pPr>
              <w:spacing w:line="360" w:lineRule="auto"/>
              <w:jc w:val="left"/>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color w:val="auto"/>
                <w:sz w:val="30"/>
                <w:szCs w:val="30"/>
                <w:lang w:eastAsia="zh-CN"/>
              </w:rPr>
              <w:t>地址：郑州市经二路12号</w:t>
            </w:r>
          </w:p>
          <w:p w14:paraId="34F7EE9B">
            <w:pPr>
              <w:spacing w:line="360" w:lineRule="auto"/>
              <w:jc w:val="left"/>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eastAsia="zh-CN"/>
              </w:rPr>
              <w:t>联系人：郭</w:t>
            </w:r>
            <w:r>
              <w:rPr>
                <w:rFonts w:hint="default" w:ascii="Times New Roman" w:hAnsi="Times New Roman" w:eastAsia="仿宋_GB2312" w:cs="Times New Roman"/>
                <w:color w:val="auto"/>
                <w:sz w:val="30"/>
                <w:szCs w:val="30"/>
                <w:lang w:val="en-US" w:eastAsia="zh-CN"/>
              </w:rPr>
              <w:t>老师 余老师</w:t>
            </w:r>
          </w:p>
          <w:p w14:paraId="5828BCE5">
            <w:pPr>
              <w:spacing w:line="360" w:lineRule="auto"/>
              <w:jc w:val="left"/>
              <w:rPr>
                <w:rFonts w:hint="default" w:ascii="Times New Roman" w:hAnsi="Times New Roman" w:eastAsia="仿宋_GB2312" w:cs="Times New Roman"/>
                <w:color w:val="auto"/>
                <w:sz w:val="30"/>
                <w:szCs w:val="30"/>
                <w:lang w:val="en-US"/>
              </w:rPr>
            </w:pPr>
            <w:r>
              <w:rPr>
                <w:rFonts w:hint="default" w:ascii="Times New Roman" w:hAnsi="Times New Roman" w:eastAsia="仿宋_GB2312" w:cs="Times New Roman"/>
                <w:color w:val="auto"/>
                <w:sz w:val="30"/>
                <w:szCs w:val="30"/>
              </w:rPr>
              <w:t>联系电话：0371-65915560</w:t>
            </w:r>
          </w:p>
          <w:p w14:paraId="116FAAD6">
            <w:pPr>
              <w:spacing w:line="360" w:lineRule="auto"/>
              <w:jc w:val="left"/>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邮箱：hnggzyzfcg@163.com</w:t>
            </w:r>
          </w:p>
        </w:tc>
      </w:tr>
      <w:tr w14:paraId="62ABD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55" w:hRule="atLeast"/>
        </w:trPr>
        <w:tc>
          <w:tcPr>
            <w:tcW w:w="1025" w:type="dxa"/>
            <w:noWrap w:val="0"/>
            <w:vAlign w:val="center"/>
          </w:tcPr>
          <w:p w14:paraId="4F87A5D8">
            <w:pPr>
              <w:spacing w:line="360" w:lineRule="auto"/>
              <w:jc w:val="center"/>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2.5.1</w:t>
            </w:r>
          </w:p>
        </w:tc>
        <w:tc>
          <w:tcPr>
            <w:tcW w:w="7843" w:type="dxa"/>
            <w:noWrap w:val="0"/>
            <w:vAlign w:val="center"/>
          </w:tcPr>
          <w:p w14:paraId="719188DE">
            <w:pPr>
              <w:spacing w:line="360" w:lineRule="auto"/>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color w:val="auto"/>
                <w:sz w:val="30"/>
                <w:szCs w:val="30"/>
                <w:lang w:val="en-US" w:eastAsia="zh-CN"/>
              </w:rPr>
              <w:t>是否为专门面向中小企业采购：</w:t>
            </w:r>
            <w:r>
              <w:rPr>
                <w:rFonts w:hint="default" w:ascii="Times New Roman" w:hAnsi="Times New Roman" w:eastAsia="仿宋_GB2312" w:cs="Times New Roman"/>
                <w:b/>
                <w:bCs/>
                <w:color w:val="auto"/>
                <w:sz w:val="30"/>
                <w:szCs w:val="30"/>
                <w:lang w:val="en-US" w:eastAsia="zh-CN"/>
              </w:rPr>
              <w:t>否</w:t>
            </w:r>
          </w:p>
        </w:tc>
      </w:tr>
      <w:tr w14:paraId="5D9BD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38" w:hRule="atLeast"/>
        </w:trPr>
        <w:tc>
          <w:tcPr>
            <w:tcW w:w="1025" w:type="dxa"/>
            <w:noWrap w:val="0"/>
            <w:vAlign w:val="center"/>
          </w:tcPr>
          <w:p w14:paraId="1EAF7666">
            <w:pPr>
              <w:spacing w:line="360" w:lineRule="auto"/>
              <w:jc w:val="center"/>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2.5.2</w:t>
            </w:r>
          </w:p>
        </w:tc>
        <w:tc>
          <w:tcPr>
            <w:tcW w:w="7843" w:type="dxa"/>
            <w:noWrap w:val="0"/>
            <w:vAlign w:val="center"/>
          </w:tcPr>
          <w:p w14:paraId="5054CD5A">
            <w:pPr>
              <w:spacing w:line="360" w:lineRule="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是否允许采购进口产品：</w:t>
            </w:r>
            <w:r>
              <w:rPr>
                <w:rFonts w:hint="default" w:ascii="Times New Roman" w:hAnsi="Times New Roman" w:eastAsia="仿宋_GB2312" w:cs="Times New Roman"/>
                <w:b/>
                <w:bCs/>
                <w:color w:val="auto"/>
                <w:sz w:val="30"/>
                <w:szCs w:val="30"/>
                <w:lang w:val="en-US" w:eastAsia="zh-CN"/>
              </w:rPr>
              <w:t>否</w:t>
            </w:r>
          </w:p>
        </w:tc>
      </w:tr>
      <w:tr w14:paraId="31C44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76" w:hRule="atLeast"/>
        </w:trPr>
        <w:tc>
          <w:tcPr>
            <w:tcW w:w="1025" w:type="dxa"/>
            <w:noWrap w:val="0"/>
            <w:vAlign w:val="center"/>
          </w:tcPr>
          <w:p w14:paraId="36D956DF">
            <w:pPr>
              <w:spacing w:line="360" w:lineRule="auto"/>
              <w:jc w:val="center"/>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w:t>
            </w:r>
          </w:p>
        </w:tc>
        <w:tc>
          <w:tcPr>
            <w:tcW w:w="7843" w:type="dxa"/>
            <w:noWrap w:val="0"/>
            <w:vAlign w:val="center"/>
          </w:tcPr>
          <w:p w14:paraId="67636482">
            <w:pPr>
              <w:spacing w:line="360" w:lineRule="auto"/>
              <w:jc w:val="left"/>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color w:val="auto"/>
                <w:sz w:val="30"/>
                <w:szCs w:val="30"/>
                <w:lang w:eastAsia="zh-CN"/>
              </w:rPr>
              <w:t>踏勘现场：</w:t>
            </w:r>
          </w:p>
          <w:p w14:paraId="4B500FBA">
            <w:pPr>
              <w:spacing w:line="360" w:lineRule="auto"/>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b/>
                <w:bCs/>
                <w:color w:val="auto"/>
                <w:sz w:val="30"/>
                <w:szCs w:val="30"/>
              </w:rPr>
              <w:fldChar w:fldCharType="begin"/>
            </w:r>
            <w:r>
              <w:rPr>
                <w:rFonts w:hint="default" w:ascii="Times New Roman" w:hAnsi="Times New Roman" w:eastAsia="仿宋_GB2312" w:cs="Times New Roman"/>
                <w:b/>
                <w:bCs/>
                <w:color w:val="auto"/>
                <w:sz w:val="30"/>
                <w:szCs w:val="30"/>
                <w:lang w:eastAsia="zh-CN"/>
              </w:rPr>
              <w:instrText xml:space="preserve"> eq \o\ac(</w:instrText>
            </w:r>
            <w:r>
              <w:rPr>
                <w:rFonts w:hint="default" w:ascii="Times New Roman" w:hAnsi="Times New Roman" w:eastAsia="仿宋_GB2312" w:cs="Times New Roman"/>
                <w:b/>
                <w:bCs/>
                <w:color w:val="auto"/>
                <w:position w:val="-6"/>
                <w:sz w:val="45"/>
                <w:szCs w:val="30"/>
                <w:lang w:eastAsia="zh-CN"/>
              </w:rPr>
              <w:instrText xml:space="preserve">□</w:instrText>
            </w:r>
            <w:r>
              <w:rPr>
                <w:rFonts w:hint="default" w:ascii="Times New Roman" w:hAnsi="Times New Roman" w:eastAsia="仿宋_GB2312" w:cs="Times New Roman"/>
                <w:b/>
                <w:bCs/>
                <w:color w:val="auto"/>
                <w:position w:val="0"/>
                <w:sz w:val="30"/>
                <w:szCs w:val="30"/>
                <w:lang w:eastAsia="zh-CN"/>
              </w:rPr>
              <w:instrText xml:space="preserve">,√)</w:instrText>
            </w:r>
            <w:r>
              <w:rPr>
                <w:rFonts w:hint="default" w:ascii="Times New Roman" w:hAnsi="Times New Roman" w:eastAsia="仿宋_GB2312" w:cs="Times New Roman"/>
                <w:b/>
                <w:bCs/>
                <w:color w:val="auto"/>
                <w:sz w:val="30"/>
                <w:szCs w:val="30"/>
              </w:rPr>
              <w:fldChar w:fldCharType="end"/>
            </w:r>
            <w:r>
              <w:rPr>
                <w:rFonts w:hint="default" w:ascii="Times New Roman" w:hAnsi="Times New Roman" w:eastAsia="仿宋_GB2312" w:cs="Times New Roman"/>
                <w:b/>
                <w:bCs/>
                <w:color w:val="auto"/>
                <w:sz w:val="30"/>
                <w:szCs w:val="30"/>
                <w:lang w:eastAsia="zh-CN"/>
              </w:rPr>
              <w:t>不组织</w:t>
            </w:r>
            <w:r>
              <w:rPr>
                <w:rFonts w:hint="default" w:ascii="Times New Roman" w:hAnsi="Times New Roman" w:eastAsia="仿宋_GB2312" w:cs="Times New Roman"/>
                <w:color w:val="auto"/>
                <w:sz w:val="30"/>
                <w:szCs w:val="30"/>
                <w:lang w:eastAsia="zh-CN"/>
              </w:rPr>
              <w:t>，投标人可自行对项目现场和周围环境进行踏勘，踏勘现场所发生的费用由投标人自己承担。出现事故，责任由投标人自行承担。</w:t>
            </w:r>
          </w:p>
          <w:p w14:paraId="6577C880">
            <w:pPr>
              <w:spacing w:line="360" w:lineRule="auto"/>
              <w:rPr>
                <w:rFonts w:hint="default" w:ascii="Times New Roman" w:hAnsi="Times New Roman" w:eastAsia="仿宋_GB2312" w:cs="Times New Roman"/>
                <w:color w:val="auto"/>
                <w:sz w:val="30"/>
                <w:szCs w:val="30"/>
                <w:u w:val="single"/>
                <w:lang w:eastAsia="zh-CN"/>
              </w:rPr>
            </w:pPr>
            <w:r>
              <w:rPr>
                <w:rFonts w:hint="default" w:ascii="Times New Roman" w:hAnsi="Times New Roman" w:eastAsia="仿宋_GB2312" w:cs="Times New Roman"/>
                <w:b/>
                <w:bCs/>
                <w:color w:val="auto"/>
                <w:sz w:val="30"/>
                <w:szCs w:val="30"/>
                <w:lang w:eastAsia="zh-CN"/>
              </w:rPr>
              <w:t>□组织</w:t>
            </w:r>
            <w:r>
              <w:rPr>
                <w:rFonts w:hint="default" w:ascii="Times New Roman" w:hAnsi="Times New Roman" w:eastAsia="仿宋_GB2312" w:cs="Times New Roman"/>
                <w:color w:val="auto"/>
                <w:sz w:val="30"/>
                <w:szCs w:val="30"/>
                <w:lang w:eastAsia="zh-CN"/>
              </w:rPr>
              <w:t>，踏勘时间：</w:t>
            </w:r>
            <w:r>
              <w:rPr>
                <w:rFonts w:hint="default" w:ascii="Times New Roman" w:hAnsi="Times New Roman" w:eastAsia="仿宋_GB2312" w:cs="Times New Roman"/>
                <w:color w:val="auto"/>
                <w:sz w:val="30"/>
                <w:szCs w:val="30"/>
                <w:u w:val="single"/>
                <w:lang w:eastAsia="zh-CN"/>
              </w:rPr>
              <w:t xml:space="preserve">  /  </w:t>
            </w:r>
          </w:p>
          <w:p w14:paraId="5C65B39D">
            <w:pPr>
              <w:spacing w:line="360" w:lineRule="auto"/>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color w:val="auto"/>
                <w:sz w:val="30"/>
                <w:szCs w:val="30"/>
                <w:lang w:eastAsia="zh-CN"/>
              </w:rPr>
              <w:t xml:space="preserve">        踏勘集中地点：</w:t>
            </w:r>
            <w:r>
              <w:rPr>
                <w:rFonts w:hint="default" w:ascii="Times New Roman" w:hAnsi="Times New Roman" w:eastAsia="仿宋_GB2312" w:cs="Times New Roman"/>
                <w:color w:val="auto"/>
                <w:sz w:val="30"/>
                <w:szCs w:val="30"/>
                <w:u w:val="single"/>
                <w:lang w:eastAsia="zh-CN"/>
              </w:rPr>
              <w:t xml:space="preserve">  /  </w:t>
            </w:r>
          </w:p>
        </w:tc>
      </w:tr>
      <w:tr w14:paraId="51A05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8" w:hRule="atLeast"/>
        </w:trPr>
        <w:tc>
          <w:tcPr>
            <w:tcW w:w="1025" w:type="dxa"/>
            <w:noWrap w:val="0"/>
            <w:vAlign w:val="center"/>
          </w:tcPr>
          <w:p w14:paraId="5E7AB4BB">
            <w:pPr>
              <w:spacing w:line="360" w:lineRule="auto"/>
              <w:jc w:val="center"/>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color w:val="auto"/>
                <w:sz w:val="30"/>
                <w:szCs w:val="30"/>
                <w:lang w:eastAsia="zh-CN"/>
              </w:rPr>
              <w:t>6.6</w:t>
            </w:r>
          </w:p>
        </w:tc>
        <w:tc>
          <w:tcPr>
            <w:tcW w:w="7843" w:type="dxa"/>
            <w:noWrap w:val="0"/>
            <w:vAlign w:val="center"/>
          </w:tcPr>
          <w:p w14:paraId="26D0A913">
            <w:pPr>
              <w:spacing w:line="360" w:lineRule="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是否允许联合体投标：</w:t>
            </w:r>
            <w:r>
              <w:rPr>
                <w:rFonts w:hint="default" w:ascii="Times New Roman" w:hAnsi="Times New Roman" w:eastAsia="仿宋_GB2312" w:cs="Times New Roman"/>
                <w:b/>
                <w:bCs/>
                <w:color w:val="auto"/>
                <w:sz w:val="30"/>
                <w:szCs w:val="30"/>
                <w:lang w:val="en-US" w:eastAsia="zh-CN"/>
              </w:rPr>
              <w:t>否</w:t>
            </w:r>
          </w:p>
        </w:tc>
      </w:tr>
      <w:tr w14:paraId="568F4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9" w:hRule="atLeast"/>
        </w:trPr>
        <w:tc>
          <w:tcPr>
            <w:tcW w:w="1025" w:type="dxa"/>
            <w:noWrap w:val="0"/>
            <w:vAlign w:val="center"/>
          </w:tcPr>
          <w:p w14:paraId="3A8A80EE">
            <w:pPr>
              <w:spacing w:line="360" w:lineRule="auto"/>
              <w:jc w:val="center"/>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16</w:t>
            </w:r>
          </w:p>
        </w:tc>
        <w:tc>
          <w:tcPr>
            <w:tcW w:w="7843" w:type="dxa"/>
            <w:noWrap w:val="0"/>
            <w:vAlign w:val="center"/>
          </w:tcPr>
          <w:p w14:paraId="2660B3CE">
            <w:pPr>
              <w:spacing w:line="360" w:lineRule="auto"/>
              <w:jc w:val="left"/>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color w:val="auto"/>
                <w:sz w:val="30"/>
                <w:szCs w:val="30"/>
                <w:lang w:val="en-US" w:eastAsia="zh-CN"/>
              </w:rPr>
              <w:t>如投标人对多个分包进行投标，按照分包顺序可以中标：</w:t>
            </w:r>
            <w:r>
              <w:rPr>
                <w:rFonts w:hint="default" w:ascii="Times New Roman" w:hAnsi="Times New Roman" w:eastAsia="仿宋_GB2312" w:cs="Times New Roman"/>
                <w:b/>
                <w:bCs/>
                <w:color w:val="auto"/>
                <w:sz w:val="30"/>
                <w:szCs w:val="30"/>
                <w:lang w:val="en-US" w:eastAsia="zh-CN"/>
              </w:rPr>
              <w:t>一个包</w:t>
            </w:r>
          </w:p>
        </w:tc>
      </w:tr>
      <w:tr w14:paraId="6BA1F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53" w:hRule="atLeast"/>
        </w:trPr>
        <w:tc>
          <w:tcPr>
            <w:tcW w:w="1025" w:type="dxa"/>
            <w:noWrap w:val="0"/>
            <w:vAlign w:val="center"/>
          </w:tcPr>
          <w:p w14:paraId="3721E352">
            <w:pPr>
              <w:spacing w:line="360" w:lineRule="auto"/>
              <w:jc w:val="center"/>
              <w:rPr>
                <w:rFonts w:hint="default" w:ascii="Times New Roman" w:hAnsi="Times New Roman" w:eastAsia="仿宋_GB2312" w:cs="Times New Roman"/>
                <w:strike/>
                <w:color w:val="auto"/>
                <w:sz w:val="30"/>
                <w:szCs w:val="30"/>
                <w:highlight w:val="cyan"/>
              </w:rPr>
            </w:pPr>
            <w:r>
              <w:rPr>
                <w:rFonts w:hint="default" w:ascii="Times New Roman" w:hAnsi="Times New Roman" w:eastAsia="仿宋_GB2312" w:cs="Times New Roman"/>
                <w:color w:val="auto"/>
                <w:sz w:val="30"/>
                <w:szCs w:val="30"/>
                <w:lang w:val="en-US" w:eastAsia="zh-CN"/>
              </w:rPr>
              <w:t>17.2</w:t>
            </w:r>
          </w:p>
        </w:tc>
        <w:tc>
          <w:tcPr>
            <w:tcW w:w="7843" w:type="dxa"/>
            <w:noWrap w:val="0"/>
            <w:vAlign w:val="center"/>
          </w:tcPr>
          <w:p w14:paraId="5C3628D1">
            <w:pPr>
              <w:spacing w:line="360" w:lineRule="auto"/>
              <w:rPr>
                <w:rFonts w:hint="default" w:ascii="Times New Roman" w:hAnsi="Times New Roman" w:eastAsia="仿宋_GB2312" w:cs="Times New Roman"/>
                <w:strike/>
                <w:color w:val="auto"/>
                <w:sz w:val="30"/>
                <w:szCs w:val="30"/>
                <w:highlight w:val="cyan"/>
                <w:lang w:eastAsia="zh-CN"/>
              </w:rPr>
            </w:pPr>
            <w:r>
              <w:rPr>
                <w:rFonts w:hint="default" w:ascii="Times New Roman" w:hAnsi="Times New Roman" w:eastAsia="仿宋_GB2312" w:cs="Times New Roman"/>
                <w:color w:val="auto"/>
                <w:sz w:val="30"/>
                <w:szCs w:val="30"/>
                <w:lang w:eastAsia="zh-CN"/>
              </w:rPr>
              <w:t>资格证明文件：须上传到“资格审查材料”中。</w:t>
            </w:r>
          </w:p>
        </w:tc>
      </w:tr>
      <w:tr w14:paraId="2D934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025" w:type="dxa"/>
            <w:noWrap w:val="0"/>
            <w:vAlign w:val="center"/>
          </w:tcPr>
          <w:p w14:paraId="22ED250B">
            <w:pPr>
              <w:spacing w:line="360" w:lineRule="auto"/>
              <w:jc w:val="center"/>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18.3</w:t>
            </w:r>
          </w:p>
        </w:tc>
        <w:tc>
          <w:tcPr>
            <w:tcW w:w="7843" w:type="dxa"/>
            <w:noWrap w:val="0"/>
            <w:vAlign w:val="center"/>
          </w:tcPr>
          <w:p w14:paraId="3D0797E2">
            <w:pPr>
              <w:spacing w:line="360" w:lineRule="auto"/>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color w:val="auto"/>
                <w:sz w:val="30"/>
                <w:szCs w:val="30"/>
                <w:lang w:eastAsia="zh-CN"/>
              </w:rPr>
              <w:t>（</w:t>
            </w:r>
            <w:r>
              <w:rPr>
                <w:rFonts w:hint="default" w:ascii="Times New Roman" w:hAnsi="Times New Roman" w:eastAsia="仿宋_GB2312" w:cs="Times New Roman"/>
                <w:color w:val="auto"/>
                <w:sz w:val="30"/>
                <w:szCs w:val="30"/>
                <w:lang w:val="en-US" w:eastAsia="zh-CN"/>
              </w:rPr>
              <w:t>1</w:t>
            </w:r>
            <w:r>
              <w:rPr>
                <w:rFonts w:hint="default" w:ascii="Times New Roman" w:hAnsi="Times New Roman" w:eastAsia="仿宋_GB2312" w:cs="Times New Roman"/>
                <w:color w:val="auto"/>
                <w:sz w:val="30"/>
                <w:szCs w:val="30"/>
                <w:lang w:eastAsia="zh-CN"/>
              </w:rPr>
              <w:t>）投标报价：完成招标文件规定的服务范围的所有费用，包括本次采购项目的所有成本、管理费、利润、税金、人员工资、服装费、食宿、交通、工具、机具、消耗品、办公费、各种国家相关规定的</w:t>
            </w:r>
            <w:r>
              <w:rPr>
                <w:rFonts w:hint="default" w:ascii="Times New Roman" w:hAnsi="Times New Roman" w:eastAsia="仿宋_GB2312" w:cs="Times New Roman"/>
                <w:color w:val="auto"/>
                <w:sz w:val="30"/>
                <w:szCs w:val="30"/>
                <w:highlight w:val="none"/>
                <w:lang w:eastAsia="zh-CN"/>
              </w:rPr>
              <w:t>保险费</w:t>
            </w:r>
            <w:r>
              <w:rPr>
                <w:rFonts w:hint="default" w:ascii="Times New Roman" w:hAnsi="Times New Roman" w:eastAsia="仿宋_GB2312" w:cs="Times New Roman"/>
                <w:color w:val="auto"/>
                <w:sz w:val="30"/>
                <w:szCs w:val="30"/>
                <w:lang w:eastAsia="zh-CN"/>
              </w:rPr>
              <w:t>以及投标人按有关规定应在报价中考虑的费用等。</w:t>
            </w:r>
          </w:p>
          <w:p w14:paraId="0A6DD760">
            <w:pPr>
              <w:spacing w:line="360" w:lineRule="auto"/>
              <w:rPr>
                <w:rFonts w:hint="default" w:ascii="Times New Roman" w:hAnsi="Times New Roman" w:eastAsia="仿宋_GB2312" w:cs="Times New Roman"/>
                <w:b/>
                <w:bCs/>
                <w:color w:val="auto"/>
                <w:sz w:val="30"/>
                <w:szCs w:val="30"/>
                <w:lang w:eastAsia="zh-CN"/>
              </w:rPr>
            </w:pPr>
            <w:r>
              <w:rPr>
                <w:rFonts w:hint="default" w:ascii="Times New Roman" w:hAnsi="Times New Roman" w:eastAsia="仿宋_GB2312" w:cs="Times New Roman"/>
                <w:color w:val="auto"/>
                <w:sz w:val="30"/>
                <w:szCs w:val="30"/>
                <w:lang w:eastAsia="zh-CN"/>
              </w:rPr>
              <w:t>（</w:t>
            </w:r>
            <w:r>
              <w:rPr>
                <w:rFonts w:hint="default" w:ascii="Times New Roman" w:hAnsi="Times New Roman" w:eastAsia="仿宋_GB2312" w:cs="Times New Roman"/>
                <w:color w:val="auto"/>
                <w:sz w:val="30"/>
                <w:szCs w:val="30"/>
                <w:lang w:val="en-US" w:eastAsia="zh-CN"/>
              </w:rPr>
              <w:t>2</w:t>
            </w:r>
            <w:r>
              <w:rPr>
                <w:rFonts w:hint="default" w:ascii="Times New Roman" w:hAnsi="Times New Roman" w:eastAsia="仿宋_GB2312" w:cs="Times New Roman"/>
                <w:color w:val="auto"/>
                <w:sz w:val="30"/>
                <w:szCs w:val="30"/>
                <w:lang w:eastAsia="zh-CN"/>
              </w:rPr>
              <w:t>）投标报价相关说明：</w:t>
            </w:r>
          </w:p>
          <w:p w14:paraId="79FE432B">
            <w:pPr>
              <w:spacing w:line="360" w:lineRule="auto"/>
              <w:rPr>
                <w:rFonts w:hint="default" w:ascii="Times New Roman" w:hAnsi="Times New Roman" w:eastAsia="仿宋_GB2312" w:cs="Times New Roman"/>
                <w:bCs/>
                <w:color w:val="auto"/>
                <w:sz w:val="30"/>
                <w:szCs w:val="30"/>
                <w:lang w:eastAsia="zh-CN"/>
              </w:rPr>
            </w:pPr>
            <w:r>
              <w:rPr>
                <w:rFonts w:hint="default" w:ascii="Times New Roman" w:hAnsi="Times New Roman" w:eastAsia="仿宋_GB2312" w:cs="Times New Roman"/>
                <w:bCs/>
                <w:color w:val="auto"/>
                <w:sz w:val="30"/>
                <w:szCs w:val="30"/>
                <w:lang w:eastAsia="zh-CN"/>
              </w:rPr>
              <w:t>①最低工资标准按</w:t>
            </w:r>
            <w:r>
              <w:rPr>
                <w:rFonts w:hint="default" w:ascii="Times New Roman" w:hAnsi="Times New Roman" w:eastAsia="仿宋_GB2312" w:cs="Times New Roman"/>
                <w:bCs/>
                <w:color w:val="auto"/>
                <w:sz w:val="30"/>
                <w:szCs w:val="30"/>
                <w:lang w:val="en-US" w:eastAsia="zh-CN"/>
              </w:rPr>
              <w:t>最新</w:t>
            </w:r>
            <w:r>
              <w:rPr>
                <w:rFonts w:hint="default" w:ascii="Times New Roman" w:hAnsi="Times New Roman" w:eastAsia="仿宋_GB2312" w:cs="Times New Roman"/>
                <w:bCs/>
                <w:color w:val="auto"/>
                <w:sz w:val="30"/>
                <w:szCs w:val="30"/>
                <w:lang w:eastAsia="zh-CN"/>
              </w:rPr>
              <w:t>《河南省人民政府关于调整河南省最低工资标准的通知》执行。</w:t>
            </w:r>
          </w:p>
          <w:p w14:paraId="64E03719">
            <w:pPr>
              <w:spacing w:line="360" w:lineRule="auto"/>
              <w:rPr>
                <w:rFonts w:hint="default" w:ascii="Times New Roman" w:hAnsi="Times New Roman" w:eastAsia="仿宋_GB2312" w:cs="Times New Roman"/>
                <w:bCs/>
                <w:color w:val="auto"/>
                <w:sz w:val="30"/>
                <w:szCs w:val="30"/>
                <w:lang w:eastAsia="zh-CN"/>
              </w:rPr>
            </w:pPr>
            <w:r>
              <w:rPr>
                <w:rFonts w:hint="default" w:ascii="Times New Roman" w:hAnsi="Times New Roman" w:eastAsia="仿宋_GB2312" w:cs="Times New Roman"/>
                <w:bCs/>
                <w:color w:val="auto"/>
                <w:sz w:val="30"/>
                <w:szCs w:val="30"/>
                <w:lang w:eastAsia="zh-CN"/>
              </w:rPr>
              <w:t>②岗位人员工资、社会保险费、税金取费不得低于国家规定的最低标准。</w:t>
            </w:r>
          </w:p>
          <w:p w14:paraId="2E49D8C9">
            <w:pPr>
              <w:spacing w:line="360" w:lineRule="auto"/>
              <w:rPr>
                <w:rFonts w:hint="default" w:ascii="Times New Roman" w:hAnsi="Times New Roman" w:eastAsia="仿宋_GB2312" w:cs="Times New Roman"/>
                <w:b/>
                <w:bCs/>
                <w:color w:val="auto"/>
                <w:sz w:val="30"/>
                <w:szCs w:val="30"/>
                <w:lang w:eastAsia="zh-CN"/>
              </w:rPr>
            </w:pPr>
            <w:r>
              <w:rPr>
                <w:rFonts w:hint="default" w:ascii="Times New Roman" w:hAnsi="Times New Roman" w:eastAsia="仿宋_GB2312" w:cs="Times New Roman"/>
                <w:bCs/>
                <w:color w:val="auto"/>
                <w:sz w:val="30"/>
                <w:szCs w:val="30"/>
                <w:lang w:eastAsia="zh-CN"/>
              </w:rPr>
              <w:t>③若有特殊情况，请予以备注说明并提供相关证明。</w:t>
            </w:r>
          </w:p>
          <w:p w14:paraId="3C0BE826">
            <w:pPr>
              <w:spacing w:line="360" w:lineRule="auto"/>
              <w:jc w:val="left"/>
              <w:rPr>
                <w:rFonts w:hint="default" w:ascii="Times New Roman" w:hAnsi="Times New Roman" w:eastAsia="仿宋_GB2312" w:cs="Times New Roman"/>
                <w:bCs/>
                <w:color w:val="auto"/>
                <w:sz w:val="30"/>
                <w:szCs w:val="30"/>
                <w:lang w:eastAsia="zh-CN"/>
              </w:rPr>
            </w:pPr>
            <w:r>
              <w:rPr>
                <w:rFonts w:hint="default" w:ascii="Times New Roman" w:hAnsi="Times New Roman" w:eastAsia="仿宋_GB2312" w:cs="Times New Roman"/>
                <w:bCs/>
                <w:color w:val="auto"/>
                <w:kern w:val="0"/>
                <w:sz w:val="30"/>
                <w:szCs w:val="30"/>
                <w:lang w:eastAsia="zh-CN"/>
              </w:rPr>
              <w:t>（</w:t>
            </w:r>
            <w:r>
              <w:rPr>
                <w:rFonts w:hint="default" w:ascii="Times New Roman" w:hAnsi="Times New Roman" w:eastAsia="仿宋_GB2312" w:cs="Times New Roman"/>
                <w:bCs/>
                <w:color w:val="auto"/>
                <w:kern w:val="0"/>
                <w:sz w:val="30"/>
                <w:szCs w:val="30"/>
                <w:lang w:val="en-US" w:eastAsia="zh-CN"/>
              </w:rPr>
              <w:t>3</w:t>
            </w:r>
            <w:r>
              <w:rPr>
                <w:rFonts w:hint="default" w:ascii="Times New Roman" w:hAnsi="Times New Roman" w:eastAsia="仿宋_GB2312" w:cs="Times New Roman"/>
                <w:bCs/>
                <w:color w:val="auto"/>
                <w:kern w:val="0"/>
                <w:sz w:val="30"/>
                <w:szCs w:val="30"/>
                <w:lang w:eastAsia="zh-CN"/>
              </w:rPr>
              <w:t>）</w:t>
            </w:r>
            <w:r>
              <w:rPr>
                <w:rFonts w:hint="default" w:ascii="Times New Roman" w:hAnsi="Times New Roman" w:eastAsia="仿宋_GB2312" w:cs="Times New Roman"/>
                <w:bCs/>
                <w:color w:val="auto"/>
                <w:sz w:val="30"/>
                <w:szCs w:val="30"/>
                <w:lang w:eastAsia="zh-CN"/>
              </w:rPr>
              <w:t>投标报价超过</w:t>
            </w:r>
            <w:r>
              <w:rPr>
                <w:rFonts w:hint="default" w:ascii="Times New Roman" w:hAnsi="Times New Roman" w:eastAsia="仿宋_GB2312" w:cs="Times New Roman"/>
                <w:bCs/>
                <w:color w:val="auto"/>
                <w:kern w:val="0"/>
                <w:sz w:val="30"/>
                <w:szCs w:val="30"/>
                <w:lang w:eastAsia="zh-CN"/>
              </w:rPr>
              <w:t>最高限价</w:t>
            </w:r>
            <w:r>
              <w:rPr>
                <w:rFonts w:hint="default" w:ascii="Times New Roman" w:hAnsi="Times New Roman" w:eastAsia="仿宋_GB2312" w:cs="Times New Roman"/>
                <w:bCs/>
                <w:color w:val="auto"/>
                <w:sz w:val="30"/>
                <w:szCs w:val="30"/>
                <w:lang w:eastAsia="zh-CN"/>
              </w:rPr>
              <w:t>的按无效投标处理。</w:t>
            </w:r>
          </w:p>
        </w:tc>
      </w:tr>
      <w:tr w14:paraId="4D822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5" w:hRule="atLeast"/>
        </w:trPr>
        <w:tc>
          <w:tcPr>
            <w:tcW w:w="1025" w:type="dxa"/>
            <w:noWrap w:val="0"/>
            <w:vAlign w:val="center"/>
          </w:tcPr>
          <w:p w14:paraId="7D0F1B1B">
            <w:pPr>
              <w:spacing w:line="360" w:lineRule="auto"/>
              <w:jc w:val="center"/>
              <w:rPr>
                <w:rFonts w:hint="default" w:ascii="Times New Roman" w:hAnsi="Times New Roman" w:eastAsia="仿宋_GB2312" w:cs="Times New Roman"/>
                <w:color w:val="auto"/>
                <w:sz w:val="30"/>
                <w:szCs w:val="30"/>
              </w:rPr>
            </w:pPr>
            <w:r>
              <w:rPr>
                <w:rFonts w:hint="default" w:ascii="Times New Roman" w:hAnsi="Times New Roman" w:eastAsia="仿宋_GB2312" w:cs="Times New Roman"/>
                <w:snapToGrid w:val="0"/>
                <w:color w:val="auto"/>
                <w:sz w:val="30"/>
                <w:szCs w:val="30"/>
              </w:rPr>
              <w:t>19</w:t>
            </w:r>
          </w:p>
        </w:tc>
        <w:tc>
          <w:tcPr>
            <w:tcW w:w="7843" w:type="dxa"/>
            <w:noWrap w:val="0"/>
            <w:vAlign w:val="center"/>
          </w:tcPr>
          <w:p w14:paraId="20B5FFDA">
            <w:pPr>
              <w:spacing w:line="360" w:lineRule="auto"/>
              <w:rPr>
                <w:rFonts w:hint="default" w:ascii="Times New Roman" w:hAnsi="Times New Roman" w:eastAsia="仿宋_GB2312" w:cs="Times New Roman"/>
                <w:color w:val="auto"/>
                <w:sz w:val="30"/>
                <w:szCs w:val="30"/>
                <w:u w:val="single"/>
              </w:rPr>
            </w:pPr>
            <w:r>
              <w:rPr>
                <w:rFonts w:hint="default" w:ascii="Times New Roman" w:hAnsi="Times New Roman" w:eastAsia="仿宋_GB2312" w:cs="Times New Roman"/>
                <w:color w:val="auto"/>
                <w:sz w:val="30"/>
                <w:szCs w:val="30"/>
              </w:rPr>
              <w:t>投标货币：人民币。</w:t>
            </w:r>
          </w:p>
        </w:tc>
      </w:tr>
      <w:tr w14:paraId="7F5CC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39" w:hRule="atLeast"/>
        </w:trPr>
        <w:tc>
          <w:tcPr>
            <w:tcW w:w="1025" w:type="dxa"/>
            <w:noWrap w:val="0"/>
            <w:vAlign w:val="center"/>
          </w:tcPr>
          <w:p w14:paraId="48961371">
            <w:pPr>
              <w:spacing w:line="360" w:lineRule="auto"/>
              <w:jc w:val="center"/>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20</w:t>
            </w:r>
          </w:p>
        </w:tc>
        <w:tc>
          <w:tcPr>
            <w:tcW w:w="7843" w:type="dxa"/>
            <w:noWrap w:val="0"/>
            <w:vAlign w:val="center"/>
          </w:tcPr>
          <w:p w14:paraId="1B48ADDD">
            <w:pPr>
              <w:spacing w:line="360" w:lineRule="auto"/>
              <w:jc w:val="left"/>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投标人资格证明文件：</w:t>
            </w:r>
          </w:p>
          <w:p w14:paraId="0F73704C">
            <w:pPr>
              <w:spacing w:line="360" w:lineRule="auto"/>
              <w:jc w:val="left"/>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（1）</w:t>
            </w:r>
            <w:r>
              <w:rPr>
                <w:rFonts w:hint="default" w:ascii="Times New Roman" w:hAnsi="Times New Roman" w:eastAsia="仿宋_GB2312" w:cs="Times New Roman"/>
                <w:color w:val="auto"/>
                <w:sz w:val="30"/>
                <w:szCs w:val="30"/>
                <w:lang w:eastAsia="zh-CN"/>
              </w:rPr>
              <w:t>法人或者其他组织的营业执照等证明文件或自然人的身份证明</w:t>
            </w:r>
            <w:r>
              <w:rPr>
                <w:rFonts w:hint="default" w:ascii="Times New Roman" w:hAnsi="Times New Roman" w:eastAsia="仿宋_GB2312" w:cs="Times New Roman"/>
                <w:color w:val="auto"/>
                <w:sz w:val="30"/>
                <w:szCs w:val="30"/>
                <w:lang w:val="en-US" w:eastAsia="zh-CN"/>
              </w:rPr>
              <w:t>；</w:t>
            </w:r>
          </w:p>
          <w:p w14:paraId="2E1B96A6">
            <w:pPr>
              <w:spacing w:line="360" w:lineRule="auto"/>
              <w:jc w:val="left"/>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（2）2024</w:t>
            </w:r>
            <w:r>
              <w:rPr>
                <w:rFonts w:hint="default" w:ascii="Times New Roman" w:hAnsi="Times New Roman" w:eastAsia="仿宋_GB2312" w:cs="Times New Roman"/>
                <w:color w:val="auto"/>
                <w:sz w:val="30"/>
                <w:szCs w:val="30"/>
                <w:lang w:val="en" w:eastAsia="zh-CN"/>
              </w:rPr>
              <w:t>年</w:t>
            </w:r>
            <w:r>
              <w:rPr>
                <w:rFonts w:hint="default" w:ascii="Times New Roman" w:hAnsi="Times New Roman" w:eastAsia="仿宋_GB2312" w:cs="Times New Roman"/>
                <w:color w:val="auto"/>
                <w:sz w:val="30"/>
                <w:szCs w:val="30"/>
                <w:lang w:val="en-US" w:eastAsia="zh-CN"/>
              </w:rPr>
              <w:t>度财务审计报告扫描件（要求注册会计师签字并加盖会计师印章；如截止到投标截止时间，投标人成立时间不足要求时限的，可提供银行资信证明材料）；</w:t>
            </w:r>
          </w:p>
          <w:p w14:paraId="3572ED14">
            <w:pPr>
              <w:spacing w:line="360" w:lineRule="auto"/>
              <w:jc w:val="left"/>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（3）依法缴纳税收和社会保障资金的相关材料（提供自2025年1月1日以来至少一个月的纳税证明和社保缴纳证明，依法免税或不需要缴纳社会保障资金的，应提供相应文件证明其依法免税或不需要缴纳）；</w:t>
            </w:r>
          </w:p>
          <w:p w14:paraId="1E220095">
            <w:pPr>
              <w:spacing w:line="360" w:lineRule="auto"/>
              <w:jc w:val="left"/>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（4）具备履行合同所必需的设备和专业技术能力的证明材料；</w:t>
            </w:r>
          </w:p>
          <w:p w14:paraId="6820ADCE">
            <w:pPr>
              <w:spacing w:line="360" w:lineRule="auto"/>
              <w:jc w:val="left"/>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（5）</w:t>
            </w:r>
            <w:r>
              <w:rPr>
                <w:rFonts w:hint="default" w:ascii="Times New Roman" w:hAnsi="Times New Roman" w:eastAsia="仿宋_GB2312" w:cs="Times New Roman"/>
                <w:color w:val="auto"/>
                <w:sz w:val="30"/>
                <w:szCs w:val="30"/>
                <w:lang w:eastAsia="zh-CN"/>
              </w:rPr>
              <w:t>参加政府采购活动前</w:t>
            </w:r>
            <w:r>
              <w:rPr>
                <w:rFonts w:hint="default" w:ascii="Times New Roman" w:hAnsi="Times New Roman" w:eastAsia="仿宋_GB2312" w:cs="Times New Roman"/>
                <w:color w:val="auto"/>
                <w:sz w:val="30"/>
                <w:szCs w:val="30"/>
                <w:lang w:val="en-US" w:eastAsia="zh-CN"/>
              </w:rPr>
              <w:t>3</w:t>
            </w:r>
            <w:r>
              <w:rPr>
                <w:rFonts w:hint="default" w:ascii="Times New Roman" w:hAnsi="Times New Roman" w:eastAsia="仿宋_GB2312" w:cs="Times New Roman"/>
                <w:color w:val="auto"/>
                <w:sz w:val="30"/>
                <w:szCs w:val="30"/>
                <w:lang w:eastAsia="zh-CN"/>
              </w:rPr>
              <w:t>年内在经营活动中没有重大违法记录的书面</w:t>
            </w:r>
            <w:r>
              <w:rPr>
                <w:rFonts w:hint="default" w:ascii="Times New Roman" w:hAnsi="Times New Roman" w:eastAsia="仿宋_GB2312" w:cs="Times New Roman"/>
                <w:color w:val="auto"/>
                <w:sz w:val="30"/>
                <w:szCs w:val="30"/>
                <w:lang w:val="en-US" w:eastAsia="zh-CN"/>
              </w:rPr>
              <w:t>声明；</w:t>
            </w:r>
          </w:p>
          <w:p w14:paraId="776290FE">
            <w:pPr>
              <w:spacing w:line="360" w:lineRule="auto"/>
              <w:jc w:val="left"/>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（6）投标人关联单位的说明。</w:t>
            </w:r>
          </w:p>
          <w:p w14:paraId="3EE0B8B9">
            <w:pPr>
              <w:spacing w:line="360" w:lineRule="auto"/>
              <w:jc w:val="left"/>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（以上要求中，如有投标人成立时限不足要求时限的，由投标人根据自身成立时间提供证明资料。）</w:t>
            </w:r>
          </w:p>
        </w:tc>
      </w:tr>
      <w:tr w14:paraId="3EBF7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4" w:hRule="atLeast"/>
        </w:trPr>
        <w:tc>
          <w:tcPr>
            <w:tcW w:w="1025" w:type="dxa"/>
            <w:noWrap w:val="0"/>
            <w:vAlign w:val="center"/>
          </w:tcPr>
          <w:p w14:paraId="1ACB5AAF">
            <w:pPr>
              <w:spacing w:line="360" w:lineRule="auto"/>
              <w:jc w:val="center"/>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w:t>
            </w:r>
            <w:r>
              <w:rPr>
                <w:rFonts w:hint="default" w:ascii="Times New Roman" w:hAnsi="Times New Roman" w:eastAsia="仿宋_GB2312" w:cs="Times New Roman"/>
                <w:color w:val="auto"/>
                <w:sz w:val="30"/>
                <w:szCs w:val="30"/>
                <w:lang w:val="en-US" w:eastAsia="zh-CN"/>
              </w:rPr>
              <w:t>4</w:t>
            </w:r>
            <w:r>
              <w:rPr>
                <w:rFonts w:hint="default" w:ascii="Times New Roman" w:hAnsi="Times New Roman" w:eastAsia="仿宋_GB2312" w:cs="Times New Roman"/>
                <w:color w:val="auto"/>
                <w:sz w:val="30"/>
                <w:szCs w:val="30"/>
              </w:rPr>
              <w:t>.1</w:t>
            </w:r>
          </w:p>
        </w:tc>
        <w:tc>
          <w:tcPr>
            <w:tcW w:w="7843" w:type="dxa"/>
            <w:noWrap w:val="0"/>
            <w:vAlign w:val="center"/>
          </w:tcPr>
          <w:p w14:paraId="0CC97B28">
            <w:pPr>
              <w:spacing w:line="360" w:lineRule="auto"/>
              <w:jc w:val="left"/>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color w:val="auto"/>
                <w:sz w:val="30"/>
                <w:szCs w:val="30"/>
                <w:lang w:eastAsia="zh-CN"/>
              </w:rPr>
              <w:t>投标有效期：从投标截止之日起60</w:t>
            </w:r>
            <w:r>
              <w:rPr>
                <w:rFonts w:hint="default" w:ascii="Times New Roman" w:hAnsi="Times New Roman" w:eastAsia="仿宋_GB2312" w:cs="Times New Roman"/>
                <w:color w:val="auto"/>
                <w:sz w:val="30"/>
                <w:szCs w:val="30"/>
                <w:lang w:val="en-US" w:eastAsia="zh-CN"/>
              </w:rPr>
              <w:t>天</w:t>
            </w:r>
          </w:p>
        </w:tc>
      </w:tr>
      <w:tr w14:paraId="32C82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025" w:type="dxa"/>
            <w:noWrap w:val="0"/>
            <w:vAlign w:val="center"/>
          </w:tcPr>
          <w:p w14:paraId="1B403060">
            <w:pPr>
              <w:spacing w:line="360" w:lineRule="auto"/>
              <w:jc w:val="center"/>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w:t>
            </w:r>
            <w:r>
              <w:rPr>
                <w:rFonts w:hint="default" w:ascii="Times New Roman" w:hAnsi="Times New Roman" w:eastAsia="仿宋_GB2312" w:cs="Times New Roman"/>
                <w:color w:val="auto"/>
                <w:sz w:val="30"/>
                <w:szCs w:val="30"/>
                <w:lang w:val="en-US" w:eastAsia="zh-CN"/>
              </w:rPr>
              <w:t>6</w:t>
            </w:r>
            <w:r>
              <w:rPr>
                <w:rFonts w:hint="default" w:ascii="Times New Roman" w:hAnsi="Times New Roman" w:eastAsia="仿宋_GB2312" w:cs="Times New Roman"/>
                <w:color w:val="auto"/>
                <w:sz w:val="30"/>
                <w:szCs w:val="30"/>
              </w:rPr>
              <w:t>.1</w:t>
            </w:r>
          </w:p>
        </w:tc>
        <w:tc>
          <w:tcPr>
            <w:tcW w:w="7843" w:type="dxa"/>
            <w:noWrap w:val="0"/>
            <w:vAlign w:val="center"/>
          </w:tcPr>
          <w:p w14:paraId="65DEDECF">
            <w:pPr>
              <w:spacing w:line="360" w:lineRule="auto"/>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加密电子投标文件的上传：加密电子投标文件须在投标截止时间前通过“河南省公共资源交易中心（</w:t>
            </w:r>
            <w:r>
              <w:rPr>
                <w:rFonts w:hint="default" w:ascii="Times New Roman" w:hAnsi="Times New Roman" w:eastAsia="仿宋_GB2312" w:cs="Times New Roman"/>
                <w:color w:val="auto"/>
                <w:sz w:val="30"/>
                <w:szCs w:val="30"/>
                <w:lang w:val="en-US" w:eastAsia="zh-CN"/>
              </w:rPr>
              <w:t>hnsggzyjy.henan.gov.cn</w:t>
            </w:r>
            <w:r>
              <w:rPr>
                <w:rFonts w:hint="default" w:ascii="Times New Roman" w:hAnsi="Times New Roman" w:eastAsia="仿宋_GB2312" w:cs="Times New Roman"/>
                <w:color w:val="auto"/>
                <w:sz w:val="30"/>
                <w:szCs w:val="30"/>
              </w:rPr>
              <w:t>）”电子交易平台加密上传。</w:t>
            </w:r>
          </w:p>
        </w:tc>
      </w:tr>
      <w:tr w14:paraId="0832C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025" w:type="dxa"/>
            <w:noWrap w:val="0"/>
            <w:vAlign w:val="center"/>
          </w:tcPr>
          <w:p w14:paraId="03E688B6">
            <w:pPr>
              <w:spacing w:line="360" w:lineRule="auto"/>
              <w:jc w:val="center"/>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w:t>
            </w:r>
            <w:r>
              <w:rPr>
                <w:rFonts w:hint="default" w:ascii="Times New Roman" w:hAnsi="Times New Roman" w:eastAsia="仿宋_GB2312" w:cs="Times New Roman"/>
                <w:color w:val="auto"/>
                <w:sz w:val="30"/>
                <w:szCs w:val="30"/>
                <w:lang w:val="en-US" w:eastAsia="zh-CN"/>
              </w:rPr>
              <w:t>7</w:t>
            </w:r>
            <w:r>
              <w:rPr>
                <w:rFonts w:hint="default" w:ascii="Times New Roman" w:hAnsi="Times New Roman" w:eastAsia="仿宋_GB2312" w:cs="Times New Roman"/>
                <w:color w:val="auto"/>
                <w:sz w:val="30"/>
                <w:szCs w:val="30"/>
              </w:rPr>
              <w:t>.1</w:t>
            </w:r>
          </w:p>
        </w:tc>
        <w:tc>
          <w:tcPr>
            <w:tcW w:w="7843" w:type="dxa"/>
            <w:noWrap w:val="0"/>
            <w:vAlign w:val="center"/>
          </w:tcPr>
          <w:p w14:paraId="38548A6D">
            <w:pPr>
              <w:spacing w:line="360" w:lineRule="auto"/>
              <w:jc w:val="left"/>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color w:val="auto"/>
                <w:sz w:val="30"/>
                <w:szCs w:val="30"/>
                <w:lang w:eastAsia="zh-CN"/>
              </w:rPr>
              <w:t>投标截止时间：详见“第一章 投标邀请”</w:t>
            </w:r>
          </w:p>
        </w:tc>
      </w:tr>
      <w:tr w14:paraId="349C9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172" w:hRule="atLeast"/>
        </w:trPr>
        <w:tc>
          <w:tcPr>
            <w:tcW w:w="1025" w:type="dxa"/>
            <w:noWrap w:val="0"/>
            <w:vAlign w:val="center"/>
          </w:tcPr>
          <w:p w14:paraId="7D32A73B">
            <w:pPr>
              <w:spacing w:line="360" w:lineRule="auto"/>
              <w:jc w:val="center"/>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val="en-US" w:eastAsia="zh-CN"/>
              </w:rPr>
              <w:t>30</w:t>
            </w:r>
            <w:r>
              <w:rPr>
                <w:rFonts w:hint="default" w:ascii="Times New Roman" w:hAnsi="Times New Roman" w:eastAsia="仿宋_GB2312" w:cs="Times New Roman"/>
                <w:color w:val="auto"/>
                <w:sz w:val="30"/>
                <w:szCs w:val="30"/>
              </w:rPr>
              <w:t>.1</w:t>
            </w:r>
          </w:p>
        </w:tc>
        <w:tc>
          <w:tcPr>
            <w:tcW w:w="7843" w:type="dxa"/>
            <w:noWrap w:val="0"/>
            <w:vAlign w:val="center"/>
          </w:tcPr>
          <w:p w14:paraId="29C2E14B">
            <w:pPr>
              <w:spacing w:line="360" w:lineRule="auto"/>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color w:val="auto"/>
                <w:sz w:val="30"/>
                <w:szCs w:val="30"/>
                <w:lang w:eastAsia="zh-CN"/>
              </w:rPr>
              <w:t>开标及解密方式：“远程不见面”开标方式，投标人无需到河南省公共资源交易中心现场参加开标会议。在投标截止时间前，投标人登陆不见面开标大厅，在线准时参加开标活动并进行文件解密。未在规定时间内解密投标文件的投标人，其投标文件不予接受并退回。</w:t>
            </w:r>
          </w:p>
        </w:tc>
      </w:tr>
      <w:tr w14:paraId="6C3CE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025" w:type="dxa"/>
            <w:noWrap w:val="0"/>
            <w:vAlign w:val="center"/>
          </w:tcPr>
          <w:p w14:paraId="2D641034">
            <w:pPr>
              <w:spacing w:line="360" w:lineRule="auto"/>
              <w:jc w:val="center"/>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val="en-US" w:eastAsia="zh-CN"/>
              </w:rPr>
              <w:t>30</w:t>
            </w:r>
            <w:r>
              <w:rPr>
                <w:rFonts w:hint="default" w:ascii="Times New Roman" w:hAnsi="Times New Roman" w:eastAsia="仿宋_GB2312" w:cs="Times New Roman"/>
                <w:color w:val="auto"/>
                <w:sz w:val="30"/>
                <w:szCs w:val="30"/>
              </w:rPr>
              <w:t>.2</w:t>
            </w:r>
          </w:p>
        </w:tc>
        <w:tc>
          <w:tcPr>
            <w:tcW w:w="7843" w:type="dxa"/>
            <w:noWrap w:val="0"/>
            <w:vAlign w:val="center"/>
          </w:tcPr>
          <w:p w14:paraId="19D53B34">
            <w:pPr>
              <w:spacing w:line="360" w:lineRule="auto"/>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color w:val="auto"/>
                <w:sz w:val="30"/>
                <w:szCs w:val="30"/>
                <w:lang w:eastAsia="zh-CN"/>
              </w:rPr>
              <w:t>远程开标大厅网址：河南省公共资源交易中心 （</w:t>
            </w:r>
            <w:r>
              <w:rPr>
                <w:rFonts w:hint="default" w:ascii="Times New Roman" w:hAnsi="Times New Roman" w:eastAsia="仿宋_GB2312" w:cs="Times New Roman"/>
                <w:color w:val="auto"/>
                <w:sz w:val="30"/>
                <w:szCs w:val="30"/>
                <w:lang w:val="en-US" w:eastAsia="zh-CN"/>
              </w:rPr>
              <w:t>hnsggzyjy.henan.gov.cn</w:t>
            </w:r>
            <w:r>
              <w:rPr>
                <w:rFonts w:hint="default" w:ascii="Times New Roman" w:hAnsi="Times New Roman" w:eastAsia="仿宋_GB2312" w:cs="Times New Roman"/>
                <w:color w:val="auto"/>
                <w:sz w:val="30"/>
                <w:szCs w:val="30"/>
                <w:lang w:eastAsia="zh-CN"/>
              </w:rPr>
              <w:t>）——不见面开标大厅。</w:t>
            </w:r>
          </w:p>
        </w:tc>
      </w:tr>
      <w:tr w14:paraId="253E2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025" w:type="dxa"/>
            <w:noWrap w:val="0"/>
            <w:vAlign w:val="center"/>
          </w:tcPr>
          <w:p w14:paraId="58B13469">
            <w:pPr>
              <w:spacing w:line="360" w:lineRule="auto"/>
              <w:jc w:val="center"/>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val="en-US" w:eastAsia="zh-CN"/>
              </w:rPr>
              <w:t>30</w:t>
            </w:r>
            <w:r>
              <w:rPr>
                <w:rFonts w:hint="default" w:ascii="Times New Roman" w:hAnsi="Times New Roman" w:eastAsia="仿宋_GB2312" w:cs="Times New Roman"/>
                <w:color w:val="auto"/>
                <w:sz w:val="30"/>
                <w:szCs w:val="30"/>
              </w:rPr>
              <w:t>.3</w:t>
            </w:r>
          </w:p>
        </w:tc>
        <w:tc>
          <w:tcPr>
            <w:tcW w:w="7843" w:type="dxa"/>
            <w:noWrap w:val="0"/>
            <w:vAlign w:val="center"/>
          </w:tcPr>
          <w:p w14:paraId="7E5007B6">
            <w:pPr>
              <w:widowControl w:val="0"/>
              <w:spacing w:line="360" w:lineRule="auto"/>
              <w:rPr>
                <w:rFonts w:hint="default" w:ascii="Times New Roman" w:hAnsi="Times New Roman" w:eastAsia="仿宋_GB2312" w:cs="Times New Roman"/>
                <w:color w:val="auto"/>
                <w:sz w:val="30"/>
                <w:szCs w:val="30"/>
                <w:u w:val="single"/>
                <w:lang w:val="en-US" w:eastAsia="zh-CN"/>
              </w:rPr>
            </w:pPr>
            <w:r>
              <w:rPr>
                <w:rFonts w:hint="default" w:ascii="Times New Roman" w:hAnsi="Times New Roman" w:eastAsia="仿宋_GB2312" w:cs="Times New Roman"/>
                <w:color w:val="auto"/>
                <w:sz w:val="30"/>
                <w:szCs w:val="30"/>
                <w:lang w:val="en-US" w:eastAsia="zh-CN"/>
              </w:rPr>
              <w:t>开标时间：详见“第一章 投标邀请”</w:t>
            </w:r>
          </w:p>
          <w:p w14:paraId="71A95125">
            <w:pPr>
              <w:spacing w:line="360" w:lineRule="auto"/>
              <w:jc w:val="left"/>
              <w:rPr>
                <w:rFonts w:hint="default" w:ascii="Times New Roman" w:hAnsi="Times New Roman" w:eastAsia="仿宋_GB2312" w:cs="Times New Roman"/>
                <w:b/>
                <w:bCs/>
                <w:color w:val="auto"/>
                <w:sz w:val="30"/>
                <w:szCs w:val="30"/>
                <w:lang w:eastAsia="zh-CN"/>
              </w:rPr>
            </w:pPr>
            <w:r>
              <w:rPr>
                <w:rFonts w:hint="default" w:ascii="Times New Roman" w:hAnsi="Times New Roman" w:eastAsia="仿宋_GB2312" w:cs="Times New Roman"/>
                <w:color w:val="auto"/>
                <w:sz w:val="30"/>
                <w:szCs w:val="30"/>
                <w:lang w:val="en-US" w:eastAsia="zh-CN"/>
              </w:rPr>
              <w:t>开标地点：</w:t>
            </w:r>
            <w:r>
              <w:rPr>
                <w:rFonts w:hint="default" w:ascii="Times New Roman" w:hAnsi="Times New Roman" w:eastAsia="仿宋_GB2312" w:cs="Times New Roman"/>
                <w:color w:val="auto"/>
                <w:sz w:val="30"/>
                <w:szCs w:val="30"/>
                <w:lang w:eastAsia="zh-CN"/>
              </w:rPr>
              <w:t>详见“第一章 投标邀请”</w:t>
            </w:r>
          </w:p>
        </w:tc>
      </w:tr>
      <w:tr w14:paraId="4B33E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1025" w:type="dxa"/>
            <w:noWrap w:val="0"/>
            <w:vAlign w:val="center"/>
          </w:tcPr>
          <w:p w14:paraId="65CBD817">
            <w:pPr>
              <w:spacing w:line="360" w:lineRule="auto"/>
              <w:jc w:val="center"/>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val="en-US" w:eastAsia="zh-CN"/>
              </w:rPr>
              <w:t>31</w:t>
            </w:r>
            <w:r>
              <w:rPr>
                <w:rFonts w:hint="default" w:ascii="Times New Roman" w:hAnsi="Times New Roman" w:eastAsia="仿宋_GB2312" w:cs="Times New Roman"/>
                <w:color w:val="auto"/>
                <w:sz w:val="30"/>
                <w:szCs w:val="30"/>
              </w:rPr>
              <w:t>.3</w:t>
            </w:r>
          </w:p>
        </w:tc>
        <w:tc>
          <w:tcPr>
            <w:tcW w:w="7843" w:type="dxa"/>
            <w:noWrap w:val="0"/>
            <w:vAlign w:val="center"/>
          </w:tcPr>
          <w:p w14:paraId="42782B54">
            <w:pPr>
              <w:spacing w:line="360" w:lineRule="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采购人依据以下标准对投标人的资格进行审查，有一项不符合审查标准的，该投标人资格为不合格。</w:t>
            </w:r>
          </w:p>
          <w:p w14:paraId="07359567">
            <w:pPr>
              <w:tabs>
                <w:tab w:val="left" w:pos="5580"/>
              </w:tabs>
              <w:spacing w:line="360" w:lineRule="auto"/>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color w:val="auto"/>
                <w:sz w:val="30"/>
                <w:szCs w:val="30"/>
                <w:lang w:eastAsia="zh-CN"/>
              </w:rPr>
              <w:t>（1）法人</w:t>
            </w:r>
            <w:r>
              <w:rPr>
                <w:rFonts w:hint="default" w:ascii="Times New Roman" w:hAnsi="Times New Roman" w:eastAsia="仿宋_GB2312" w:cs="Times New Roman"/>
                <w:color w:val="auto"/>
                <w:kern w:val="0"/>
                <w:sz w:val="30"/>
                <w:szCs w:val="30"/>
                <w:lang w:eastAsia="zh-CN"/>
              </w:rPr>
              <w:t>或者其他组织的营业执照等证明文件或自然人的身份证明符合招标文件规定；</w:t>
            </w:r>
          </w:p>
          <w:p w14:paraId="053C9674">
            <w:pPr>
              <w:spacing w:line="360" w:lineRule="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（2）财务审计报告（2024</w:t>
            </w:r>
            <w:r>
              <w:rPr>
                <w:rFonts w:hint="default" w:ascii="Times New Roman" w:hAnsi="Times New Roman" w:eastAsia="仿宋_GB2312" w:cs="Times New Roman"/>
                <w:color w:val="auto"/>
                <w:sz w:val="30"/>
                <w:szCs w:val="30"/>
                <w:lang w:val="en" w:eastAsia="zh-CN"/>
              </w:rPr>
              <w:t>年度</w:t>
            </w:r>
            <w:r>
              <w:rPr>
                <w:rFonts w:hint="default" w:ascii="Times New Roman" w:hAnsi="Times New Roman" w:eastAsia="仿宋_GB2312" w:cs="Times New Roman"/>
                <w:color w:val="auto"/>
                <w:sz w:val="30"/>
                <w:szCs w:val="30"/>
                <w:lang w:val="en-US" w:eastAsia="zh-CN"/>
              </w:rPr>
              <w:t>）等材料符合招标文件规定；</w:t>
            </w:r>
          </w:p>
          <w:p w14:paraId="6C669F01">
            <w:pPr>
              <w:spacing w:line="360" w:lineRule="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（3）依法缴纳税收和依法缴纳社会保障资金的证明材料符合招标文件规定（自2025年1月1日以来至少一个月）；</w:t>
            </w:r>
          </w:p>
          <w:p w14:paraId="71D43238">
            <w:pPr>
              <w:spacing w:line="360" w:lineRule="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（4）具备履行合同所必需的设备和专业技术能力；</w:t>
            </w:r>
          </w:p>
          <w:p w14:paraId="65E00059">
            <w:pPr>
              <w:spacing w:line="360" w:lineRule="auto"/>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color w:val="auto"/>
                <w:sz w:val="30"/>
                <w:szCs w:val="30"/>
                <w:lang w:val="en-US" w:eastAsia="zh-CN"/>
              </w:rPr>
              <w:t>（5）</w:t>
            </w:r>
            <w:r>
              <w:rPr>
                <w:rFonts w:hint="default" w:ascii="Times New Roman" w:hAnsi="Times New Roman" w:eastAsia="仿宋_GB2312" w:cs="Times New Roman"/>
                <w:color w:val="auto"/>
                <w:kern w:val="0"/>
                <w:sz w:val="30"/>
                <w:szCs w:val="30"/>
                <w:lang w:eastAsia="zh-CN"/>
              </w:rPr>
              <w:t>参加政府采购活动前</w:t>
            </w:r>
            <w:r>
              <w:rPr>
                <w:rFonts w:hint="default" w:ascii="Times New Roman" w:hAnsi="Times New Roman" w:eastAsia="仿宋_GB2312" w:cs="Times New Roman"/>
                <w:color w:val="auto"/>
                <w:kern w:val="0"/>
                <w:sz w:val="30"/>
                <w:szCs w:val="30"/>
                <w:lang w:val="en-US" w:eastAsia="zh-CN"/>
              </w:rPr>
              <w:t>3</w:t>
            </w:r>
            <w:r>
              <w:rPr>
                <w:rFonts w:hint="default" w:ascii="Times New Roman" w:hAnsi="Times New Roman" w:eastAsia="仿宋_GB2312" w:cs="Times New Roman"/>
                <w:color w:val="auto"/>
                <w:kern w:val="0"/>
                <w:sz w:val="30"/>
                <w:szCs w:val="30"/>
                <w:lang w:eastAsia="zh-CN"/>
              </w:rPr>
              <w:t>年内在经营活动中没有重大违法记录</w:t>
            </w:r>
            <w:r>
              <w:rPr>
                <w:rFonts w:hint="default" w:ascii="Times New Roman" w:hAnsi="Times New Roman" w:eastAsia="仿宋_GB2312" w:cs="Times New Roman"/>
                <w:color w:val="auto"/>
                <w:sz w:val="30"/>
                <w:szCs w:val="30"/>
                <w:lang w:val="en-US" w:eastAsia="zh-CN"/>
              </w:rPr>
              <w:t>声明符合招标文件规定</w:t>
            </w:r>
            <w:r>
              <w:rPr>
                <w:rFonts w:hint="default" w:ascii="Times New Roman" w:hAnsi="Times New Roman" w:eastAsia="仿宋_GB2312" w:cs="Times New Roman"/>
                <w:color w:val="auto"/>
                <w:sz w:val="30"/>
                <w:szCs w:val="30"/>
                <w:lang w:eastAsia="zh-CN"/>
              </w:rPr>
              <w:t>；</w:t>
            </w:r>
          </w:p>
          <w:p w14:paraId="5D6ED39E">
            <w:pPr>
              <w:spacing w:line="360" w:lineRule="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（6）信用查询记录符合招标文件规定；</w:t>
            </w:r>
          </w:p>
          <w:p w14:paraId="460BA63D">
            <w:pPr>
              <w:spacing w:line="360" w:lineRule="auto"/>
              <w:rPr>
                <w:rFonts w:hint="default" w:ascii="Times New Roman" w:hAnsi="Times New Roman" w:eastAsia="仿宋_GB2312" w:cs="Times New Roman"/>
                <w:color w:val="auto"/>
                <w:sz w:val="30"/>
                <w:szCs w:val="30"/>
                <w:lang w:val="zh-TW" w:eastAsia="zh-CN"/>
              </w:rPr>
            </w:pPr>
            <w:r>
              <w:rPr>
                <w:rFonts w:hint="default" w:ascii="Times New Roman" w:hAnsi="Times New Roman" w:eastAsia="仿宋_GB2312" w:cs="Times New Roman"/>
                <w:color w:val="auto"/>
                <w:sz w:val="30"/>
                <w:szCs w:val="30"/>
                <w:lang w:val="zh-TW" w:eastAsia="zh-CN"/>
              </w:rPr>
              <w:t>（7）不同投标人单位负责人不是同一人或者未存在直接控股、管理关系；</w:t>
            </w:r>
          </w:p>
          <w:p w14:paraId="135D8859">
            <w:pPr>
              <w:spacing w:line="360" w:lineRule="auto"/>
              <w:rPr>
                <w:rFonts w:hint="default" w:ascii="Times New Roman" w:hAnsi="Times New Roman" w:cs="Times New Roman"/>
                <w:color w:val="auto"/>
                <w:sz w:val="30"/>
                <w:szCs w:val="30"/>
                <w:lang w:eastAsia="zh-CN"/>
              </w:rPr>
            </w:pPr>
            <w:r>
              <w:rPr>
                <w:rFonts w:hint="default" w:ascii="Times New Roman" w:hAnsi="Times New Roman" w:eastAsia="仿宋_GB2312" w:cs="Times New Roman"/>
                <w:color w:val="auto"/>
                <w:sz w:val="30"/>
                <w:szCs w:val="30"/>
                <w:lang w:val="zh-TW" w:eastAsia="zh-CN"/>
              </w:rPr>
              <w:t>（8）非联合体投标。</w:t>
            </w:r>
          </w:p>
        </w:tc>
      </w:tr>
      <w:tr w14:paraId="4CAE3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1025" w:type="dxa"/>
            <w:noWrap w:val="0"/>
            <w:vAlign w:val="center"/>
          </w:tcPr>
          <w:p w14:paraId="09CF59F3">
            <w:pPr>
              <w:spacing w:line="360" w:lineRule="auto"/>
              <w:jc w:val="center"/>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w:t>
            </w:r>
            <w:r>
              <w:rPr>
                <w:rFonts w:hint="default" w:ascii="Times New Roman" w:hAnsi="Times New Roman" w:eastAsia="仿宋_GB2312" w:cs="Times New Roman"/>
                <w:color w:val="auto"/>
                <w:sz w:val="30"/>
                <w:szCs w:val="30"/>
                <w:lang w:val="en-US" w:eastAsia="zh-CN"/>
              </w:rPr>
              <w:t>1</w:t>
            </w:r>
            <w:r>
              <w:rPr>
                <w:rFonts w:hint="default" w:ascii="Times New Roman" w:hAnsi="Times New Roman" w:eastAsia="仿宋_GB2312" w:cs="Times New Roman"/>
                <w:color w:val="auto"/>
                <w:sz w:val="30"/>
                <w:szCs w:val="30"/>
              </w:rPr>
              <w:t>.4</w:t>
            </w:r>
          </w:p>
        </w:tc>
        <w:tc>
          <w:tcPr>
            <w:tcW w:w="7843" w:type="dxa"/>
            <w:noWrap w:val="0"/>
            <w:vAlign w:val="center"/>
          </w:tcPr>
          <w:p w14:paraId="09387621">
            <w:pPr>
              <w:spacing w:line="360" w:lineRule="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b/>
                <w:bCs/>
                <w:color w:val="auto"/>
                <w:sz w:val="30"/>
                <w:szCs w:val="30"/>
                <w:lang w:val="en-US" w:eastAsia="zh-CN"/>
              </w:rPr>
              <w:t>信用记录:</w:t>
            </w:r>
            <w:r>
              <w:rPr>
                <w:rFonts w:hint="default" w:ascii="Times New Roman" w:hAnsi="Times New Roman" w:eastAsia="仿宋_GB2312" w:cs="Times New Roman"/>
                <w:color w:val="auto"/>
                <w:sz w:val="30"/>
                <w:szCs w:val="30"/>
                <w:lang w:val="en-US" w:eastAsia="zh-CN"/>
              </w:rPr>
              <w:t>根据《关于在政府采购活动中查询及使用信用记录有关问题的通知》(财库〔2016〕125号)文的要求，采购人将在投标截止时间后在“信用中国”网站查询投标人“失信被执行人”和“重大税收违法案件当事人名单”，在“中国政府采购网”站查询投标人“政府采购严重违法失信行为记录名单”；投标人被列入失信被执行人、重大税收违法案件当事人名单、政府采购严重违法失信行为记录名单的，其投标文件作为无效处理。</w:t>
            </w:r>
          </w:p>
          <w:p w14:paraId="5C4ABC4E">
            <w:pPr>
              <w:spacing w:line="360" w:lineRule="auto"/>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b/>
                <w:bCs/>
                <w:color w:val="auto"/>
                <w:sz w:val="30"/>
                <w:szCs w:val="30"/>
                <w:lang w:val="en-US" w:eastAsia="zh-CN"/>
              </w:rPr>
              <w:t>查询及记录方式：</w:t>
            </w:r>
            <w:r>
              <w:rPr>
                <w:rFonts w:hint="default" w:ascii="Times New Roman" w:hAnsi="Times New Roman" w:eastAsia="仿宋_GB2312" w:cs="Times New Roman"/>
                <w:color w:val="auto"/>
                <w:sz w:val="30"/>
                <w:szCs w:val="30"/>
                <w:lang w:val="en-US" w:eastAsia="zh-CN"/>
              </w:rPr>
              <w:t>采购人将查询网页打印、存档备查。投标人信用记录以采购人查询结果为准，采购人查询之后，网站信息发生的任何变更均不再作为资格审查或评审依据，投标人自行提供的与网站信息不一致的其他证明材料亦不作为资格审查或评审依据。</w:t>
            </w:r>
          </w:p>
        </w:tc>
      </w:tr>
      <w:tr w14:paraId="083D5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1025" w:type="dxa"/>
            <w:noWrap w:val="0"/>
            <w:vAlign w:val="center"/>
          </w:tcPr>
          <w:p w14:paraId="6FDC2CEF">
            <w:pPr>
              <w:spacing w:line="360" w:lineRule="auto"/>
              <w:jc w:val="center"/>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w:t>
            </w:r>
            <w:r>
              <w:rPr>
                <w:rFonts w:hint="default" w:ascii="Times New Roman" w:hAnsi="Times New Roman" w:eastAsia="仿宋_GB2312" w:cs="Times New Roman"/>
                <w:color w:val="auto"/>
                <w:sz w:val="30"/>
                <w:szCs w:val="30"/>
                <w:lang w:val="en-US" w:eastAsia="zh-CN"/>
              </w:rPr>
              <w:t>2</w:t>
            </w:r>
            <w:r>
              <w:rPr>
                <w:rFonts w:hint="default" w:ascii="Times New Roman" w:hAnsi="Times New Roman" w:eastAsia="仿宋_GB2312" w:cs="Times New Roman"/>
                <w:color w:val="auto"/>
                <w:sz w:val="30"/>
                <w:szCs w:val="30"/>
              </w:rPr>
              <w:t>.1</w:t>
            </w:r>
          </w:p>
        </w:tc>
        <w:tc>
          <w:tcPr>
            <w:tcW w:w="7843" w:type="dxa"/>
            <w:noWrap w:val="0"/>
            <w:vAlign w:val="center"/>
          </w:tcPr>
          <w:p w14:paraId="3855E5FA">
            <w:pPr>
              <w:spacing w:line="360" w:lineRule="auto"/>
              <w:rPr>
                <w:rFonts w:hint="default" w:ascii="Times New Roman" w:hAnsi="Times New Roman" w:eastAsia="仿宋_GB2312" w:cs="Times New Roman"/>
                <w:b/>
                <w:color w:val="auto"/>
                <w:sz w:val="30"/>
                <w:szCs w:val="30"/>
                <w:lang w:eastAsia="zh-CN"/>
              </w:rPr>
            </w:pPr>
            <w:r>
              <w:rPr>
                <w:rFonts w:hint="default" w:ascii="Times New Roman" w:hAnsi="Times New Roman" w:eastAsia="仿宋_GB2312" w:cs="Times New Roman"/>
                <w:color w:val="auto"/>
                <w:sz w:val="30"/>
                <w:szCs w:val="30"/>
                <w:lang w:eastAsia="zh-CN"/>
              </w:rPr>
              <w:t>评标委员会负责具体评标事务。评标委员会由采购人代表和评审专家组成，成员人数应当为</w:t>
            </w:r>
            <w:r>
              <w:rPr>
                <w:rFonts w:hint="default" w:ascii="Times New Roman" w:hAnsi="Times New Roman" w:eastAsia="仿宋_GB2312" w:cs="Times New Roman"/>
                <w:color w:val="auto"/>
                <w:sz w:val="30"/>
                <w:szCs w:val="30"/>
                <w:lang w:val="en-US" w:eastAsia="zh-CN"/>
              </w:rPr>
              <w:t>5</w:t>
            </w:r>
            <w:r>
              <w:rPr>
                <w:rFonts w:hint="default" w:ascii="Times New Roman" w:hAnsi="Times New Roman" w:eastAsia="仿宋_GB2312" w:cs="Times New Roman"/>
                <w:color w:val="auto"/>
                <w:sz w:val="30"/>
                <w:szCs w:val="30"/>
                <w:lang w:eastAsia="zh-CN"/>
              </w:rPr>
              <w:t>人，其中评审专家不得少于成员总数的三分之二。</w:t>
            </w:r>
          </w:p>
        </w:tc>
      </w:tr>
      <w:tr w14:paraId="27046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02" w:hRule="atLeast"/>
        </w:trPr>
        <w:tc>
          <w:tcPr>
            <w:tcW w:w="1025" w:type="dxa"/>
            <w:noWrap w:val="0"/>
            <w:vAlign w:val="center"/>
          </w:tcPr>
          <w:p w14:paraId="0C7058ED">
            <w:pPr>
              <w:spacing w:line="360" w:lineRule="auto"/>
              <w:jc w:val="center"/>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w:t>
            </w:r>
            <w:r>
              <w:rPr>
                <w:rFonts w:hint="default" w:ascii="Times New Roman" w:hAnsi="Times New Roman" w:eastAsia="仿宋_GB2312" w:cs="Times New Roman"/>
                <w:color w:val="auto"/>
                <w:sz w:val="30"/>
                <w:szCs w:val="30"/>
                <w:lang w:val="en-US" w:eastAsia="zh-CN"/>
              </w:rPr>
              <w:t>6</w:t>
            </w:r>
            <w:r>
              <w:rPr>
                <w:rFonts w:hint="default" w:ascii="Times New Roman" w:hAnsi="Times New Roman" w:eastAsia="仿宋_GB2312" w:cs="Times New Roman"/>
                <w:color w:val="auto"/>
                <w:sz w:val="30"/>
                <w:szCs w:val="30"/>
              </w:rPr>
              <w:t>.1</w:t>
            </w:r>
          </w:p>
        </w:tc>
        <w:tc>
          <w:tcPr>
            <w:tcW w:w="7843" w:type="dxa"/>
            <w:noWrap w:val="0"/>
            <w:vAlign w:val="center"/>
          </w:tcPr>
          <w:p w14:paraId="2C7D8004">
            <w:pPr>
              <w:spacing w:line="360" w:lineRule="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b/>
                <w:bCs/>
                <w:color w:val="auto"/>
                <w:sz w:val="30"/>
                <w:szCs w:val="30"/>
                <w:lang w:val="en-US" w:eastAsia="zh-CN"/>
              </w:rPr>
              <w:t>中小企业扶持：</w:t>
            </w:r>
            <w:r>
              <w:rPr>
                <w:rFonts w:hint="default" w:ascii="Times New Roman" w:hAnsi="Times New Roman" w:eastAsia="仿宋_GB2312" w:cs="Times New Roman"/>
                <w:color w:val="auto"/>
                <w:sz w:val="30"/>
                <w:szCs w:val="30"/>
                <w:lang w:val="en-US" w:eastAsia="zh-CN"/>
              </w:rPr>
              <w:t>根据《政府采购促进中小企业发展管理办法》：价格评审优惠（未预留采购份额的采购项目），对小型和微型企业报价给予10%的扣除，用扣除后的价格参与评审。小型和微型企业的认定根据投标人提供的《中小企业声明函》（第五章 投标文件格式）进行。</w:t>
            </w:r>
          </w:p>
          <w:p w14:paraId="5EF3C7AA">
            <w:pPr>
              <w:spacing w:line="360" w:lineRule="auto"/>
              <w:rPr>
                <w:rFonts w:hint="default" w:ascii="Times New Roman" w:hAnsi="Times New Roman"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本采购项目所属行业：</w:t>
            </w:r>
            <w:r>
              <w:rPr>
                <w:rFonts w:hint="default" w:ascii="Times New Roman" w:hAnsi="Times New Roman" w:eastAsia="仿宋_GB2312" w:cs="Times New Roman"/>
                <w:color w:val="auto"/>
                <w:sz w:val="30"/>
                <w:szCs w:val="30"/>
                <w:u w:val="single"/>
                <w:lang w:val="en-US" w:eastAsia="zh-CN"/>
              </w:rPr>
              <w:t xml:space="preserve"> </w:t>
            </w:r>
            <w:r>
              <w:rPr>
                <w:rFonts w:hint="default" w:ascii="Times New Roman" w:hAnsi="Times New Roman" w:eastAsia="仿宋_GB2312" w:cs="Times New Roman"/>
                <w:b/>
                <w:bCs/>
                <w:color w:val="auto"/>
                <w:sz w:val="30"/>
                <w:szCs w:val="30"/>
                <w:u w:val="single"/>
                <w:lang w:val="en-US" w:eastAsia="zh-CN"/>
              </w:rPr>
              <w:t xml:space="preserve">物业管理 </w:t>
            </w:r>
            <w:r>
              <w:rPr>
                <w:rFonts w:hint="default" w:ascii="Times New Roman" w:hAnsi="Times New Roman" w:eastAsia="仿宋_GB2312" w:cs="Times New Roman"/>
                <w:b/>
                <w:bCs/>
                <w:color w:val="auto"/>
                <w:sz w:val="30"/>
                <w:szCs w:val="30"/>
                <w:lang w:val="en-US" w:eastAsia="zh-CN"/>
              </w:rPr>
              <w:t>。</w:t>
            </w:r>
          </w:p>
        </w:tc>
      </w:tr>
      <w:tr w14:paraId="34D42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1025" w:type="dxa"/>
            <w:noWrap w:val="0"/>
            <w:vAlign w:val="center"/>
          </w:tcPr>
          <w:p w14:paraId="71C3946B">
            <w:pPr>
              <w:spacing w:line="360" w:lineRule="auto"/>
              <w:jc w:val="center"/>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w:t>
            </w:r>
            <w:r>
              <w:rPr>
                <w:rFonts w:hint="default" w:ascii="Times New Roman" w:hAnsi="Times New Roman" w:eastAsia="仿宋_GB2312" w:cs="Times New Roman"/>
                <w:color w:val="auto"/>
                <w:sz w:val="30"/>
                <w:szCs w:val="30"/>
                <w:lang w:val="en-US" w:eastAsia="zh-CN"/>
              </w:rPr>
              <w:t>7</w:t>
            </w:r>
            <w:r>
              <w:rPr>
                <w:rFonts w:hint="default" w:ascii="Times New Roman" w:hAnsi="Times New Roman" w:eastAsia="仿宋_GB2312" w:cs="Times New Roman"/>
                <w:color w:val="auto"/>
                <w:sz w:val="30"/>
                <w:szCs w:val="30"/>
              </w:rPr>
              <w:t>.</w:t>
            </w:r>
            <w:r>
              <w:rPr>
                <w:rFonts w:hint="default" w:ascii="Times New Roman" w:hAnsi="Times New Roman" w:eastAsia="仿宋_GB2312" w:cs="Times New Roman"/>
                <w:color w:val="auto"/>
                <w:sz w:val="30"/>
                <w:szCs w:val="30"/>
                <w:lang w:val="en-US" w:eastAsia="zh-CN"/>
              </w:rPr>
              <w:t>1</w:t>
            </w:r>
          </w:p>
        </w:tc>
        <w:tc>
          <w:tcPr>
            <w:tcW w:w="7843" w:type="dxa"/>
            <w:noWrap w:val="0"/>
            <w:vAlign w:val="center"/>
          </w:tcPr>
          <w:p w14:paraId="07443CC1">
            <w:pPr>
              <w:spacing w:line="360" w:lineRule="auto"/>
              <w:jc w:val="left"/>
              <w:rPr>
                <w:rFonts w:hint="default" w:ascii="Times New Roman" w:hAnsi="Times New Roman" w:eastAsia="仿宋_GB2312" w:cs="Times New Roman"/>
                <w:b/>
                <w:bCs/>
                <w:color w:val="auto"/>
                <w:sz w:val="30"/>
                <w:szCs w:val="30"/>
                <w:lang w:val="en-US" w:eastAsia="zh-CN"/>
              </w:rPr>
            </w:pPr>
            <w:r>
              <w:rPr>
                <w:rFonts w:hint="default" w:ascii="Times New Roman" w:hAnsi="Times New Roman" w:eastAsia="仿宋_GB2312" w:cs="Times New Roman"/>
                <w:b/>
                <w:bCs/>
                <w:color w:val="auto"/>
                <w:sz w:val="30"/>
                <w:szCs w:val="30"/>
                <w:lang w:val="en-US" w:eastAsia="zh-CN"/>
              </w:rPr>
              <w:t>评标方法：综合评分法。</w:t>
            </w:r>
          </w:p>
          <w:p w14:paraId="34255708">
            <w:pPr>
              <w:spacing w:line="360" w:lineRule="auto"/>
              <w:ind w:firstLine="600" w:firstLineChars="200"/>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color w:val="auto"/>
                <w:sz w:val="30"/>
                <w:szCs w:val="30"/>
                <w:lang w:val="en-US" w:eastAsia="zh-CN"/>
              </w:rPr>
              <w:t>评标委员会对满足招标文件全部实质性要求的投标文件，按照招标文件规定的评审因素的量化指标进行评审打分，以评审得分从高到低顺序确定中标候选人。</w:t>
            </w:r>
          </w:p>
        </w:tc>
      </w:tr>
      <w:tr w14:paraId="00D4D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1025" w:type="dxa"/>
            <w:noWrap w:val="0"/>
            <w:vAlign w:val="center"/>
          </w:tcPr>
          <w:p w14:paraId="2D716B73">
            <w:pPr>
              <w:spacing w:line="360" w:lineRule="auto"/>
              <w:jc w:val="center"/>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38</w:t>
            </w:r>
          </w:p>
        </w:tc>
        <w:tc>
          <w:tcPr>
            <w:tcW w:w="7843" w:type="dxa"/>
            <w:noWrap w:val="0"/>
            <w:vAlign w:val="center"/>
          </w:tcPr>
          <w:p w14:paraId="56072159">
            <w:pPr>
              <w:spacing w:line="360" w:lineRule="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（1）根据评审后得分由高到低的顺序推荐3名中标候选人；</w:t>
            </w:r>
          </w:p>
          <w:p w14:paraId="0241DDE0">
            <w:pPr>
              <w:spacing w:line="360" w:lineRule="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（2）评审得分相同的，按投标报价由低到高顺序推荐排列；评审得分且投标报价相同的并列。</w:t>
            </w:r>
          </w:p>
        </w:tc>
      </w:tr>
      <w:tr w14:paraId="3AA12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025" w:type="dxa"/>
            <w:noWrap w:val="0"/>
            <w:vAlign w:val="center"/>
          </w:tcPr>
          <w:p w14:paraId="2961A8C7">
            <w:pPr>
              <w:spacing w:line="360" w:lineRule="auto"/>
              <w:jc w:val="center"/>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color w:val="auto"/>
                <w:sz w:val="30"/>
                <w:szCs w:val="30"/>
                <w:lang w:val="en-US" w:eastAsia="zh-CN"/>
              </w:rPr>
              <w:t>41.1</w:t>
            </w:r>
          </w:p>
        </w:tc>
        <w:tc>
          <w:tcPr>
            <w:tcW w:w="7843" w:type="dxa"/>
            <w:noWrap w:val="0"/>
            <w:vAlign w:val="center"/>
          </w:tcPr>
          <w:p w14:paraId="258976E4">
            <w:pPr>
              <w:spacing w:line="360" w:lineRule="auto"/>
              <w:jc w:val="left"/>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color w:val="auto"/>
                <w:sz w:val="30"/>
                <w:szCs w:val="30"/>
                <w:lang w:eastAsia="zh-CN"/>
              </w:rPr>
              <w:t>中标结果公告媒介：《河南省政府采购网》《河南省公共资源交易中心网》</w:t>
            </w:r>
          </w:p>
        </w:tc>
      </w:tr>
      <w:tr w14:paraId="55BB7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471" w:hRule="atLeast"/>
        </w:trPr>
        <w:tc>
          <w:tcPr>
            <w:tcW w:w="1025" w:type="dxa"/>
            <w:noWrap w:val="0"/>
            <w:vAlign w:val="center"/>
          </w:tcPr>
          <w:p w14:paraId="4DD6A713">
            <w:pPr>
              <w:spacing w:line="360" w:lineRule="auto"/>
              <w:jc w:val="center"/>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color w:val="auto"/>
                <w:sz w:val="30"/>
                <w:szCs w:val="30"/>
              </w:rPr>
              <w:t>4</w:t>
            </w:r>
            <w:r>
              <w:rPr>
                <w:rFonts w:hint="default" w:ascii="Times New Roman" w:hAnsi="Times New Roman" w:eastAsia="仿宋_GB2312" w:cs="Times New Roman"/>
                <w:color w:val="auto"/>
                <w:sz w:val="30"/>
                <w:szCs w:val="30"/>
                <w:lang w:val="en-US" w:eastAsia="zh-CN"/>
              </w:rPr>
              <w:t>4</w:t>
            </w:r>
          </w:p>
        </w:tc>
        <w:tc>
          <w:tcPr>
            <w:tcW w:w="7843" w:type="dxa"/>
            <w:noWrap w:val="0"/>
            <w:vAlign w:val="center"/>
          </w:tcPr>
          <w:p w14:paraId="0A736B4C">
            <w:pPr>
              <w:spacing w:line="360" w:lineRule="auto"/>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color w:val="auto"/>
                <w:sz w:val="30"/>
                <w:szCs w:val="30"/>
                <w:lang w:eastAsia="zh-CN"/>
              </w:rPr>
              <w:t>数量</w:t>
            </w:r>
            <w:r>
              <w:rPr>
                <w:rFonts w:hint="default" w:ascii="Times New Roman" w:hAnsi="Times New Roman" w:eastAsia="仿宋_GB2312" w:cs="Times New Roman"/>
                <w:color w:val="auto"/>
                <w:sz w:val="30"/>
                <w:szCs w:val="30"/>
                <w:lang w:val="en-US" w:eastAsia="zh-CN"/>
              </w:rPr>
              <w:t>追加</w:t>
            </w:r>
            <w:r>
              <w:rPr>
                <w:rFonts w:hint="default" w:ascii="Times New Roman" w:hAnsi="Times New Roman" w:eastAsia="仿宋_GB2312" w:cs="Times New Roman"/>
                <w:color w:val="auto"/>
                <w:sz w:val="30"/>
                <w:szCs w:val="30"/>
                <w:lang w:eastAsia="zh-CN"/>
              </w:rPr>
              <w:t>范围：采购人需追加与合同标的相同的服务的，在不改变合同其它条款的前提下，可以与投标人签订补充合同，但所有补充合同的采购金额不得超过原合同金额的百分之十。</w:t>
            </w:r>
          </w:p>
        </w:tc>
      </w:tr>
      <w:tr w14:paraId="2D15B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471" w:hRule="atLeast"/>
        </w:trPr>
        <w:tc>
          <w:tcPr>
            <w:tcW w:w="1025" w:type="dxa"/>
            <w:noWrap w:val="0"/>
            <w:vAlign w:val="center"/>
          </w:tcPr>
          <w:p w14:paraId="7ED89DA0">
            <w:pPr>
              <w:spacing w:line="360" w:lineRule="auto"/>
              <w:jc w:val="center"/>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46</w:t>
            </w:r>
          </w:p>
        </w:tc>
        <w:tc>
          <w:tcPr>
            <w:tcW w:w="7843" w:type="dxa"/>
            <w:noWrap w:val="0"/>
            <w:vAlign w:val="center"/>
          </w:tcPr>
          <w:p w14:paraId="566A269E">
            <w:pPr>
              <w:spacing w:line="360" w:lineRule="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eastAsia="zh-CN"/>
              </w:rPr>
              <w:t>履约保证金：合同金额的4%</w:t>
            </w:r>
            <w:r>
              <w:rPr>
                <w:rFonts w:hint="eastAsia" w:ascii="Times New Roman" w:hAnsi="Times New Roman" w:eastAsia="仿宋_GB2312" w:cs="Times New Roman"/>
                <w:color w:val="auto"/>
                <w:sz w:val="30"/>
                <w:szCs w:val="30"/>
                <w:lang w:eastAsia="zh-CN"/>
              </w:rPr>
              <w:t>，</w:t>
            </w:r>
            <w:r>
              <w:rPr>
                <w:rFonts w:hint="default" w:ascii="Times New Roman" w:hAnsi="Times New Roman" w:eastAsia="仿宋_GB2312" w:cs="Times New Roman"/>
                <w:color w:val="auto"/>
                <w:sz w:val="30"/>
                <w:szCs w:val="30"/>
                <w:lang w:val="en-US" w:eastAsia="zh-CN"/>
              </w:rPr>
              <w:t>以支票、汇票、本票或者金融机构、担保机构出具的保函等非现金形式提交。</w:t>
            </w:r>
          </w:p>
          <w:p w14:paraId="36C1C850">
            <w:pPr>
              <w:spacing w:line="360" w:lineRule="auto"/>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color w:val="auto"/>
                <w:sz w:val="30"/>
                <w:szCs w:val="30"/>
                <w:lang w:eastAsia="zh-CN"/>
              </w:rPr>
              <w:t>履约保证金退还：</w:t>
            </w:r>
            <w:r>
              <w:rPr>
                <w:rFonts w:hint="default" w:ascii="Times New Roman" w:hAnsi="Times New Roman" w:eastAsia="仿宋_GB2312" w:cs="Times New Roman"/>
                <w:color w:val="auto"/>
                <w:sz w:val="30"/>
                <w:szCs w:val="30"/>
                <w:lang w:val="en-US" w:eastAsia="zh-CN"/>
              </w:rPr>
              <w:t>中标人履行完合同约定义务事项后退还</w:t>
            </w:r>
            <w:r>
              <w:rPr>
                <w:rFonts w:hint="eastAsia" w:ascii="Times New Roman" w:hAnsi="Times New Roman" w:eastAsia="仿宋_GB2312" w:cs="Times New Roman"/>
                <w:color w:val="auto"/>
                <w:sz w:val="30"/>
                <w:szCs w:val="30"/>
                <w:lang w:val="en-US" w:eastAsia="zh-CN"/>
              </w:rPr>
              <w:t>。</w:t>
            </w:r>
          </w:p>
        </w:tc>
      </w:tr>
      <w:tr w14:paraId="10502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17" w:hRule="atLeast"/>
        </w:trPr>
        <w:tc>
          <w:tcPr>
            <w:tcW w:w="1025" w:type="dxa"/>
            <w:noWrap w:val="0"/>
            <w:vAlign w:val="center"/>
          </w:tcPr>
          <w:p w14:paraId="6539E503">
            <w:pPr>
              <w:spacing w:line="360" w:lineRule="auto"/>
              <w:jc w:val="center"/>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48</w:t>
            </w:r>
          </w:p>
        </w:tc>
        <w:tc>
          <w:tcPr>
            <w:tcW w:w="7843" w:type="dxa"/>
            <w:noWrap w:val="0"/>
            <w:vAlign w:val="center"/>
          </w:tcPr>
          <w:p w14:paraId="0F5BE459">
            <w:pPr>
              <w:spacing w:line="360" w:lineRule="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招标代理费</w:t>
            </w:r>
            <w:r>
              <w:rPr>
                <w:rFonts w:hint="default" w:ascii="Times New Roman" w:hAnsi="Times New Roman" w:eastAsia="仿宋_GB2312" w:cs="Times New Roman"/>
                <w:color w:val="auto"/>
                <w:sz w:val="30"/>
                <w:szCs w:val="30"/>
              </w:rPr>
              <w:t>：免费。</w:t>
            </w:r>
          </w:p>
        </w:tc>
      </w:tr>
      <w:tr w14:paraId="2E3DE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58" w:hRule="atLeast"/>
        </w:trPr>
        <w:tc>
          <w:tcPr>
            <w:tcW w:w="1025" w:type="dxa"/>
            <w:noWrap w:val="0"/>
            <w:vAlign w:val="center"/>
          </w:tcPr>
          <w:p w14:paraId="1C14F380">
            <w:pPr>
              <w:spacing w:line="360" w:lineRule="auto"/>
              <w:jc w:val="center"/>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49.2</w:t>
            </w:r>
          </w:p>
        </w:tc>
        <w:tc>
          <w:tcPr>
            <w:tcW w:w="7843" w:type="dxa"/>
            <w:noWrap w:val="0"/>
            <w:vAlign w:val="center"/>
          </w:tcPr>
          <w:p w14:paraId="6050257B">
            <w:pPr>
              <w:spacing w:line="360" w:lineRule="auto"/>
              <w:rPr>
                <w:rFonts w:hint="default" w:ascii="Times New Roman" w:hAnsi="Times New Roman" w:cs="Times New Roman"/>
                <w:color w:val="auto"/>
                <w:sz w:val="30"/>
                <w:szCs w:val="30"/>
                <w:lang w:eastAsia="zh-CN"/>
              </w:rPr>
            </w:pPr>
            <w:r>
              <w:rPr>
                <w:rFonts w:hint="default" w:ascii="Times New Roman" w:hAnsi="Times New Roman" w:eastAsia="仿宋_GB2312" w:cs="Times New Roman"/>
                <w:color w:val="auto"/>
                <w:sz w:val="30"/>
                <w:szCs w:val="30"/>
                <w:lang w:val="en-US" w:eastAsia="zh-CN"/>
              </w:rPr>
              <w:t>投标人应在法定质疑期内针对同一采购程序环节的质疑次数：一次。</w:t>
            </w:r>
          </w:p>
        </w:tc>
      </w:tr>
      <w:tr w14:paraId="4BD7C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9" w:hRule="atLeast"/>
        </w:trPr>
        <w:tc>
          <w:tcPr>
            <w:tcW w:w="1025" w:type="dxa"/>
            <w:noWrap w:val="0"/>
            <w:vAlign w:val="center"/>
          </w:tcPr>
          <w:p w14:paraId="589D8210">
            <w:pPr>
              <w:spacing w:line="360" w:lineRule="auto"/>
              <w:jc w:val="center"/>
              <w:rPr>
                <w:rFonts w:hint="default" w:ascii="Times New Roman" w:hAnsi="Times New Roman" w:eastAsia="仿宋_GB2312" w:cs="Times New Roman"/>
                <w:color w:val="auto"/>
                <w:sz w:val="30"/>
                <w:szCs w:val="30"/>
                <w:lang w:val="en-US" w:eastAsia="zh-CN"/>
              </w:rPr>
            </w:pPr>
          </w:p>
        </w:tc>
        <w:tc>
          <w:tcPr>
            <w:tcW w:w="7843" w:type="dxa"/>
            <w:noWrap w:val="0"/>
            <w:vAlign w:val="center"/>
          </w:tcPr>
          <w:p w14:paraId="2D063D52">
            <w:pPr>
              <w:spacing w:line="360" w:lineRule="auto"/>
              <w:jc w:val="center"/>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需要补充的其他内容</w:t>
            </w:r>
          </w:p>
        </w:tc>
      </w:tr>
      <w:tr w14:paraId="7751A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1025" w:type="dxa"/>
            <w:noWrap w:val="0"/>
            <w:vAlign w:val="center"/>
          </w:tcPr>
          <w:p w14:paraId="3F26C602">
            <w:pPr>
              <w:spacing w:line="360" w:lineRule="auto"/>
              <w:jc w:val="center"/>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color w:val="auto"/>
                <w:sz w:val="30"/>
                <w:szCs w:val="30"/>
                <w:lang w:val="en-US" w:eastAsia="zh-CN"/>
              </w:rPr>
              <w:t>50</w:t>
            </w:r>
            <w:r>
              <w:rPr>
                <w:rFonts w:hint="default" w:ascii="Times New Roman" w:hAnsi="Times New Roman" w:eastAsia="仿宋_GB2312" w:cs="Times New Roman"/>
                <w:color w:val="auto"/>
                <w:sz w:val="30"/>
                <w:szCs w:val="30"/>
                <w:lang w:eastAsia="zh-CN"/>
              </w:rPr>
              <w:t>.1</w:t>
            </w:r>
          </w:p>
        </w:tc>
        <w:tc>
          <w:tcPr>
            <w:tcW w:w="7843" w:type="dxa"/>
            <w:noWrap w:val="0"/>
            <w:vAlign w:val="center"/>
          </w:tcPr>
          <w:p w14:paraId="008CA7B3">
            <w:pPr>
              <w:spacing w:line="360" w:lineRule="auto"/>
              <w:jc w:val="left"/>
              <w:rPr>
                <w:rFonts w:hint="default" w:ascii="Times New Roman" w:hAnsi="Times New Roman" w:eastAsia="仿宋_GB2312" w:cs="Times New Roman"/>
                <w:b/>
                <w:bCs/>
                <w:color w:val="auto"/>
                <w:sz w:val="30"/>
                <w:szCs w:val="30"/>
                <w:lang w:eastAsia="zh-CN"/>
              </w:rPr>
            </w:pPr>
            <w:r>
              <w:rPr>
                <w:rFonts w:hint="default" w:ascii="Times New Roman" w:hAnsi="Times New Roman" w:eastAsia="仿宋_GB2312" w:cs="Times New Roman"/>
                <w:b/>
                <w:bCs/>
                <w:color w:val="auto"/>
                <w:sz w:val="30"/>
                <w:szCs w:val="30"/>
                <w:lang w:eastAsia="zh-CN"/>
              </w:rPr>
              <w:t>付款方法和条件：</w:t>
            </w:r>
          </w:p>
          <w:p w14:paraId="63D91898">
            <w:pPr>
              <w:spacing w:line="360" w:lineRule="auto"/>
              <w:rPr>
                <w:rFonts w:hint="default" w:ascii="Times New Roman" w:hAnsi="Times New Roman" w:eastAsia="仿宋_GB2312" w:cs="Times New Roman"/>
                <w:color w:val="auto"/>
                <w:sz w:val="30"/>
                <w:szCs w:val="30"/>
                <w:lang w:val="en-US" w:eastAsia="zh-CN"/>
              </w:rPr>
            </w:pPr>
            <w:r>
              <w:rPr>
                <w:rFonts w:hint="default" w:ascii="Times New Roman" w:hAnsi="Times New Roman" w:eastAsia="宋体" w:cs="Times New Roman"/>
                <w:color w:val="auto"/>
                <w:sz w:val="30"/>
                <w:szCs w:val="30"/>
                <w:lang w:eastAsia="zh-CN"/>
              </w:rPr>
              <w:t xml:space="preserve"> </w:t>
            </w:r>
            <w:r>
              <w:rPr>
                <w:rFonts w:hint="default" w:ascii="Times New Roman" w:hAnsi="Times New Roman" w:eastAsia="仿宋_GB2312" w:cs="Times New Roman"/>
                <w:color w:val="auto"/>
                <w:kern w:val="0"/>
                <w:sz w:val="30"/>
                <w:szCs w:val="30"/>
                <w:lang w:val="en-US" w:eastAsia="zh-CN"/>
              </w:rPr>
              <w:t xml:space="preserve">  根据考核结果，服务费用按月支付。中标人于次月的前5日出具上个月正规发票，采购人在接到发票后，于当月支付上月费用，节假日顺延。合同期内最后一个月的服务费待双方办理完交接手续后无遗留问题，由采购人支付给中标人。</w:t>
            </w:r>
          </w:p>
        </w:tc>
      </w:tr>
      <w:tr w14:paraId="7363C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138" w:hRule="atLeast"/>
        </w:trPr>
        <w:tc>
          <w:tcPr>
            <w:tcW w:w="1025" w:type="dxa"/>
            <w:noWrap w:val="0"/>
            <w:vAlign w:val="center"/>
          </w:tcPr>
          <w:p w14:paraId="347A1042">
            <w:pPr>
              <w:spacing w:line="360" w:lineRule="auto"/>
              <w:jc w:val="center"/>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50.2</w:t>
            </w:r>
          </w:p>
        </w:tc>
        <w:tc>
          <w:tcPr>
            <w:tcW w:w="7843" w:type="dxa"/>
            <w:noWrap w:val="0"/>
            <w:vAlign w:val="center"/>
          </w:tcPr>
          <w:p w14:paraId="6F3448F5">
            <w:pPr>
              <w:tabs>
                <w:tab w:val="left" w:pos="3150"/>
              </w:tabs>
              <w:spacing w:line="360" w:lineRule="auto"/>
              <w:jc w:val="left"/>
              <w:rPr>
                <w:rFonts w:hint="default" w:ascii="Times New Roman" w:hAnsi="Times New Roman" w:eastAsia="仿宋_GB2312" w:cs="Times New Roman"/>
                <w:b/>
                <w:bCs/>
                <w:color w:val="auto"/>
                <w:sz w:val="30"/>
                <w:szCs w:val="30"/>
                <w:lang w:val="en-US" w:eastAsia="zh-CN"/>
              </w:rPr>
            </w:pPr>
            <w:r>
              <w:rPr>
                <w:rFonts w:hint="default" w:ascii="Times New Roman" w:hAnsi="Times New Roman" w:eastAsia="仿宋_GB2312" w:cs="Times New Roman"/>
                <w:b/>
                <w:bCs/>
                <w:color w:val="auto"/>
                <w:kern w:val="0"/>
                <w:sz w:val="30"/>
                <w:szCs w:val="30"/>
                <w:lang w:val="en-US" w:eastAsia="zh-CN"/>
              </w:rPr>
              <w:t>“</w:t>
            </w:r>
            <w:r>
              <w:rPr>
                <w:rFonts w:hint="default" w:ascii="Times New Roman" w:hAnsi="Times New Roman" w:eastAsia="仿宋_GB2312" w:cs="Times New Roman"/>
                <w:b/>
                <w:bCs/>
                <w:color w:val="auto"/>
                <w:sz w:val="30"/>
                <w:szCs w:val="30"/>
                <w:lang w:val="en-US" w:eastAsia="zh-CN"/>
              </w:rPr>
              <w:t>一号咨询”服务：</w:t>
            </w:r>
            <w:r>
              <w:rPr>
                <w:rFonts w:hint="default" w:ascii="Times New Roman" w:hAnsi="Times New Roman" w:eastAsia="仿宋_GB2312" w:cs="Times New Roman"/>
                <w:color w:val="auto"/>
                <w:kern w:val="0"/>
                <w:sz w:val="30"/>
                <w:szCs w:val="30"/>
                <w:lang w:val="en-US" w:eastAsia="zh-CN"/>
              </w:rPr>
              <w:t>市场主体拨打0371-61335566即可咨询河南省公共资源交易中心业务的相关问题。</w:t>
            </w:r>
          </w:p>
        </w:tc>
      </w:tr>
    </w:tbl>
    <w:p w14:paraId="4FFB29C7">
      <w:pPr>
        <w:spacing w:line="480" w:lineRule="exact"/>
        <w:jc w:val="left"/>
        <w:rPr>
          <w:rFonts w:hint="default" w:ascii="Times New Roman" w:hAnsi="Times New Roman" w:eastAsia="宋体" w:cs="Times New Roman"/>
          <w:color w:val="auto"/>
          <w:sz w:val="24"/>
          <w:szCs w:val="24"/>
          <w:lang w:eastAsia="zh-CN"/>
        </w:rPr>
      </w:pPr>
    </w:p>
    <w:p w14:paraId="240B4016">
      <w:pPr>
        <w:spacing w:line="480" w:lineRule="exact"/>
        <w:ind w:left="1077" w:hanging="539"/>
        <w:rPr>
          <w:rFonts w:hint="default" w:ascii="Times New Roman" w:hAnsi="Times New Roman" w:eastAsia="宋体" w:cs="Times New Roman"/>
          <w:color w:val="auto"/>
          <w:lang w:eastAsia="zh-CN"/>
        </w:rPr>
        <w:sectPr>
          <w:pgSz w:w="11900" w:h="16840"/>
          <w:pgMar w:top="1440" w:right="1797" w:bottom="1440" w:left="1797" w:header="851" w:footer="992" w:gutter="0"/>
          <w:cols w:space="720" w:num="1"/>
        </w:sectPr>
      </w:pPr>
    </w:p>
    <w:p w14:paraId="43A0DD69">
      <w:pPr>
        <w:pStyle w:val="2"/>
        <w:spacing w:before="0" w:after="0" w:line="240" w:lineRule="auto"/>
        <w:jc w:val="center"/>
        <w:rPr>
          <w:rFonts w:hint="default" w:ascii="Times New Roman" w:hAnsi="Times New Roman" w:eastAsia="宋体" w:cs="Times New Roman"/>
          <w:color w:val="auto"/>
          <w:sz w:val="36"/>
          <w:szCs w:val="36"/>
          <w:lang w:val="en-US" w:eastAsia="zh-CN"/>
        </w:rPr>
      </w:pPr>
      <w:bookmarkStart w:id="114" w:name="_Toc540794793"/>
      <w:bookmarkStart w:id="115" w:name="_Toc914717081"/>
      <w:bookmarkStart w:id="116" w:name="_Toc309192439"/>
      <w:bookmarkStart w:id="117" w:name="_Toc696406431"/>
      <w:bookmarkStart w:id="118" w:name="_Toc653624039"/>
      <w:bookmarkStart w:id="119" w:name="_Toc1855516403"/>
      <w:bookmarkStart w:id="120" w:name="_Toc1341383622_WPSOffice_Level1"/>
      <w:bookmarkStart w:id="121" w:name="_Toc2118786865_WPSOffice_Level1"/>
      <w:bookmarkStart w:id="122" w:name="_Toc580298809"/>
      <w:bookmarkStart w:id="123" w:name="_Toc457436968_WPSOffice_Level1"/>
      <w:bookmarkStart w:id="124" w:name="_Toc672784450_WPSOffice_Level1"/>
      <w:bookmarkStart w:id="125" w:name="_Toc1344387214"/>
      <w:bookmarkStart w:id="126" w:name="_Toc194396107"/>
      <w:bookmarkStart w:id="127" w:name="_Toc435542012"/>
      <w:bookmarkStart w:id="128" w:name="_Toc1810187627_WPSOffice_Level1"/>
      <w:bookmarkStart w:id="129" w:name="_Toc10558"/>
      <w:bookmarkStart w:id="130" w:name="_Toc511855247"/>
      <w:bookmarkStart w:id="131" w:name="_Toc1484219635"/>
      <w:bookmarkStart w:id="132" w:name="_Toc1639549268"/>
      <w:bookmarkStart w:id="133" w:name="_Toc754728636"/>
      <w:r>
        <w:rPr>
          <w:rFonts w:hint="default" w:ascii="Times New Roman" w:hAnsi="Times New Roman" w:eastAsia="宋体" w:cs="Times New Roman"/>
          <w:color w:val="auto"/>
          <w:sz w:val="36"/>
          <w:szCs w:val="36"/>
          <w:lang w:val="en-US" w:eastAsia="zh-CN"/>
        </w:rPr>
        <w:t xml:space="preserve">第三章 </w:t>
      </w:r>
      <w:r>
        <w:rPr>
          <w:rFonts w:hint="default" w:ascii="Times New Roman" w:hAnsi="Times New Roman" w:eastAsia="宋体" w:cs="Times New Roman"/>
          <w:color w:val="auto"/>
          <w:sz w:val="36"/>
          <w:szCs w:val="36"/>
          <w:lang w:eastAsia="zh-CN"/>
        </w:rPr>
        <w:t>投标人须知</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1358C809">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34" w:name="_Toc1875035149"/>
      <w:bookmarkStart w:id="135" w:name="_Toc1547883234"/>
      <w:bookmarkStart w:id="136" w:name="_Toc2103873687_WPSOffice_Level2"/>
      <w:bookmarkStart w:id="137" w:name="_Toc795505054"/>
      <w:bookmarkStart w:id="138" w:name="_Toc753331058"/>
      <w:bookmarkStart w:id="139" w:name="_Toc1698066625"/>
      <w:bookmarkStart w:id="140" w:name="_Toc587412607"/>
      <w:bookmarkStart w:id="141" w:name="_Toc963499806"/>
      <w:bookmarkStart w:id="142" w:name="_Toc1820077040_WPSOffice_Level2"/>
      <w:bookmarkStart w:id="143" w:name="_Toc547533145"/>
      <w:bookmarkStart w:id="144" w:name="_Toc1724158210_WPSOffice_Level2"/>
      <w:bookmarkStart w:id="145" w:name="_Toc1420306246"/>
      <w:bookmarkStart w:id="146" w:name="_Toc72595909_WPSOffice_Level2"/>
      <w:bookmarkStart w:id="147" w:name="_Toc1605126531"/>
      <w:bookmarkStart w:id="148" w:name="_Toc1239566703"/>
      <w:bookmarkStart w:id="149" w:name="_Toc225324457"/>
      <w:bookmarkStart w:id="150" w:name="_Toc6348"/>
      <w:bookmarkStart w:id="151" w:name="_Toc1053718759_WPSOffice_Level2"/>
      <w:r>
        <w:rPr>
          <w:rFonts w:hint="default" w:ascii="Times New Roman" w:hAnsi="Times New Roman" w:eastAsia="方正小标宋_GBK" w:cs="Times New Roman"/>
          <w:bCs/>
          <w:color w:val="auto"/>
          <w:kern w:val="0"/>
          <w:sz w:val="30"/>
          <w:szCs w:val="30"/>
          <w:lang w:val="en-US" w:eastAsia="zh-CN"/>
        </w:rPr>
        <w:t>一、说  明</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6A1CA02C">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适用范围</w:t>
      </w:r>
    </w:p>
    <w:p w14:paraId="45C4AF02">
      <w:pPr>
        <w:spacing w:line="360" w:lineRule="auto"/>
        <w:rPr>
          <w:rFonts w:hint="default" w:ascii="Times New Roman" w:hAnsi="Times New Roman" w:eastAsia="仿宋_GB2312" w:cs="Times New Roman"/>
          <w:color w:val="auto"/>
          <w:sz w:val="28"/>
          <w:szCs w:val="28"/>
          <w:lang w:eastAsia="zh-CN"/>
        </w:rPr>
      </w:pPr>
      <w:bookmarkStart w:id="152" w:name="_Toc532150620_WPSOffice_Level3"/>
      <w:bookmarkStart w:id="153" w:name="_Toc187354401_WPSOffice_Level3"/>
      <w:bookmarkStart w:id="154" w:name="_Toc196648728_WPSOffice_Level3"/>
      <w:r>
        <w:rPr>
          <w:rFonts w:hint="default" w:ascii="Times New Roman" w:hAnsi="Times New Roman" w:eastAsia="仿宋_GB2312" w:cs="Times New Roman"/>
          <w:color w:val="auto"/>
          <w:sz w:val="28"/>
          <w:szCs w:val="28"/>
          <w:lang w:eastAsia="zh-CN"/>
        </w:rPr>
        <w:t>1.1本招标文件仅适用于本次公开招标所述的服务。</w:t>
      </w:r>
      <w:bookmarkEnd w:id="152"/>
      <w:bookmarkEnd w:id="153"/>
      <w:bookmarkEnd w:id="154"/>
    </w:p>
    <w:p w14:paraId="643F4A00">
      <w:pPr>
        <w:spacing w:line="360" w:lineRule="auto"/>
        <w:rPr>
          <w:rFonts w:hint="default" w:ascii="Times New Roman" w:hAnsi="Times New Roman" w:eastAsia="仿宋_GB2312" w:cs="Times New Roman"/>
          <w:color w:val="auto"/>
          <w:sz w:val="28"/>
          <w:szCs w:val="28"/>
          <w:lang w:eastAsia="zh-CN"/>
        </w:rPr>
      </w:pPr>
      <w:bookmarkStart w:id="155" w:name="_Toc900722191_WPSOffice_Level3"/>
      <w:bookmarkStart w:id="156" w:name="_Toc548249303_WPSOffice_Level3"/>
      <w:bookmarkStart w:id="157" w:name="_Toc1359847161_WPSOffice_Level3"/>
      <w:r>
        <w:rPr>
          <w:rFonts w:hint="default" w:ascii="Times New Roman" w:hAnsi="Times New Roman" w:eastAsia="仿宋_GB2312" w:cs="Times New Roman"/>
          <w:color w:val="auto"/>
          <w:sz w:val="28"/>
          <w:szCs w:val="28"/>
          <w:lang w:eastAsia="zh-CN"/>
        </w:rPr>
        <w:t>1.2采购项目：见“投标人须知前附表”。</w:t>
      </w:r>
      <w:bookmarkEnd w:id="155"/>
      <w:bookmarkEnd w:id="156"/>
      <w:bookmarkEnd w:id="157"/>
    </w:p>
    <w:p w14:paraId="0E3B669E">
      <w:pPr>
        <w:spacing w:line="360" w:lineRule="auto"/>
        <w:rPr>
          <w:rFonts w:hint="default" w:ascii="Times New Roman" w:hAnsi="Times New Roman" w:eastAsia="仿宋_GB2312" w:cs="Times New Roman"/>
          <w:color w:val="auto"/>
          <w:sz w:val="28"/>
          <w:szCs w:val="28"/>
          <w:lang w:eastAsia="zh-CN"/>
        </w:rPr>
      </w:pPr>
      <w:bookmarkStart w:id="158" w:name="_Toc1100833192_WPSOffice_Level3"/>
      <w:bookmarkStart w:id="159" w:name="_Toc1512585633_WPSOffice_Level3"/>
      <w:bookmarkStart w:id="160" w:name="_Toc334765003_WPSOffice_Level3"/>
      <w:r>
        <w:rPr>
          <w:rFonts w:hint="default" w:ascii="Times New Roman" w:hAnsi="Times New Roman" w:eastAsia="仿宋_GB2312" w:cs="Times New Roman"/>
          <w:color w:val="auto"/>
          <w:sz w:val="28"/>
          <w:szCs w:val="28"/>
          <w:lang w:eastAsia="zh-CN"/>
        </w:rPr>
        <w:t>1.3采购编号：见“投标人须知前附表”。</w:t>
      </w:r>
      <w:bookmarkEnd w:id="158"/>
      <w:bookmarkEnd w:id="159"/>
      <w:bookmarkEnd w:id="160"/>
    </w:p>
    <w:p w14:paraId="03014344">
      <w:pPr>
        <w:spacing w:line="360" w:lineRule="auto"/>
        <w:rPr>
          <w:rFonts w:hint="default" w:ascii="Times New Roman" w:hAnsi="Times New Roman" w:eastAsia="仿宋_GB2312" w:cs="Times New Roman"/>
          <w:color w:val="auto"/>
          <w:sz w:val="28"/>
          <w:szCs w:val="28"/>
          <w:lang w:eastAsia="zh-CN"/>
        </w:rPr>
      </w:pPr>
      <w:bookmarkStart w:id="161" w:name="_Toc2062433103_WPSOffice_Level3"/>
      <w:bookmarkStart w:id="162" w:name="_Toc979196621_WPSOffice_Level3"/>
      <w:bookmarkStart w:id="163" w:name="_Toc1513112147_WPSOffice_Level3"/>
      <w:r>
        <w:rPr>
          <w:rFonts w:hint="default" w:ascii="Times New Roman" w:hAnsi="Times New Roman" w:eastAsia="仿宋_GB2312" w:cs="Times New Roman"/>
          <w:color w:val="auto"/>
          <w:sz w:val="28"/>
          <w:szCs w:val="28"/>
          <w:lang w:eastAsia="zh-CN"/>
        </w:rPr>
        <w:t>1.4采购项目简要说明：见“投标人须知前附表”。</w:t>
      </w:r>
      <w:bookmarkEnd w:id="161"/>
      <w:bookmarkEnd w:id="162"/>
      <w:bookmarkEnd w:id="163"/>
    </w:p>
    <w:p w14:paraId="11143E57">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定义</w:t>
      </w:r>
    </w:p>
    <w:p w14:paraId="1F2E6CC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2.1政府采购监督管理部门：河南省财政厅。</w:t>
      </w:r>
    </w:p>
    <w:p w14:paraId="45D9CF7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2.2采购人：</w:t>
      </w:r>
      <w:r>
        <w:rPr>
          <w:rFonts w:hint="default" w:ascii="Times New Roman" w:hAnsi="Times New Roman" w:eastAsia="仿宋_GB2312" w:cs="Times New Roman"/>
          <w:color w:val="auto"/>
          <w:sz w:val="28"/>
          <w:szCs w:val="28"/>
          <w:lang w:val="en-US" w:eastAsia="zh-CN"/>
        </w:rPr>
        <w:t>是指依法进行政府采购的国家机关、事业单位、团体组织。本项目的采购人见投标人须知前附表。</w:t>
      </w:r>
    </w:p>
    <w:p w14:paraId="08AA5F1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2.3集中采购机构：“投标人须知前附表”中所述的受采购人委托组织集中采购的代理机构。</w:t>
      </w:r>
    </w:p>
    <w:p w14:paraId="2C2A33C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2.4集中采购：是指政府集中采购目录及限额标准规定的集中采购项目的采购活动。</w:t>
      </w:r>
    </w:p>
    <w:p w14:paraId="6E9C647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2.5合格投标人：提供资格证明文件并通过资格审查的投标人。</w:t>
      </w:r>
    </w:p>
    <w:p w14:paraId="32CA4E94">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2.5.1若投标人须知前附表中写明专门面向中小企业采购的，如投标人为非中小企业，其投标将被认定为投标无效。</w:t>
      </w:r>
    </w:p>
    <w:p w14:paraId="3B85A3F6">
      <w:pPr>
        <w:spacing w:line="360" w:lineRule="auto"/>
        <w:rPr>
          <w:rFonts w:hint="default" w:ascii="Times New Roman" w:hAnsi="Times New Roman" w:cs="Times New Roman"/>
          <w:color w:val="auto"/>
          <w:lang w:val="en-US" w:eastAsia="zh-CN"/>
        </w:rPr>
      </w:pPr>
      <w:r>
        <w:rPr>
          <w:rFonts w:hint="default" w:ascii="Times New Roman" w:hAnsi="Times New Roman" w:eastAsia="仿宋_GB2312" w:cs="Times New Roman"/>
          <w:color w:val="auto"/>
          <w:sz w:val="28"/>
          <w:szCs w:val="28"/>
          <w:lang w:val="en-US" w:eastAsia="zh-CN"/>
        </w:rPr>
        <w:t>2.5.2</w:t>
      </w:r>
      <w:r>
        <w:rPr>
          <w:rFonts w:hint="default" w:ascii="Times New Roman" w:hAnsi="Times New Roman" w:eastAsia="仿宋_GB2312" w:cs="Times New Roman"/>
          <w:color w:val="auto"/>
          <w:sz w:val="28"/>
          <w:szCs w:val="28"/>
          <w:lang w:eastAsia="zh-CN"/>
        </w:rPr>
        <w:t>若投标人须知前附表中写明允许采购进口产品，但不限制满足招标文件要求的国内产品参与采购活动，投标人应保证所投产品可履行合法报通关手续进入中国关境内。若投标人须知前附表中未写明允许采购进口产品，如投标人提供产品为进口产品，其投标文件将被认定为无效投标文件。</w:t>
      </w:r>
    </w:p>
    <w:p w14:paraId="78664D5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2.6投标文件：指投标人根据招标文件提交的所有文件。</w:t>
      </w:r>
    </w:p>
    <w:p w14:paraId="1E4C8ED9">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投标费用</w:t>
      </w:r>
    </w:p>
    <w:p w14:paraId="571AD09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投标人须自行承担所有与参加投标有关的费用，无论投标的结果如何，采购人和集中采购机构在任何情况下均无义务和责任承担这些费用。</w:t>
      </w:r>
    </w:p>
    <w:p w14:paraId="509612B8">
      <w:pPr>
        <w:spacing w:line="360" w:lineRule="auto"/>
        <w:rPr>
          <w:rFonts w:hint="default" w:ascii="Times New Roman" w:hAnsi="Times New Roman" w:eastAsia="仿宋_GB2312" w:cs="Times New Roman"/>
          <w:b/>
          <w:bCs/>
          <w:color w:val="auto"/>
          <w:sz w:val="28"/>
          <w:szCs w:val="28"/>
          <w:lang w:eastAsia="zh-CN"/>
        </w:rPr>
      </w:pPr>
      <w:bookmarkStart w:id="164" w:name="_Toc441214089"/>
      <w:bookmarkStart w:id="165" w:name="_Toc284337471"/>
      <w:bookmarkStart w:id="166" w:name="_Toc337225031"/>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踏勘现场</w:t>
      </w:r>
      <w:bookmarkEnd w:id="164"/>
      <w:bookmarkEnd w:id="165"/>
      <w:bookmarkEnd w:id="166"/>
    </w:p>
    <w:p w14:paraId="640D5D5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4.1“投标人须知前附表”规定组织踏勘现场的，采购人按“投标人须知前附表”规定的时间、地点组织投标人踏勘项目现场。</w:t>
      </w:r>
    </w:p>
    <w:p w14:paraId="6503F32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4.2投标人踏勘现场发生的费用自理。</w:t>
      </w:r>
    </w:p>
    <w:p w14:paraId="0D1CC4A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4.3除采购人的原因外，投标人自行负责在踏勘现场中所发生的人员伤亡和财产损失。</w:t>
      </w:r>
    </w:p>
    <w:p w14:paraId="66AA964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4.4采购人在踏勘现场中介绍的项目现场和相关的周边环境情况，供投标人在编制投标文件时参考，采购人不对投标人据此作出的判断和决策负责。</w:t>
      </w:r>
    </w:p>
    <w:p w14:paraId="3917E27D">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5.知识产权</w:t>
      </w:r>
    </w:p>
    <w:p w14:paraId="4F1335A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GB" w:eastAsia="zh-CN"/>
        </w:rPr>
        <w:t>所有涉及知识产权的成果，</w:t>
      </w:r>
      <w:r>
        <w:rPr>
          <w:rFonts w:hint="default" w:ascii="Times New Roman" w:hAnsi="Times New Roman" w:eastAsia="仿宋_GB2312" w:cs="Times New Roman"/>
          <w:color w:val="auto"/>
          <w:sz w:val="28"/>
          <w:szCs w:val="28"/>
          <w:lang w:eastAsia="zh-CN"/>
        </w:rPr>
        <w:t>投标人</w:t>
      </w:r>
      <w:r>
        <w:rPr>
          <w:rFonts w:hint="default" w:ascii="Times New Roman" w:hAnsi="Times New Roman" w:eastAsia="仿宋_GB2312" w:cs="Times New Roman"/>
          <w:color w:val="auto"/>
          <w:sz w:val="28"/>
          <w:szCs w:val="28"/>
          <w:lang w:val="en-GB" w:eastAsia="zh-CN"/>
        </w:rPr>
        <w:t>必须确保采购人拥有其合法的、不受限制的无偿使用权，并免受任何侵权诉讼或索偿，否则，由此产生的一切经济损失和法律责任由</w:t>
      </w:r>
      <w:r>
        <w:rPr>
          <w:rFonts w:hint="default" w:ascii="Times New Roman" w:hAnsi="Times New Roman" w:eastAsia="仿宋_GB2312" w:cs="Times New Roman"/>
          <w:color w:val="auto"/>
          <w:sz w:val="28"/>
          <w:szCs w:val="28"/>
          <w:lang w:eastAsia="zh-CN"/>
        </w:rPr>
        <w:t>投标人</w:t>
      </w:r>
      <w:r>
        <w:rPr>
          <w:rFonts w:hint="default" w:ascii="Times New Roman" w:hAnsi="Times New Roman" w:eastAsia="仿宋_GB2312" w:cs="Times New Roman"/>
          <w:color w:val="auto"/>
          <w:sz w:val="28"/>
          <w:szCs w:val="28"/>
          <w:lang w:val="en-GB" w:eastAsia="zh-CN"/>
        </w:rPr>
        <w:t>承担。</w:t>
      </w:r>
    </w:p>
    <w:p w14:paraId="688CBDEE">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.联合体投标</w:t>
      </w:r>
    </w:p>
    <w:p w14:paraId="2B2CB04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6.1除非本项目明确要求不接受联合体形式投标外，两个或两个以上投标人可以组成一个联合体，以一个投标人的身份共同参加投标。</w:t>
      </w:r>
    </w:p>
    <w:p w14:paraId="3C3427F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6.2以联合体形式参加投标的，联合体各方均应当符合《政府采购法》第二十二条第规定的条件，并应当向采购人提交联合协议，载明联合体各方承担的工作和义务。根据采购项目的特殊要求规定投标人特定条件的，联合体各方中至少应当有一方符合。</w:t>
      </w:r>
    </w:p>
    <w:p w14:paraId="73CC13F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6.3联合体中有同类资质的投标人按照联合体分工承担相同工作的，应当按照资质等级较低的投标人确定资质等级。</w:t>
      </w:r>
    </w:p>
    <w:p w14:paraId="50F68D2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6.4联合体投标的，可以由联合体中的牵头人或者共同提交投标承诺函，以牵头人名义提交投标承诺函的，对联合体各方均具有约束力。</w:t>
      </w:r>
    </w:p>
    <w:p w14:paraId="4903DEC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6.5以联合体形式参加政府采购活动的，联合体各方不得再单独参加或者与其他投标人另外组成联合体参加同一合同项下的政府采购活动。</w:t>
      </w:r>
    </w:p>
    <w:p w14:paraId="60DBE5FF">
      <w:pPr>
        <w:pStyle w:val="17"/>
        <w:spacing w:line="360" w:lineRule="auto"/>
        <w:rPr>
          <w:rFonts w:hint="default" w:ascii="Times New Roman" w:hAnsi="Times New Roman" w:cs="Times New Roman"/>
          <w:color w:val="auto"/>
          <w:lang w:eastAsia="zh-CN"/>
        </w:rPr>
      </w:pPr>
      <w:r>
        <w:rPr>
          <w:rFonts w:hint="default" w:ascii="Times New Roman" w:hAnsi="Times New Roman" w:eastAsia="仿宋_GB2312" w:cs="Times New Roman"/>
          <w:color w:val="auto"/>
          <w:sz w:val="28"/>
          <w:szCs w:val="28"/>
          <w:lang w:eastAsia="zh-CN"/>
        </w:rPr>
        <w:t>6.6</w:t>
      </w:r>
      <w:r>
        <w:rPr>
          <w:rFonts w:hint="default" w:ascii="Times New Roman" w:hAnsi="Times New Roman" w:eastAsia="仿宋_GB2312" w:cs="Times New Roman"/>
          <w:color w:val="auto"/>
          <w:sz w:val="28"/>
          <w:szCs w:val="28"/>
          <w:lang w:val="en-US" w:eastAsia="zh-CN"/>
        </w:rPr>
        <w:t>是否允许联合体投标见投标人须知前附表。</w:t>
      </w:r>
    </w:p>
    <w:p w14:paraId="4DADFF65">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7.保密</w:t>
      </w:r>
    </w:p>
    <w:p w14:paraId="67EC455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参与招标投标活动的各方应对招标文件和投标文件中的商业和技术等秘密保密，违者应对由此造成的后果承担法律责任。</w:t>
      </w:r>
    </w:p>
    <w:p w14:paraId="45D70D77">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8.市场主体信息库</w:t>
      </w:r>
    </w:p>
    <w:p w14:paraId="1ECE077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（1）投标人应及时对入库信息进行补充、更新，若投标人提供虚假信息或未及时对入库信息进行补充、更新，由投标人承担全部责任。</w:t>
      </w:r>
    </w:p>
    <w:p w14:paraId="512D406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（2）投标人可将本项目评审涉及到的资质、业绩、人员、获奖、证书、纳税、社保等信息补充到其市场主体信息库中。</w:t>
      </w:r>
    </w:p>
    <w:p w14:paraId="52B66E7F">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9.采购信息的发布</w:t>
      </w:r>
    </w:p>
    <w:p w14:paraId="43A97FB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与本次采购活动相关的信息，将在《河南省政府采购网》《河南省公共资源交易中心网》上及时发布。</w:t>
      </w:r>
    </w:p>
    <w:p w14:paraId="1D407E40">
      <w:pPr>
        <w:spacing w:line="360" w:lineRule="auto"/>
        <w:rPr>
          <w:rFonts w:hint="default" w:ascii="Times New Roman" w:hAnsi="Times New Roman" w:eastAsia="仿宋_GB2312" w:cs="Times New Roman"/>
          <w:color w:val="auto"/>
          <w:sz w:val="28"/>
          <w:szCs w:val="28"/>
          <w:lang w:eastAsia="zh-CN"/>
        </w:rPr>
      </w:pPr>
    </w:p>
    <w:p w14:paraId="1284B870">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67" w:name="_Toc1135767039"/>
      <w:bookmarkStart w:id="168" w:name="_Toc1225442179_WPSOffice_Level2"/>
      <w:bookmarkStart w:id="169" w:name="_Toc71799347"/>
      <w:bookmarkStart w:id="170" w:name="_Toc1090042493_WPSOffice_Level2"/>
      <w:bookmarkStart w:id="171" w:name="_Toc28660129"/>
      <w:bookmarkStart w:id="172" w:name="_Toc1035752825"/>
      <w:bookmarkStart w:id="173" w:name="_Toc601554517"/>
      <w:bookmarkStart w:id="174" w:name="_Toc1045699149"/>
      <w:bookmarkStart w:id="175" w:name="_Toc773843715"/>
      <w:bookmarkStart w:id="176" w:name="_Toc1329330261"/>
      <w:bookmarkStart w:id="177" w:name="_Toc503947722_WPSOffice_Level2"/>
      <w:bookmarkStart w:id="178" w:name="_Toc812246970"/>
      <w:bookmarkStart w:id="179" w:name="_Toc2021756318"/>
      <w:bookmarkStart w:id="180" w:name="_Toc1613525329"/>
      <w:bookmarkStart w:id="181" w:name="_Toc923512225_WPSOffice_Level2"/>
      <w:r>
        <w:rPr>
          <w:rFonts w:hint="default" w:ascii="Times New Roman" w:hAnsi="Times New Roman" w:eastAsia="方正小标宋_GBK" w:cs="Times New Roman"/>
          <w:bCs/>
          <w:color w:val="auto"/>
          <w:kern w:val="0"/>
          <w:sz w:val="30"/>
          <w:szCs w:val="30"/>
          <w:lang w:val="en-US" w:eastAsia="zh-CN"/>
        </w:rPr>
        <w:t>二、招标文件</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77308BDE">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10.招标文件的组成</w:t>
      </w:r>
    </w:p>
    <w:p w14:paraId="50FADDFC">
      <w:pPr>
        <w:widowControl w:val="0"/>
        <w:spacing w:line="360" w:lineRule="auto"/>
        <w:ind w:left="1050" w:hanging="1050" w:hangingChars="375"/>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10.1   招标文件共九章，构成如下：</w:t>
      </w:r>
    </w:p>
    <w:p w14:paraId="15E8206C">
      <w:pPr>
        <w:widowControl w:val="0"/>
        <w:numPr>
          <w:ilvl w:val="0"/>
          <w:numId w:val="1"/>
        </w:numPr>
        <w:spacing w:line="360" w:lineRule="auto"/>
        <w:ind w:left="901" w:leftChars="429"/>
        <w:rPr>
          <w:rFonts w:hint="default" w:ascii="Times New Roman" w:hAnsi="Times New Roman" w:eastAsia="仿宋_GB2312" w:cs="Times New Roman"/>
          <w:color w:val="auto"/>
          <w:sz w:val="28"/>
          <w:szCs w:val="28"/>
          <w:lang w:val="en-US" w:eastAsia="zh-CN"/>
        </w:rPr>
      </w:pPr>
      <w:bookmarkStart w:id="182" w:name="_Toc2041508748_WPSOffice_Level3"/>
      <w:r>
        <w:rPr>
          <w:rFonts w:hint="default" w:ascii="Times New Roman" w:hAnsi="Times New Roman" w:eastAsia="仿宋_GB2312" w:cs="Times New Roman"/>
          <w:color w:val="auto"/>
          <w:sz w:val="28"/>
          <w:szCs w:val="28"/>
          <w:lang w:val="en-US" w:eastAsia="zh-CN"/>
        </w:rPr>
        <w:t xml:space="preserve"> 投标邀请</w:t>
      </w:r>
      <w:bookmarkEnd w:id="182"/>
    </w:p>
    <w:p w14:paraId="5DA24596">
      <w:pPr>
        <w:widowControl w:val="0"/>
        <w:spacing w:line="360" w:lineRule="auto"/>
        <w:ind w:left="901" w:leftChars="429"/>
        <w:rPr>
          <w:rFonts w:hint="default" w:ascii="Times New Roman" w:hAnsi="Times New Roman" w:eastAsia="仿宋_GB2312" w:cs="Times New Roman"/>
          <w:color w:val="auto"/>
          <w:sz w:val="28"/>
          <w:szCs w:val="28"/>
          <w:lang w:val="en-US" w:eastAsia="zh-CN"/>
        </w:rPr>
      </w:pPr>
      <w:bookmarkStart w:id="183" w:name="_Toc481281934_WPSOffice_Level3"/>
      <w:r>
        <w:rPr>
          <w:rFonts w:hint="default" w:ascii="Times New Roman" w:hAnsi="Times New Roman" w:eastAsia="仿宋_GB2312" w:cs="Times New Roman"/>
          <w:color w:val="auto"/>
          <w:sz w:val="28"/>
          <w:szCs w:val="28"/>
          <w:lang w:val="en-US" w:eastAsia="zh-CN"/>
        </w:rPr>
        <w:t>第二章  投标人须知前附表</w:t>
      </w:r>
      <w:bookmarkEnd w:id="183"/>
    </w:p>
    <w:p w14:paraId="120283D9">
      <w:pPr>
        <w:widowControl w:val="0"/>
        <w:spacing w:line="360" w:lineRule="auto"/>
        <w:ind w:left="901" w:leftChars="429"/>
        <w:rPr>
          <w:rFonts w:hint="default" w:ascii="Times New Roman" w:hAnsi="Times New Roman" w:eastAsia="仿宋_GB2312" w:cs="Times New Roman"/>
          <w:color w:val="auto"/>
          <w:sz w:val="28"/>
          <w:szCs w:val="28"/>
          <w:lang w:val="en-US" w:eastAsia="zh-CN"/>
        </w:rPr>
      </w:pPr>
      <w:bookmarkStart w:id="184" w:name="_Toc1216452732_WPSOffice_Level3"/>
      <w:r>
        <w:rPr>
          <w:rFonts w:hint="default" w:ascii="Times New Roman" w:hAnsi="Times New Roman" w:eastAsia="仿宋_GB2312" w:cs="Times New Roman"/>
          <w:color w:val="auto"/>
          <w:sz w:val="28"/>
          <w:szCs w:val="28"/>
          <w:lang w:val="en-US" w:eastAsia="zh-CN"/>
        </w:rPr>
        <w:t>第三章  投标人须知</w:t>
      </w:r>
      <w:bookmarkEnd w:id="184"/>
    </w:p>
    <w:p w14:paraId="26EF4C7F">
      <w:pPr>
        <w:widowControl w:val="0"/>
        <w:spacing w:line="360" w:lineRule="auto"/>
        <w:ind w:left="901" w:leftChars="429"/>
        <w:rPr>
          <w:rFonts w:hint="default" w:ascii="Times New Roman" w:hAnsi="Times New Roman" w:eastAsia="仿宋_GB2312" w:cs="Times New Roman"/>
          <w:color w:val="auto"/>
          <w:sz w:val="28"/>
          <w:szCs w:val="28"/>
          <w:lang w:val="en-US" w:eastAsia="zh-CN"/>
        </w:rPr>
      </w:pPr>
      <w:bookmarkStart w:id="185" w:name="_Toc1355532098_WPSOffice_Level3"/>
      <w:r>
        <w:rPr>
          <w:rFonts w:hint="default" w:ascii="Times New Roman" w:hAnsi="Times New Roman" w:eastAsia="仿宋_GB2312" w:cs="Times New Roman"/>
          <w:color w:val="auto"/>
          <w:sz w:val="28"/>
          <w:szCs w:val="28"/>
          <w:lang w:val="en-US" w:eastAsia="zh-CN"/>
        </w:rPr>
        <w:t>第四章  资格证明文件格式</w:t>
      </w:r>
      <w:bookmarkEnd w:id="185"/>
    </w:p>
    <w:p w14:paraId="7DAB588F">
      <w:pPr>
        <w:widowControl w:val="0"/>
        <w:spacing w:line="360" w:lineRule="auto"/>
        <w:ind w:left="901" w:leftChars="429"/>
        <w:rPr>
          <w:rFonts w:hint="default" w:ascii="Times New Roman" w:hAnsi="Times New Roman" w:eastAsia="仿宋_GB2312" w:cs="Times New Roman"/>
          <w:color w:val="auto"/>
          <w:sz w:val="28"/>
          <w:szCs w:val="28"/>
          <w:lang w:val="en-US" w:eastAsia="zh-CN"/>
        </w:rPr>
      </w:pPr>
      <w:bookmarkStart w:id="186" w:name="_Toc1831540022_WPSOffice_Level3"/>
      <w:r>
        <w:rPr>
          <w:rFonts w:hint="default" w:ascii="Times New Roman" w:hAnsi="Times New Roman" w:eastAsia="仿宋_GB2312" w:cs="Times New Roman"/>
          <w:color w:val="auto"/>
          <w:sz w:val="28"/>
          <w:szCs w:val="28"/>
          <w:lang w:val="en-US" w:eastAsia="zh-CN"/>
        </w:rPr>
        <w:t>第五章  投标文件格式</w:t>
      </w:r>
      <w:bookmarkEnd w:id="186"/>
    </w:p>
    <w:p w14:paraId="6BB07DD1">
      <w:pPr>
        <w:widowControl w:val="0"/>
        <w:spacing w:line="360" w:lineRule="auto"/>
        <w:ind w:left="901" w:leftChars="429"/>
        <w:rPr>
          <w:rFonts w:hint="default" w:ascii="Times New Roman" w:hAnsi="Times New Roman" w:eastAsia="仿宋_GB2312" w:cs="Times New Roman"/>
          <w:color w:val="auto"/>
          <w:sz w:val="28"/>
          <w:szCs w:val="28"/>
          <w:lang w:eastAsia="zh-CN"/>
        </w:rPr>
      </w:pPr>
      <w:bookmarkStart w:id="187" w:name="_Toc1218962891_WPSOffice_Level3"/>
      <w:r>
        <w:rPr>
          <w:rFonts w:hint="default" w:ascii="Times New Roman" w:hAnsi="Times New Roman" w:eastAsia="仿宋_GB2312" w:cs="Times New Roman"/>
          <w:color w:val="auto"/>
          <w:sz w:val="28"/>
          <w:szCs w:val="28"/>
          <w:lang w:val="en-US" w:eastAsia="zh-CN"/>
        </w:rPr>
        <w:t xml:space="preserve">第六章  </w:t>
      </w:r>
      <w:r>
        <w:rPr>
          <w:rFonts w:hint="default" w:ascii="Times New Roman" w:hAnsi="Times New Roman" w:eastAsia="仿宋_GB2312" w:cs="Times New Roman"/>
          <w:color w:val="auto"/>
          <w:sz w:val="28"/>
          <w:szCs w:val="28"/>
          <w:lang w:eastAsia="zh-CN"/>
        </w:rPr>
        <w:t>项目需求及有关要求</w:t>
      </w:r>
      <w:bookmarkEnd w:id="187"/>
    </w:p>
    <w:p w14:paraId="54ED2B51">
      <w:pPr>
        <w:widowControl w:val="0"/>
        <w:spacing w:line="360" w:lineRule="auto"/>
        <w:ind w:left="901" w:leftChars="429"/>
        <w:rPr>
          <w:rFonts w:hint="default" w:ascii="Times New Roman" w:hAnsi="Times New Roman" w:eastAsia="仿宋_GB2312" w:cs="Times New Roman"/>
          <w:color w:val="auto"/>
          <w:sz w:val="28"/>
          <w:szCs w:val="28"/>
          <w:lang w:val="en-US" w:eastAsia="zh-CN"/>
        </w:rPr>
      </w:pPr>
      <w:bookmarkStart w:id="188" w:name="_Toc1886187112_WPSOffice_Level3"/>
      <w:r>
        <w:rPr>
          <w:rFonts w:hint="default" w:ascii="Times New Roman" w:hAnsi="Times New Roman" w:eastAsia="仿宋_GB2312" w:cs="Times New Roman"/>
          <w:color w:val="auto"/>
          <w:sz w:val="28"/>
          <w:szCs w:val="28"/>
          <w:lang w:val="en-US" w:eastAsia="zh-CN"/>
        </w:rPr>
        <w:t>第七章  评标方法和标准</w:t>
      </w:r>
      <w:bookmarkEnd w:id="188"/>
    </w:p>
    <w:p w14:paraId="15A810E5">
      <w:pPr>
        <w:widowControl w:val="0"/>
        <w:spacing w:line="360" w:lineRule="auto"/>
        <w:ind w:left="901" w:leftChars="429"/>
        <w:rPr>
          <w:rFonts w:hint="default" w:ascii="Times New Roman" w:hAnsi="Times New Roman" w:eastAsia="仿宋_GB2312" w:cs="Times New Roman"/>
          <w:color w:val="auto"/>
          <w:sz w:val="28"/>
          <w:szCs w:val="28"/>
          <w:lang w:val="en-US" w:eastAsia="zh-CN"/>
        </w:rPr>
      </w:pPr>
      <w:bookmarkStart w:id="189" w:name="_Toc1510798510_WPSOffice_Level3"/>
      <w:r>
        <w:rPr>
          <w:rFonts w:hint="default" w:ascii="Times New Roman" w:hAnsi="Times New Roman" w:eastAsia="仿宋_GB2312" w:cs="Times New Roman"/>
          <w:color w:val="auto"/>
          <w:sz w:val="28"/>
          <w:szCs w:val="28"/>
          <w:lang w:val="en-US" w:eastAsia="zh-CN"/>
        </w:rPr>
        <w:t>第八章  政府采购合同</w:t>
      </w:r>
      <w:bookmarkEnd w:id="189"/>
    </w:p>
    <w:p w14:paraId="6A57DBAA">
      <w:pPr>
        <w:widowControl w:val="0"/>
        <w:spacing w:line="360" w:lineRule="auto"/>
        <w:ind w:left="901" w:leftChars="429"/>
        <w:rPr>
          <w:rFonts w:hint="default" w:ascii="Times New Roman" w:hAnsi="Times New Roman" w:eastAsia="仿宋_GB2312" w:cs="Times New Roman"/>
          <w:color w:val="auto"/>
          <w:sz w:val="28"/>
          <w:szCs w:val="28"/>
          <w:lang w:val="en-US" w:eastAsia="zh-CN"/>
        </w:rPr>
      </w:pPr>
      <w:bookmarkStart w:id="190" w:name="_Toc1853082451_WPSOffice_Level3"/>
      <w:r>
        <w:rPr>
          <w:rFonts w:hint="default" w:ascii="Times New Roman" w:hAnsi="Times New Roman" w:eastAsia="仿宋_GB2312" w:cs="Times New Roman"/>
          <w:color w:val="auto"/>
          <w:sz w:val="28"/>
          <w:szCs w:val="28"/>
          <w:lang w:val="en-US" w:eastAsia="zh-CN"/>
        </w:rPr>
        <w:t>第九章  附件</w:t>
      </w:r>
      <w:bookmarkEnd w:id="190"/>
    </w:p>
    <w:p w14:paraId="7FD81102">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10.2</w:t>
      </w:r>
      <w:r>
        <w:rPr>
          <w:rFonts w:hint="default" w:ascii="Times New Roman" w:hAnsi="Times New Roman" w:eastAsia="仿宋_GB2312" w:cs="Times New Roman"/>
          <w:color w:val="auto"/>
          <w:sz w:val="28"/>
          <w:szCs w:val="28"/>
          <w:lang w:val="en-US" w:eastAsia="zh-CN"/>
        </w:rPr>
        <w:t>招标文件中有不一致的，有澄清的部分以最终的澄清更正内容为准；未澄清的，以投标人须知前附表为准；投标须知前表不涉及的内容，以编排在后的描述为准。</w:t>
      </w:r>
    </w:p>
    <w:p w14:paraId="401EA688">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10.3投标人应认真阅读招标文件所有的事项、格式、条款和技术规范等。如投标人没有按照招标文件要求提交全部资料，或者投标文件没有对招标文件的实质性要求做出响应，其投标被认定为投标无效。</w:t>
      </w:r>
    </w:p>
    <w:p w14:paraId="5B9EFD91">
      <w:pPr>
        <w:numPr>
          <w:ilvl w:val="0"/>
          <w:numId w:val="2"/>
        </w:num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rPr>
        <w:t>招标文件的澄清</w:t>
      </w:r>
      <w:r>
        <w:rPr>
          <w:rFonts w:hint="default" w:ascii="Times New Roman" w:hAnsi="Times New Roman" w:eastAsia="仿宋_GB2312" w:cs="Times New Roman"/>
          <w:b/>
          <w:bCs/>
          <w:color w:val="auto"/>
          <w:sz w:val="28"/>
          <w:szCs w:val="28"/>
          <w:lang w:val="en-US" w:eastAsia="zh-CN"/>
        </w:rPr>
        <w:t>与修改</w:t>
      </w:r>
    </w:p>
    <w:p w14:paraId="607F27CD">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11.1投标人应仔细阅读和检查招标文件的全部内容。如有疑问，应及时向采购人或</w:t>
      </w:r>
      <w:r>
        <w:rPr>
          <w:rFonts w:hint="default" w:ascii="Times New Roman" w:hAnsi="Times New Roman" w:eastAsia="仿宋_GB2312" w:cs="Times New Roman"/>
          <w:color w:val="auto"/>
          <w:sz w:val="28"/>
          <w:szCs w:val="28"/>
          <w:lang w:eastAsia="zh-CN"/>
        </w:rPr>
        <w:t>集中采购机构</w:t>
      </w:r>
      <w:r>
        <w:rPr>
          <w:rFonts w:hint="default" w:ascii="Times New Roman" w:hAnsi="Times New Roman" w:eastAsia="仿宋_GB2312" w:cs="Times New Roman"/>
          <w:color w:val="auto"/>
          <w:sz w:val="28"/>
          <w:szCs w:val="28"/>
          <w:lang w:val="en-US" w:eastAsia="zh-CN"/>
        </w:rPr>
        <w:t>提出。</w:t>
      </w:r>
    </w:p>
    <w:p w14:paraId="69EA166B">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11.2采购人或</w:t>
      </w:r>
      <w:r>
        <w:rPr>
          <w:rFonts w:hint="default" w:ascii="Times New Roman" w:hAnsi="Times New Roman" w:eastAsia="仿宋_GB2312" w:cs="Times New Roman"/>
          <w:color w:val="auto"/>
          <w:sz w:val="28"/>
          <w:szCs w:val="28"/>
          <w:lang w:eastAsia="zh-CN"/>
        </w:rPr>
        <w:t>集中采购机构</w:t>
      </w:r>
      <w:r>
        <w:rPr>
          <w:rFonts w:hint="default" w:ascii="Times New Roman" w:hAnsi="Times New Roman" w:eastAsia="仿宋_GB2312" w:cs="Times New Roman"/>
          <w:color w:val="auto"/>
          <w:sz w:val="28"/>
          <w:szCs w:val="28"/>
          <w:lang w:val="en-US" w:eastAsia="zh-CN"/>
        </w:rPr>
        <w:t>可主动地或在解答投标人提出的澄清问题时对招标文件进行澄清（更正）或修改。将以发布澄清（更正）公告的方式，澄清（更正）或修改招标文件，澄清（更正）或修改的内容作为招标文件的组成部分。澄清（更正）或者修改的内容可能影响投标文件编制的，将在投标截止时间15日前，在原公告发布媒体上发布变更（更正）公告（或澄清公告），不足15日的将顺延递交投标文件的截止时间。</w:t>
      </w:r>
    </w:p>
    <w:p w14:paraId="1A34072A">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11.3招标文件的澄清（更正）或修改在交易平台上公布给所有下载过招标文件的投标人，但不指明澄清问题的来源。</w:t>
      </w:r>
    </w:p>
    <w:p w14:paraId="09902284">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11.4对已发出的招标文件进行的澄清、更正或修改，澄清、更正或修改的内容将作为招标文件的组成部分。通过“</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"http://www.ccgp-henan.gov.cn)和河南省政府采购网河南省公共资源交易网"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 w:val="28"/>
          <w:szCs w:val="28"/>
          <w:lang w:val="en-US" w:eastAsia="zh-CN"/>
        </w:rPr>
        <w:t>河南省政府采购网”（zfcg.henan.gov.cn）“河南省公共资源交易网</w:t>
      </w:r>
      <w:r>
        <w:rPr>
          <w:rFonts w:hint="default" w:ascii="Times New Roman" w:hAnsi="Times New Roman" w:eastAsia="仿宋_GB2312" w:cs="Times New Roman"/>
          <w:color w:val="auto"/>
          <w:sz w:val="28"/>
          <w:szCs w:val="28"/>
          <w:lang w:val="en-US" w:eastAsia="zh-CN"/>
        </w:rPr>
        <w:fldChar w:fldCharType="end"/>
      </w:r>
      <w:r>
        <w:rPr>
          <w:rFonts w:hint="default" w:ascii="Times New Roman" w:hAnsi="Times New Roman" w:eastAsia="仿宋_GB2312" w:cs="Times New Roman"/>
          <w:color w:val="auto"/>
          <w:sz w:val="28"/>
          <w:szCs w:val="28"/>
          <w:lang w:val="en-US" w:eastAsia="zh-CN"/>
        </w:rPr>
        <w:t>”（hnsggzyjy.henan.gov.cn）网站“变更（澄清或更正）公告”和系统内部“答疑文件”告知投标人，各投标人重新下载最新的答疑、变更（澄清或更正）文件，以此编制投标文件。</w:t>
      </w:r>
    </w:p>
    <w:p w14:paraId="2849CC38">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11.5</w:t>
      </w:r>
      <w:bookmarkStart w:id="191" w:name="_Hlk86850585"/>
      <w:r>
        <w:rPr>
          <w:rFonts w:hint="default" w:ascii="Times New Roman" w:hAnsi="Times New Roman" w:eastAsia="仿宋_GB2312" w:cs="Times New Roman"/>
          <w:color w:val="auto"/>
          <w:sz w:val="28"/>
          <w:szCs w:val="28"/>
          <w:lang w:val="en-US" w:eastAsia="zh-CN"/>
        </w:rPr>
        <w:t>《河南省公共资源交易中心》</w:t>
      </w:r>
      <w:bookmarkEnd w:id="191"/>
      <w:r>
        <w:rPr>
          <w:rFonts w:hint="default" w:ascii="Times New Roman" w:hAnsi="Times New Roman" w:eastAsia="仿宋_GB2312" w:cs="Times New Roman"/>
          <w:color w:val="auto"/>
          <w:sz w:val="28"/>
          <w:szCs w:val="28"/>
          <w:lang w:val="en-US" w:eastAsia="zh-CN"/>
        </w:rPr>
        <w:t>交易平台投标人信息在投标截止时间前具有保密性，投标人在投标截止时间前应当自行查看项目进展、答疑、变更（澄清或更正）通知、澄清及回复</w:t>
      </w:r>
      <w:bookmarkStart w:id="192" w:name="_Hlk86850663"/>
      <w:r>
        <w:rPr>
          <w:rFonts w:hint="default" w:ascii="Times New Roman" w:hAnsi="Times New Roman" w:eastAsia="仿宋_GB2312" w:cs="Times New Roman"/>
          <w:color w:val="auto"/>
          <w:sz w:val="28"/>
          <w:szCs w:val="28"/>
          <w:lang w:val="en-US" w:eastAsia="zh-CN"/>
        </w:rPr>
        <w:t>。</w:t>
      </w:r>
    </w:p>
    <w:bookmarkEnd w:id="192"/>
    <w:p w14:paraId="10398FAC">
      <w:pPr>
        <w:spacing w:line="360" w:lineRule="auto"/>
        <w:jc w:val="lef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eastAsia="zh-CN"/>
        </w:rPr>
        <w:t>12.</w:t>
      </w:r>
      <w:r>
        <w:rPr>
          <w:rFonts w:hint="default" w:ascii="Times New Roman" w:hAnsi="Times New Roman" w:eastAsia="仿宋_GB2312" w:cs="Times New Roman"/>
          <w:b/>
          <w:bCs/>
          <w:color w:val="auto"/>
          <w:sz w:val="28"/>
          <w:szCs w:val="28"/>
          <w:lang w:val="en-US" w:eastAsia="zh-CN"/>
        </w:rPr>
        <w:t xml:space="preserve"> 投标截止时间的顺延</w:t>
      </w:r>
    </w:p>
    <w:p w14:paraId="758CF867">
      <w:pPr>
        <w:spacing w:line="360" w:lineRule="auto"/>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为使投标人有足够的时间对招标文件的澄清或者修改部分进行研究而准备投标或因其他原因，采购人将依法决定是否顺延投标截止时间。</w:t>
      </w:r>
    </w:p>
    <w:p w14:paraId="541D1C9B">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93" w:name="_Toc113296060"/>
      <w:bookmarkStart w:id="194" w:name="_Toc1289807408"/>
      <w:bookmarkStart w:id="195" w:name="_Toc1078664286_WPSOffice_Level2"/>
      <w:bookmarkStart w:id="196" w:name="_Toc587380469_WPSOffice_Level2"/>
      <w:bookmarkStart w:id="197" w:name="_Toc1133061307_WPSOffice_Level2"/>
      <w:bookmarkStart w:id="198" w:name="_Toc868408535"/>
      <w:bookmarkStart w:id="199" w:name="_Toc933740821_WPSOffice_Level2"/>
      <w:bookmarkStart w:id="200" w:name="_Toc1758648705"/>
      <w:bookmarkStart w:id="201" w:name="_Toc1060332415"/>
      <w:bookmarkStart w:id="202" w:name="_Toc760401867"/>
      <w:bookmarkStart w:id="203" w:name="_Toc395976497"/>
      <w:bookmarkStart w:id="204" w:name="_Toc1317763722"/>
      <w:bookmarkStart w:id="205" w:name="_Toc1878515555"/>
      <w:bookmarkStart w:id="206" w:name="_Toc1809617340"/>
      <w:bookmarkStart w:id="207" w:name="_Toc1106273699"/>
      <w:r>
        <w:rPr>
          <w:rFonts w:hint="default" w:ascii="Times New Roman" w:hAnsi="Times New Roman" w:eastAsia="方正小标宋_GBK" w:cs="Times New Roman"/>
          <w:bCs/>
          <w:color w:val="auto"/>
          <w:kern w:val="0"/>
          <w:sz w:val="30"/>
          <w:szCs w:val="30"/>
          <w:lang w:val="en-US" w:eastAsia="zh-CN"/>
        </w:rPr>
        <w:t>三、投标文件的编制</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59DC81E3">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13.投标语言</w:t>
      </w:r>
    </w:p>
    <w:p w14:paraId="484352D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投标文件以及投标人所有与采购人及集中采购机构就投标来往的函电均使用中文。投标人提供的外文资料应附有相应的中文译本，并以中文译本为准。</w:t>
      </w:r>
    </w:p>
    <w:p w14:paraId="1F3842E1">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14.</w:t>
      </w:r>
      <w:r>
        <w:rPr>
          <w:rFonts w:hint="default" w:ascii="Times New Roman" w:hAnsi="Times New Roman" w:eastAsia="仿宋_GB2312" w:cs="Times New Roman"/>
          <w:b/>
          <w:bCs/>
          <w:color w:val="auto"/>
          <w:sz w:val="28"/>
          <w:szCs w:val="28"/>
          <w:lang w:eastAsia="zh-CN"/>
        </w:rPr>
        <w:t>投标文件计量单位</w:t>
      </w:r>
    </w:p>
    <w:p w14:paraId="1A9BB022">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除招标文件中有特殊要求外，投标文件中所使用的计量单位，应采用中华人民共和国法定计量单位。</w:t>
      </w:r>
    </w:p>
    <w:p w14:paraId="00B92355">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15.</w:t>
      </w:r>
      <w:r>
        <w:rPr>
          <w:rFonts w:hint="default" w:ascii="Times New Roman" w:hAnsi="Times New Roman" w:eastAsia="仿宋_GB2312" w:cs="Times New Roman"/>
          <w:b/>
          <w:bCs/>
          <w:color w:val="auto"/>
          <w:sz w:val="28"/>
          <w:szCs w:val="28"/>
          <w:lang w:eastAsia="zh-CN"/>
        </w:rPr>
        <w:t>投标文件的组成</w:t>
      </w:r>
    </w:p>
    <w:p w14:paraId="2ECBA84A">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投标人应完整地按照招标文件提供的投标文件格式及要求编写投标文件。投标文件中资格审查和符合性审查涉及的事项不满足招标文件要求的，其投标将被认定为投标无效。</w:t>
      </w:r>
    </w:p>
    <w:p w14:paraId="70A9C8B8">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16.</w:t>
      </w:r>
      <w:r>
        <w:rPr>
          <w:rFonts w:hint="default" w:ascii="Times New Roman" w:hAnsi="Times New Roman" w:eastAsia="仿宋_GB2312" w:cs="Times New Roman"/>
          <w:color w:val="auto"/>
          <w:sz w:val="28"/>
          <w:szCs w:val="28"/>
          <w:lang w:eastAsia="zh-CN"/>
        </w:rPr>
        <w:t>招标文件中的每个分包，是项目招标不可拆分的最小投标单元。投标人必须按各包分别编制各包的投标文件，并按各包分别提交相应的文件资料，拆包投标将视为漏项或非实质性响应，将承担其投标无效的风险。</w:t>
      </w:r>
      <w:r>
        <w:rPr>
          <w:rFonts w:hint="default" w:ascii="Times New Roman" w:hAnsi="Times New Roman" w:eastAsia="仿宋_GB2312" w:cs="Times New Roman"/>
          <w:color w:val="auto"/>
          <w:sz w:val="28"/>
          <w:szCs w:val="28"/>
          <w:lang w:val="en-US" w:eastAsia="zh-CN"/>
        </w:rPr>
        <w:t>投标人可对招标文件中一个或几个分包进行投标，除投标人须知前附表中另有规定。</w:t>
      </w:r>
    </w:p>
    <w:p w14:paraId="0402FD07">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17.投标文件编制</w:t>
      </w:r>
    </w:p>
    <w:p w14:paraId="4570476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17.1投标文件应按招标文件要求的内容编制投标文件，应当对招标文件提出的实质性要求和条件做出响应。</w:t>
      </w:r>
    </w:p>
    <w:p w14:paraId="50E1AC7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17.2投标人在编制投标文件时，涉及到投标人须知前附表中要求的资格审查证明文件，须上传到“资格审查材料”中。</w:t>
      </w:r>
    </w:p>
    <w:p w14:paraId="4A56D6A3">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18.</w:t>
      </w:r>
      <w:r>
        <w:rPr>
          <w:rFonts w:hint="default" w:ascii="Times New Roman" w:hAnsi="Times New Roman" w:eastAsia="仿宋_GB2312" w:cs="Times New Roman"/>
          <w:b/>
          <w:bCs/>
          <w:color w:val="auto"/>
          <w:sz w:val="28"/>
          <w:szCs w:val="28"/>
          <w:lang w:eastAsia="zh-CN"/>
        </w:rPr>
        <w:t>投标报价</w:t>
      </w:r>
    </w:p>
    <w:p w14:paraId="7EFF2FDD">
      <w:pPr>
        <w:pStyle w:val="98"/>
        <w:spacing w:line="360" w:lineRule="auto"/>
        <w:rPr>
          <w:rFonts w:hint="default" w:ascii="Times New Roman" w:hAnsi="Times New Roman" w:eastAsia="仿宋_GB2312" w:cs="Times New Roman"/>
          <w:color w:val="auto"/>
          <w:kern w:val="2"/>
          <w:sz w:val="28"/>
          <w:szCs w:val="28"/>
          <w:lang w:val="zh-TW"/>
        </w:rPr>
      </w:pPr>
      <w:r>
        <w:rPr>
          <w:rFonts w:hint="default" w:ascii="Times New Roman" w:hAnsi="Times New Roman" w:eastAsia="仿宋_GB2312" w:cs="Times New Roman"/>
          <w:color w:val="auto"/>
          <w:kern w:val="2"/>
          <w:sz w:val="28"/>
          <w:szCs w:val="28"/>
          <w:lang w:val="zh-TW"/>
        </w:rPr>
        <w:t>投标人报价超过招标文件规定的预算金额或者分项、分包最高限价的，其投标将被认定为投标无效。</w:t>
      </w:r>
    </w:p>
    <w:p w14:paraId="565B325C">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19.</w:t>
      </w:r>
      <w:r>
        <w:rPr>
          <w:rFonts w:hint="default" w:ascii="Times New Roman" w:hAnsi="Times New Roman" w:eastAsia="仿宋_GB2312" w:cs="Times New Roman"/>
          <w:b/>
          <w:bCs/>
          <w:color w:val="auto"/>
          <w:sz w:val="28"/>
          <w:szCs w:val="28"/>
          <w:lang w:eastAsia="zh-CN"/>
        </w:rPr>
        <w:t>投标货币</w:t>
      </w:r>
    </w:p>
    <w:p w14:paraId="15F5B98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除非“投标人须知前附表”另有规定，投标人提供的所有服务用人民币报价。</w:t>
      </w:r>
    </w:p>
    <w:p w14:paraId="07E59B84">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20.</w:t>
      </w:r>
      <w:r>
        <w:rPr>
          <w:rFonts w:hint="default" w:ascii="Times New Roman" w:hAnsi="Times New Roman" w:eastAsia="仿宋_GB2312" w:cs="Times New Roman"/>
          <w:b/>
          <w:bCs/>
          <w:color w:val="auto"/>
          <w:sz w:val="28"/>
          <w:szCs w:val="28"/>
          <w:lang w:eastAsia="zh-CN"/>
        </w:rPr>
        <w:t>投标人资格证明文件</w:t>
      </w:r>
    </w:p>
    <w:p w14:paraId="33076EC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依据“投标人须知前附表”中的要求按“第四章”的规定提交相应的资格证明文件，作为投标文件的一部分，以证明其有资格进行投标和有能力履行合同。</w:t>
      </w:r>
    </w:p>
    <w:p w14:paraId="3E247DEB">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21</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投标人</w:t>
      </w:r>
      <w:r>
        <w:rPr>
          <w:rFonts w:hint="default" w:ascii="Times New Roman" w:hAnsi="Times New Roman" w:eastAsia="仿宋_GB2312" w:cs="Times New Roman"/>
          <w:b/>
          <w:bCs/>
          <w:color w:val="auto"/>
          <w:sz w:val="28"/>
          <w:szCs w:val="28"/>
          <w:lang w:val="en-US" w:eastAsia="zh-CN"/>
        </w:rPr>
        <w:t>商务、</w:t>
      </w:r>
      <w:r>
        <w:rPr>
          <w:rFonts w:hint="default" w:ascii="Times New Roman" w:hAnsi="Times New Roman" w:eastAsia="仿宋_GB2312" w:cs="Times New Roman"/>
          <w:b/>
          <w:bCs/>
          <w:color w:val="auto"/>
          <w:sz w:val="28"/>
          <w:szCs w:val="28"/>
          <w:lang w:eastAsia="zh-CN"/>
        </w:rPr>
        <w:t>技术证明文件</w:t>
      </w:r>
    </w:p>
    <w:p w14:paraId="01E20FBF">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21.1</w:t>
      </w:r>
      <w:r>
        <w:rPr>
          <w:rFonts w:hint="default" w:ascii="Times New Roman" w:hAnsi="Times New Roman" w:eastAsia="仿宋_GB2312" w:cs="Times New Roman"/>
          <w:color w:val="auto"/>
          <w:sz w:val="28"/>
          <w:szCs w:val="28"/>
          <w:lang w:val="en-US" w:eastAsia="zh-CN"/>
        </w:rPr>
        <w:t>投标人应按招标文件要求提交证明文件，证明其投标标的符合招标文件规定。</w:t>
      </w:r>
    </w:p>
    <w:p w14:paraId="761B974C">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21.2上款所述的证明文件，可以是文字资料、图纸和数据。</w:t>
      </w:r>
    </w:p>
    <w:p w14:paraId="112650F3">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22</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投标函</w:t>
      </w:r>
    </w:p>
    <w:p w14:paraId="62FCDE3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22.1投标人应按招标文件规定的格式和内容提交投标函。</w:t>
      </w:r>
    </w:p>
    <w:p w14:paraId="7607445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22.2下列任何情况发生时，按国家有关法律法规进行处理并按投标函的约定向采购人支付违约赔偿金：</w:t>
      </w:r>
    </w:p>
    <w:p w14:paraId="500875D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）投标人在招标文件规定的投标有效期内实质上修改或撤回其投标；</w:t>
      </w:r>
    </w:p>
    <w:p w14:paraId="6EF7638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）在投标文件中有意提供虚假材料；</w:t>
      </w:r>
    </w:p>
    <w:p w14:paraId="4A91435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）中标人拒绝在中标通知书规定的时间内签订合同。</w:t>
      </w:r>
    </w:p>
    <w:p w14:paraId="38FC09FC">
      <w:pPr>
        <w:keepNext/>
        <w:keepLines/>
        <w:widowControl w:val="0"/>
        <w:autoSpaceDE w:val="0"/>
        <w:autoSpaceDN w:val="0"/>
        <w:adjustRightInd w:val="0"/>
        <w:spacing w:line="360" w:lineRule="auto"/>
        <w:jc w:val="left"/>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bCs/>
          <w:color w:val="auto"/>
          <w:sz w:val="28"/>
          <w:szCs w:val="28"/>
          <w:lang w:eastAsia="zh-CN"/>
        </w:rPr>
        <w:t>23</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color w:val="auto"/>
          <w:kern w:val="0"/>
          <w:sz w:val="28"/>
          <w:szCs w:val="28"/>
          <w:lang w:val="en-US" w:eastAsia="zh-CN"/>
        </w:rPr>
        <w:t>投标保证金</w:t>
      </w:r>
    </w:p>
    <w:p w14:paraId="16D9E5BD">
      <w:pPr>
        <w:spacing w:line="360" w:lineRule="auto"/>
        <w:rPr>
          <w:rFonts w:hint="default" w:ascii="Times New Roman" w:hAnsi="Times New Roman" w:eastAsia="仿宋_GB2312" w:cs="Times New Roman"/>
          <w:b/>
          <w:bCs/>
          <w:color w:val="auto"/>
          <w:sz w:val="28"/>
          <w:szCs w:val="28"/>
          <w:lang w:val="en-US" w:eastAsia="zh-CN"/>
        </w:rPr>
      </w:pPr>
      <w:bookmarkStart w:id="208" w:name="_Toc975469575_WPSOffice_Level3"/>
      <w:r>
        <w:rPr>
          <w:rFonts w:hint="default" w:ascii="Times New Roman" w:hAnsi="Times New Roman" w:eastAsia="仿宋_GB2312" w:cs="Times New Roman"/>
          <w:bCs/>
          <w:color w:val="auto"/>
          <w:sz w:val="28"/>
          <w:szCs w:val="28"/>
          <w:lang w:val="en-US" w:eastAsia="zh-CN"/>
        </w:rPr>
        <w:t>本项目投标人无需提交投标保证金。</w:t>
      </w:r>
      <w:bookmarkEnd w:id="208"/>
    </w:p>
    <w:p w14:paraId="73275D9D">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24.</w:t>
      </w:r>
      <w:r>
        <w:rPr>
          <w:rFonts w:hint="default" w:ascii="Times New Roman" w:hAnsi="Times New Roman" w:eastAsia="仿宋_GB2312" w:cs="Times New Roman"/>
          <w:b/>
          <w:bCs/>
          <w:color w:val="auto"/>
          <w:sz w:val="28"/>
          <w:szCs w:val="28"/>
          <w:lang w:eastAsia="zh-CN"/>
        </w:rPr>
        <w:t>投标有效期</w:t>
      </w:r>
    </w:p>
    <w:p w14:paraId="3323853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.1投标文件应自招标文件规定的投标截止日起，在“投标人须知前附表”规定的时间内保持有效。投标有效期不足的将被视为非响应性投标而予以拒绝。</w:t>
      </w:r>
    </w:p>
    <w:p w14:paraId="6914C47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.2在特殊情况下，采购人可征求投标人同意延长投标文件的有效期。这种要求与答复均应以书面形式提交。投标人可以拒绝这种要求，原有效期到期后</w:t>
      </w:r>
      <w:r>
        <w:rPr>
          <w:rFonts w:hint="default" w:ascii="Times New Roman" w:hAnsi="Times New Roman" w:eastAsia="仿宋_GB2312" w:cs="Times New Roman"/>
          <w:color w:val="auto"/>
          <w:sz w:val="28"/>
          <w:szCs w:val="28"/>
          <w:lang w:val="zh-CN" w:eastAsia="zh-CN"/>
        </w:rPr>
        <w:t>其投标文件失效</w:t>
      </w:r>
      <w:r>
        <w:rPr>
          <w:rFonts w:hint="default" w:ascii="Times New Roman" w:hAnsi="Times New Roman" w:eastAsia="仿宋_GB2312" w:cs="Times New Roman"/>
          <w:color w:val="auto"/>
          <w:sz w:val="28"/>
          <w:szCs w:val="28"/>
          <w:lang w:eastAsia="zh-CN"/>
        </w:rPr>
        <w:t>。同意延期的投标人将不会被要求也不允许修改其投标文件，</w:t>
      </w:r>
      <w:r>
        <w:rPr>
          <w:rFonts w:hint="default" w:ascii="Times New Roman" w:hAnsi="Times New Roman" w:eastAsia="仿宋_GB2312" w:cs="Times New Roman"/>
          <w:color w:val="auto"/>
          <w:sz w:val="28"/>
          <w:szCs w:val="28"/>
          <w:lang w:val="zh-CN" w:eastAsia="zh-CN"/>
        </w:rPr>
        <w:t>其投标文件</w:t>
      </w:r>
      <w:r>
        <w:rPr>
          <w:rFonts w:hint="default" w:ascii="Times New Roman" w:hAnsi="Times New Roman" w:eastAsia="仿宋_GB2312" w:cs="Times New Roman"/>
          <w:color w:val="auto"/>
          <w:sz w:val="28"/>
          <w:szCs w:val="28"/>
          <w:lang w:eastAsia="zh-CN"/>
        </w:rPr>
        <w:t>相应延长到新的有效期。</w:t>
      </w:r>
    </w:p>
    <w:p w14:paraId="68DAA824">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25.</w:t>
      </w:r>
      <w:r>
        <w:rPr>
          <w:rFonts w:hint="default" w:ascii="Times New Roman" w:hAnsi="Times New Roman" w:eastAsia="仿宋_GB2312" w:cs="Times New Roman"/>
          <w:b/>
          <w:bCs/>
          <w:color w:val="auto"/>
          <w:sz w:val="28"/>
          <w:szCs w:val="28"/>
          <w:lang w:eastAsia="zh-CN"/>
        </w:rPr>
        <w:t>投标文件形式和签署</w:t>
      </w:r>
    </w:p>
    <w:p w14:paraId="4BF4B4B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.1投标人须在投标截止时间前制作并提交加密的电子投标文件。</w:t>
      </w:r>
    </w:p>
    <w:p w14:paraId="6D45CEC5">
      <w:pPr>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rPr>
        <w:t>5</w:t>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en-US"/>
        </w:rPr>
        <w:t>2</w:t>
      </w:r>
      <w:r>
        <w:rPr>
          <w:rFonts w:hint="default" w:ascii="Times New Roman" w:hAnsi="Times New Roman" w:eastAsia="仿宋_GB2312" w:cs="Times New Roman"/>
          <w:color w:val="auto"/>
          <w:sz w:val="28"/>
          <w:szCs w:val="28"/>
        </w:rPr>
        <w:t>投标人可登录“河南省公共资源交易中心</w:t>
      </w:r>
      <w:r>
        <w:rPr>
          <w:rFonts w:hint="default" w:ascii="Times New Roman" w:hAnsi="Times New Roman" w:eastAsia="仿宋_GB2312" w:cs="Times New Roman"/>
          <w:color w:val="auto"/>
          <w:sz w:val="28"/>
          <w:szCs w:val="28"/>
          <w:lang w:val="en-US"/>
        </w:rPr>
        <w:t>”网站</w:t>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en-US" w:eastAsia="zh-CN"/>
        </w:rPr>
        <w:t>hnsggzyjy.henan.gov.cn</w:t>
      </w:r>
      <w:r>
        <w:rPr>
          <w:rFonts w:hint="default" w:ascii="Times New Roman" w:hAnsi="Times New Roman" w:eastAsia="仿宋_GB2312" w:cs="Times New Roman"/>
          <w:color w:val="auto"/>
          <w:sz w:val="28"/>
          <w:szCs w:val="28"/>
          <w:lang w:val="en-US"/>
        </w:rPr>
        <w:t>）查看公共服务—办事指南—新交易平台使用手册（培训资料）</w:t>
      </w:r>
      <w:r>
        <w:rPr>
          <w:rFonts w:hint="default" w:ascii="Times New Roman" w:hAnsi="Times New Roman" w:eastAsia="仿宋_GB2312" w:cs="Times New Roman"/>
          <w:color w:val="auto"/>
          <w:sz w:val="28"/>
          <w:szCs w:val="28"/>
        </w:rPr>
        <w:t>。</w:t>
      </w:r>
    </w:p>
    <w:p w14:paraId="76CB224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zh-CN" w:eastAsia="zh-CN"/>
        </w:rPr>
        <w:t>投标人在制作电子投标文件时，按格式内容要求进行电子签章（包括企业电子签章、个人电子签章）</w:t>
      </w:r>
      <w:r>
        <w:rPr>
          <w:rFonts w:hint="default" w:ascii="Times New Roman" w:hAnsi="Times New Roman" w:eastAsia="仿宋_GB2312" w:cs="Times New Roman"/>
          <w:color w:val="auto"/>
          <w:sz w:val="28"/>
          <w:szCs w:val="28"/>
          <w:lang w:eastAsia="zh-CN"/>
        </w:rPr>
        <w:t>。</w:t>
      </w:r>
    </w:p>
    <w:p w14:paraId="4495058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投标人在制作电子投标文件时，开标一览表按照格式编辑，并作为电子开标系统上传的依据。</w:t>
      </w:r>
    </w:p>
    <w:p w14:paraId="51EFD63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投标文件以外的任何资料采购人和集中采购机构将拒收。</w:t>
      </w:r>
    </w:p>
    <w:p w14:paraId="4538841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其他形式的投标文件一律不接受。</w:t>
      </w:r>
    </w:p>
    <w:p w14:paraId="0C8D3A87">
      <w:pPr>
        <w:spacing w:line="360" w:lineRule="auto"/>
        <w:rPr>
          <w:rFonts w:hint="default" w:ascii="Times New Roman" w:hAnsi="Times New Roman" w:eastAsia="仿宋_GB2312" w:cs="Times New Roman"/>
          <w:color w:val="auto"/>
          <w:sz w:val="28"/>
          <w:szCs w:val="28"/>
          <w:lang w:eastAsia="zh-CN"/>
        </w:rPr>
      </w:pPr>
    </w:p>
    <w:p w14:paraId="4A8B3E57">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09" w:name="_Toc340063481"/>
      <w:bookmarkStart w:id="210" w:name="_Toc1940674049"/>
      <w:bookmarkStart w:id="211" w:name="_Toc1517317572"/>
      <w:bookmarkStart w:id="212" w:name="_Toc99171812"/>
      <w:bookmarkStart w:id="213" w:name="_Toc880470383"/>
      <w:bookmarkStart w:id="214" w:name="_Toc1602167768_WPSOffice_Level2"/>
      <w:bookmarkStart w:id="215" w:name="_Toc1658848054"/>
      <w:bookmarkStart w:id="216" w:name="_Toc1446727086"/>
      <w:bookmarkStart w:id="217" w:name="_Toc689398289_WPSOffice_Level2"/>
      <w:bookmarkStart w:id="218" w:name="_Toc269831806"/>
      <w:bookmarkStart w:id="219" w:name="_Toc99139981"/>
      <w:bookmarkStart w:id="220" w:name="_Toc814900001_WPSOffice_Level2"/>
      <w:bookmarkStart w:id="221" w:name="_Toc1958475392"/>
      <w:bookmarkStart w:id="222" w:name="_Toc1354261087_WPSOffice_Level2"/>
      <w:bookmarkStart w:id="223" w:name="_Toc123955915"/>
      <w:r>
        <w:rPr>
          <w:rFonts w:hint="default" w:ascii="Times New Roman" w:hAnsi="Times New Roman" w:eastAsia="方正小标宋_GBK" w:cs="Times New Roman"/>
          <w:bCs/>
          <w:color w:val="auto"/>
          <w:kern w:val="0"/>
          <w:sz w:val="30"/>
          <w:szCs w:val="30"/>
          <w:lang w:val="en-US" w:eastAsia="zh-CN"/>
        </w:rPr>
        <w:t>四、投标文件的上传</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06B0836F">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w:t>
      </w: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.投标文件的上传</w:t>
      </w:r>
    </w:p>
    <w:p w14:paraId="5A467FD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.1加密电子投标文件的上传：见“投标人须知前附表”。</w:t>
      </w:r>
    </w:p>
    <w:p w14:paraId="319B707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.2投标人在上传时认真检查上传投标文件是否完整、正确。投标人因交易中心投标系统问题无法上传电子投标文件时，请在工作时间与河南省公共资源交易中心联系，联系电话：0371-65915501。</w:t>
      </w:r>
    </w:p>
    <w:p w14:paraId="234B4ED7">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27.</w:t>
      </w:r>
      <w:r>
        <w:rPr>
          <w:rFonts w:hint="default" w:ascii="Times New Roman" w:hAnsi="Times New Roman" w:eastAsia="仿宋_GB2312" w:cs="Times New Roman"/>
          <w:b/>
          <w:bCs/>
          <w:color w:val="auto"/>
          <w:sz w:val="28"/>
          <w:szCs w:val="28"/>
          <w:lang w:eastAsia="zh-CN"/>
        </w:rPr>
        <w:t>投标截止时间</w:t>
      </w:r>
    </w:p>
    <w:p w14:paraId="260EC63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.1投标人应在“投标人须知前附表”规定的投标截止时间前上传投标文件。</w:t>
      </w:r>
    </w:p>
    <w:p w14:paraId="525BFFD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.2采购人和集中采购机构可以按本章第12条规定，通过修改招标文件自行决定酌情延长投标截止期限。</w:t>
      </w:r>
    </w:p>
    <w:p w14:paraId="630D5CC7">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28.</w:t>
      </w:r>
      <w:r>
        <w:rPr>
          <w:rFonts w:hint="default" w:ascii="Times New Roman" w:hAnsi="Times New Roman" w:eastAsia="仿宋_GB2312" w:cs="Times New Roman"/>
          <w:b/>
          <w:bCs/>
          <w:color w:val="auto"/>
          <w:sz w:val="28"/>
          <w:szCs w:val="28"/>
          <w:lang w:eastAsia="zh-CN"/>
        </w:rPr>
        <w:t>迟交的投标文件</w:t>
      </w:r>
    </w:p>
    <w:p w14:paraId="13C0BE7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投标人在投标截止时间后上传的投标文件，将被拒绝。</w:t>
      </w:r>
    </w:p>
    <w:p w14:paraId="0A594876">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29.</w:t>
      </w:r>
      <w:r>
        <w:rPr>
          <w:rFonts w:hint="default" w:ascii="Times New Roman" w:hAnsi="Times New Roman" w:eastAsia="仿宋_GB2312" w:cs="Times New Roman"/>
          <w:b/>
          <w:bCs/>
          <w:color w:val="auto"/>
          <w:sz w:val="28"/>
          <w:szCs w:val="28"/>
          <w:lang w:eastAsia="zh-CN"/>
        </w:rPr>
        <w:t>投标文件的修改和撤回</w:t>
      </w:r>
    </w:p>
    <w:p w14:paraId="17CF94E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.1在投标截止时间前，投标人可以修改或撤回已上传的投标文件。</w:t>
      </w:r>
    </w:p>
    <w:p w14:paraId="193546E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.2在投标截止时间后，投标人不得修改或撤回其投标文件。</w:t>
      </w:r>
    </w:p>
    <w:p w14:paraId="681E1DD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.3在招标文件规定的投标有效期内，投标人不得实质上修改或撤回其投标。</w:t>
      </w:r>
    </w:p>
    <w:p w14:paraId="43C36B6A">
      <w:pPr>
        <w:spacing w:line="360" w:lineRule="auto"/>
        <w:rPr>
          <w:rFonts w:hint="default" w:ascii="Times New Roman" w:hAnsi="Times New Roman" w:eastAsia="仿宋_GB2312" w:cs="Times New Roman"/>
          <w:color w:val="auto"/>
          <w:sz w:val="28"/>
          <w:szCs w:val="28"/>
          <w:lang w:eastAsia="zh-CN"/>
        </w:rPr>
      </w:pPr>
    </w:p>
    <w:p w14:paraId="1B9C3356">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24" w:name="_Toc58778488"/>
      <w:bookmarkStart w:id="225" w:name="_Toc1288741030"/>
      <w:bookmarkStart w:id="226" w:name="_Toc702554443"/>
      <w:bookmarkStart w:id="227" w:name="_Toc1130786219"/>
      <w:bookmarkStart w:id="228" w:name="_Toc516778272"/>
      <w:bookmarkStart w:id="229" w:name="_Toc229139457"/>
      <w:bookmarkStart w:id="230" w:name="_Toc516757662_WPSOffice_Level2"/>
      <w:bookmarkStart w:id="231" w:name="_Toc1744903856_WPSOffice_Level2"/>
      <w:bookmarkStart w:id="232" w:name="_Toc960388964"/>
      <w:bookmarkStart w:id="233" w:name="_Toc1124298034"/>
      <w:bookmarkStart w:id="234" w:name="_Toc1140657126"/>
      <w:bookmarkStart w:id="235" w:name="_Toc1109071882"/>
      <w:bookmarkStart w:id="236" w:name="_Toc491646129_WPSOffice_Level2"/>
      <w:bookmarkStart w:id="237" w:name="_Toc1550393937_WPSOffice_Level2"/>
      <w:bookmarkStart w:id="238" w:name="_Toc874621790"/>
      <w:r>
        <w:rPr>
          <w:rFonts w:hint="default" w:ascii="Times New Roman" w:hAnsi="Times New Roman" w:eastAsia="方正小标宋_GBK" w:cs="Times New Roman"/>
          <w:bCs/>
          <w:color w:val="auto"/>
          <w:kern w:val="0"/>
          <w:sz w:val="30"/>
          <w:szCs w:val="30"/>
          <w:lang w:val="en-US" w:eastAsia="zh-CN"/>
        </w:rPr>
        <w:t>五、开标与评标</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5B259EAF">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30</w:t>
      </w:r>
      <w:r>
        <w:rPr>
          <w:rFonts w:hint="default" w:ascii="Times New Roman" w:hAnsi="Times New Roman" w:eastAsia="仿宋_GB2312" w:cs="Times New Roman"/>
          <w:b/>
          <w:bCs/>
          <w:color w:val="auto"/>
          <w:sz w:val="28"/>
          <w:szCs w:val="28"/>
          <w:lang w:eastAsia="zh-CN"/>
        </w:rPr>
        <w:t>.开标</w:t>
      </w:r>
    </w:p>
    <w:p w14:paraId="4E99C71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.1开标及解密方式：见“投标人须知前附表”。</w:t>
      </w:r>
    </w:p>
    <w:p w14:paraId="3C43A87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.2不见面开标大厅网址：见“投标人须知前附表”。</w:t>
      </w:r>
    </w:p>
    <w:p w14:paraId="01CB59B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.3开标时间和开标地点：见“投标人须知前附表”。</w:t>
      </w:r>
    </w:p>
    <w:p w14:paraId="3D58948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.4开标时，集中采购机构将通过网上开标系统公布投标人名称、投标价格以及其它有关内容。</w:t>
      </w:r>
    </w:p>
    <w:p w14:paraId="0C4FB86C">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31.</w:t>
      </w:r>
      <w:r>
        <w:rPr>
          <w:rFonts w:hint="default" w:ascii="Times New Roman" w:hAnsi="Times New Roman" w:eastAsia="仿宋_GB2312" w:cs="Times New Roman"/>
          <w:b/>
          <w:bCs/>
          <w:color w:val="auto"/>
          <w:sz w:val="28"/>
          <w:szCs w:val="28"/>
          <w:lang w:eastAsia="zh-CN"/>
        </w:rPr>
        <w:t>资格审查</w:t>
      </w:r>
    </w:p>
    <w:p w14:paraId="35348D7A">
      <w:pPr>
        <w:spacing w:line="360" w:lineRule="auto"/>
        <w:rPr>
          <w:rFonts w:hint="default" w:ascii="Times New Roman" w:hAnsi="Times New Roman" w:eastAsia="仿宋_GB2312" w:cs="Times New Roman"/>
          <w:color w:val="auto"/>
          <w:sz w:val="28"/>
          <w:szCs w:val="28"/>
          <w:lang w:eastAsia="zh-CN"/>
        </w:rPr>
      </w:pPr>
      <w:bookmarkStart w:id="239" w:name="_Toc45114864_WPSOffice_Level3"/>
      <w:bookmarkStart w:id="240" w:name="_Toc694141672_WPSOffice_Level3"/>
      <w:bookmarkStart w:id="241" w:name="_Toc1584989513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.1开标结束后，采购人对投标人的资格进行审查。</w:t>
      </w:r>
      <w:bookmarkEnd w:id="239"/>
      <w:bookmarkEnd w:id="240"/>
      <w:bookmarkEnd w:id="241"/>
    </w:p>
    <w:p w14:paraId="454587F3">
      <w:pPr>
        <w:spacing w:line="360" w:lineRule="auto"/>
        <w:rPr>
          <w:rFonts w:hint="default" w:ascii="Times New Roman" w:hAnsi="Times New Roman" w:eastAsia="仿宋_GB2312" w:cs="Times New Roman"/>
          <w:color w:val="auto"/>
          <w:sz w:val="28"/>
          <w:szCs w:val="28"/>
          <w:lang w:eastAsia="zh-CN"/>
        </w:rPr>
      </w:pPr>
      <w:bookmarkStart w:id="242" w:name="_Toc1493406836_WPSOffice_Level3"/>
      <w:bookmarkStart w:id="243" w:name="_Toc85856132_WPSOffice_Level3"/>
      <w:bookmarkStart w:id="244" w:name="_Toc1693296442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.2合格投标人不足3家的，不得评标。</w:t>
      </w:r>
      <w:bookmarkEnd w:id="242"/>
      <w:bookmarkEnd w:id="243"/>
      <w:bookmarkEnd w:id="244"/>
    </w:p>
    <w:p w14:paraId="51F52B92">
      <w:pPr>
        <w:spacing w:line="360" w:lineRule="auto"/>
        <w:rPr>
          <w:rFonts w:hint="default" w:ascii="Times New Roman" w:hAnsi="Times New Roman" w:eastAsia="仿宋_GB2312" w:cs="Times New Roman"/>
          <w:color w:val="auto"/>
          <w:sz w:val="28"/>
          <w:szCs w:val="28"/>
          <w:lang w:eastAsia="zh-CN"/>
        </w:rPr>
      </w:pPr>
      <w:bookmarkStart w:id="245" w:name="_Toc21976785_WPSOffice_Level3"/>
      <w:bookmarkStart w:id="246" w:name="_Toc1971674233_WPSOffice_Level3"/>
      <w:bookmarkStart w:id="247" w:name="_Toc1285333830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.3资格审查标准见“投标人须知前附表”。</w:t>
      </w:r>
      <w:bookmarkEnd w:id="245"/>
      <w:bookmarkEnd w:id="246"/>
      <w:bookmarkEnd w:id="247"/>
    </w:p>
    <w:p w14:paraId="5F67F0C9">
      <w:pPr>
        <w:spacing w:line="360" w:lineRule="auto"/>
        <w:rPr>
          <w:rFonts w:hint="default" w:ascii="Times New Roman" w:hAnsi="Times New Roman" w:eastAsia="仿宋_GB2312" w:cs="Times New Roman"/>
          <w:color w:val="auto"/>
          <w:sz w:val="28"/>
          <w:szCs w:val="28"/>
          <w:lang w:eastAsia="zh-CN"/>
        </w:rPr>
      </w:pPr>
      <w:bookmarkStart w:id="248" w:name="_Toc1102086292_WPSOffice_Level3"/>
      <w:bookmarkStart w:id="249" w:name="_Toc468577997_WPSOffice_Level3"/>
      <w:bookmarkStart w:id="250" w:name="_Toc1785145571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.4信用记录的查询方法：见“投标人须知前附表”。</w:t>
      </w:r>
      <w:bookmarkEnd w:id="248"/>
      <w:bookmarkEnd w:id="249"/>
      <w:bookmarkEnd w:id="250"/>
    </w:p>
    <w:p w14:paraId="321114C8">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2</w:t>
      </w:r>
      <w:r>
        <w:rPr>
          <w:rFonts w:hint="default" w:ascii="Times New Roman" w:hAnsi="Times New Roman" w:eastAsia="仿宋_GB2312" w:cs="Times New Roman"/>
          <w:b/>
          <w:bCs/>
          <w:color w:val="auto"/>
          <w:sz w:val="28"/>
          <w:szCs w:val="28"/>
          <w:lang w:eastAsia="zh-CN"/>
        </w:rPr>
        <w:t>.评标委员会</w:t>
      </w:r>
    </w:p>
    <w:p w14:paraId="45F7E44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1评标由评标委员会负责，评标委员会由采购人代表和有关技术、经济等方面的专家组成，成员人数见“投标人须知前附表”。其中技术、经济等方面的专家不少于成员总数的三分之二。评审专家由采购人从河南省财政厅政府采购专家库中</w:t>
      </w:r>
      <w:r>
        <w:rPr>
          <w:rFonts w:hint="default" w:ascii="Times New Roman" w:hAnsi="Times New Roman" w:eastAsia="仿宋_GB2312" w:cs="Times New Roman"/>
          <w:color w:val="auto"/>
          <w:sz w:val="28"/>
          <w:szCs w:val="28"/>
          <w:lang w:val="en-US" w:eastAsia="zh-CN"/>
        </w:rPr>
        <w:t>提交</w:t>
      </w:r>
      <w:r>
        <w:rPr>
          <w:rFonts w:hint="default" w:ascii="Times New Roman" w:hAnsi="Times New Roman" w:eastAsia="仿宋_GB2312" w:cs="Times New Roman"/>
          <w:color w:val="auto"/>
          <w:sz w:val="28"/>
          <w:szCs w:val="28"/>
          <w:lang w:eastAsia="zh-CN"/>
        </w:rPr>
        <w:t>抽取</w:t>
      </w:r>
      <w:r>
        <w:rPr>
          <w:rFonts w:hint="default" w:ascii="Times New Roman" w:hAnsi="Times New Roman" w:eastAsia="仿宋_GB2312" w:cs="Times New Roman"/>
          <w:color w:val="auto"/>
          <w:sz w:val="28"/>
          <w:szCs w:val="28"/>
          <w:lang w:val="en-US" w:eastAsia="zh-CN"/>
        </w:rPr>
        <w:t>申请</w:t>
      </w:r>
      <w:r>
        <w:rPr>
          <w:rFonts w:hint="default" w:ascii="Times New Roman" w:hAnsi="Times New Roman" w:eastAsia="仿宋_GB2312" w:cs="Times New Roman"/>
          <w:color w:val="auto"/>
          <w:sz w:val="28"/>
          <w:szCs w:val="28"/>
          <w:lang w:eastAsia="zh-CN"/>
        </w:rPr>
        <w:t>，有关人员对评标委员会成员名单须严格保密。</w:t>
      </w:r>
    </w:p>
    <w:p w14:paraId="7F8DAAE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.2与投标人有利害关系的人员不得进入评标委员会。</w:t>
      </w:r>
    </w:p>
    <w:p w14:paraId="33EA1365">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33.</w:t>
      </w:r>
      <w:r>
        <w:rPr>
          <w:rFonts w:hint="default" w:ascii="Times New Roman" w:hAnsi="Times New Roman" w:eastAsia="仿宋_GB2312" w:cs="Times New Roman"/>
          <w:b/>
          <w:bCs/>
          <w:color w:val="auto"/>
          <w:sz w:val="28"/>
          <w:szCs w:val="28"/>
          <w:lang w:eastAsia="zh-CN"/>
        </w:rPr>
        <w:t>投标文件的澄清</w:t>
      </w:r>
    </w:p>
    <w:p w14:paraId="747BC99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.1为了有助于对投标文件进行审查、评估和比较，评标委员会有权向投标人</w:t>
      </w:r>
      <w:r>
        <w:rPr>
          <w:rFonts w:hint="default" w:ascii="Times New Roman" w:hAnsi="Times New Roman" w:eastAsia="仿宋_GB2312" w:cs="Times New Roman"/>
          <w:color w:val="auto"/>
          <w:sz w:val="28"/>
          <w:szCs w:val="28"/>
          <w:lang w:val="en-US" w:eastAsia="zh-CN"/>
        </w:rPr>
        <w:t>提出澄清</w:t>
      </w:r>
      <w:r>
        <w:rPr>
          <w:rFonts w:hint="default" w:ascii="Times New Roman" w:hAnsi="Times New Roman" w:eastAsia="仿宋_GB2312" w:cs="Times New Roman"/>
          <w:color w:val="auto"/>
          <w:sz w:val="28"/>
          <w:szCs w:val="28"/>
          <w:lang w:eastAsia="zh-CN"/>
        </w:rPr>
        <w:t>，请投标人澄清其投标内容。</w:t>
      </w:r>
    </w:p>
    <w:p w14:paraId="01DE690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.2澄清的答复应加盖投标人公章（或企业电子签章）或由法定代表人（或其委托代理人）签字或签章（或个人电子签章）。</w:t>
      </w:r>
    </w:p>
    <w:p w14:paraId="342C8C6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.3投标人的澄清文件是投标文件的组成部分。</w:t>
      </w:r>
    </w:p>
    <w:p w14:paraId="623AD20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.4投标文件的澄清不得对投标内容进行实质性修改。</w:t>
      </w:r>
    </w:p>
    <w:p w14:paraId="7A5F8FD5">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34.</w:t>
      </w:r>
      <w:r>
        <w:rPr>
          <w:rFonts w:hint="default" w:ascii="Times New Roman" w:hAnsi="Times New Roman" w:eastAsia="仿宋_GB2312" w:cs="Times New Roman"/>
          <w:b/>
          <w:bCs/>
          <w:color w:val="auto"/>
          <w:sz w:val="28"/>
          <w:szCs w:val="28"/>
          <w:lang w:eastAsia="zh-CN"/>
        </w:rPr>
        <w:t>投标文件的符合性审查</w:t>
      </w:r>
    </w:p>
    <w:p w14:paraId="39C9C3B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.1评标委员会将审查投标文件是否实质上响应招标文件。通过</w:t>
      </w:r>
      <w:r>
        <w:rPr>
          <w:rFonts w:hint="default" w:ascii="Times New Roman" w:hAnsi="Times New Roman" w:eastAsia="仿宋_GB2312" w:cs="Times New Roman"/>
          <w:color w:val="auto"/>
          <w:sz w:val="28"/>
          <w:szCs w:val="28"/>
          <w:lang w:val="en-US" w:eastAsia="zh-CN"/>
        </w:rPr>
        <w:t>符合性审查</w:t>
      </w:r>
      <w:r>
        <w:rPr>
          <w:rFonts w:hint="default" w:ascii="Times New Roman" w:hAnsi="Times New Roman" w:eastAsia="仿宋_GB2312" w:cs="Times New Roman"/>
          <w:color w:val="auto"/>
          <w:sz w:val="28"/>
          <w:szCs w:val="28"/>
          <w:lang w:eastAsia="zh-CN"/>
        </w:rPr>
        <w:t>的合格投标人不足3家的，</w:t>
      </w:r>
      <w:r>
        <w:rPr>
          <w:rFonts w:hint="default" w:ascii="Times New Roman" w:hAnsi="Times New Roman" w:eastAsia="仿宋_GB2312" w:cs="Times New Roman"/>
          <w:color w:val="auto"/>
          <w:sz w:val="28"/>
          <w:szCs w:val="28"/>
          <w:lang w:val="en-US" w:eastAsia="zh-CN"/>
        </w:rPr>
        <w:t>项目废标</w:t>
      </w:r>
      <w:r>
        <w:rPr>
          <w:rFonts w:hint="default" w:ascii="Times New Roman" w:hAnsi="Times New Roman" w:eastAsia="仿宋_GB2312" w:cs="Times New Roman"/>
          <w:color w:val="auto"/>
          <w:sz w:val="28"/>
          <w:szCs w:val="28"/>
          <w:lang w:eastAsia="zh-CN"/>
        </w:rPr>
        <w:t>。</w:t>
      </w:r>
    </w:p>
    <w:p w14:paraId="378537E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.2允许修正投标文件中不构成重大偏离的、微小的、非正规的、不一致或不规则的地方。</w:t>
      </w:r>
    </w:p>
    <w:p w14:paraId="3737F75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.3在对投标文件进行详细评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之前，评标委员会将确定</w:t>
      </w:r>
      <w:r>
        <w:rPr>
          <w:rFonts w:hint="default" w:ascii="Times New Roman" w:hAnsi="Times New Roman" w:eastAsia="仿宋_GB2312" w:cs="Times New Roman"/>
          <w:color w:val="auto"/>
          <w:sz w:val="28"/>
          <w:szCs w:val="28"/>
          <w:lang w:val="en-US" w:eastAsia="zh-CN"/>
        </w:rPr>
        <w:t>投标文件</w:t>
      </w:r>
      <w:r>
        <w:rPr>
          <w:rFonts w:hint="default" w:ascii="Times New Roman" w:hAnsi="Times New Roman" w:eastAsia="仿宋_GB2312" w:cs="Times New Roman"/>
          <w:color w:val="auto"/>
          <w:sz w:val="28"/>
          <w:szCs w:val="28"/>
          <w:lang w:eastAsia="zh-CN"/>
        </w:rPr>
        <w:t>是否对招标文件的要求做出了实质性的响应，而没有重大偏离。实质性响应的投标是指投标符合招标文件的实质性条款、条件和规定且没有重大偏离和保留。重大偏离和保留是指对招标文件规定的采购需求、服务期限、投标有效期、付款方式等产生重大或不可接受的偏差，或限制了集中采购机构、采购人的权利和投标人的义务的规定，而纠正这些偏离将影响到其它提交实质性响应投标的投标人的公平竞争地位。</w:t>
      </w:r>
    </w:p>
    <w:p w14:paraId="48ADC49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.4评标委员会判断投标文件的响应性仅基于投标文件本身内容而不靠外部证据。</w:t>
      </w:r>
    </w:p>
    <w:p w14:paraId="01062AA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.5实质上没有响应招标文件要求的投标将被视为无效投标，投标人不得通过修正或撤消不符之处而使其投标成为实质上响应投标。</w:t>
      </w:r>
    </w:p>
    <w:p w14:paraId="12B3A5ED">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.6</w:t>
      </w:r>
      <w:r>
        <w:rPr>
          <w:rFonts w:hint="default" w:ascii="Times New Roman" w:hAnsi="Times New Roman" w:eastAsia="仿宋_GB2312" w:cs="Times New Roman"/>
          <w:color w:val="auto"/>
          <w:sz w:val="28"/>
          <w:szCs w:val="28"/>
          <w:lang w:val="en-US" w:eastAsia="zh-CN"/>
        </w:rPr>
        <w:t>参与同一个标段（包）的投标人存在下列情形之一的，其投标（响应）文件无效：</w:t>
      </w:r>
    </w:p>
    <w:p w14:paraId="3EEE876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（1）不同投标人的电子投标（响应）文件上传计算机的网卡MAC地址、CPU序列号和硬盘序列号等硬件信息相同的；</w:t>
      </w:r>
    </w:p>
    <w:p w14:paraId="7D3520E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（2）不同投标人的投标（响应）文件由同一电子设备编制、加密或者上传；</w:t>
      </w:r>
    </w:p>
    <w:p w14:paraId="03666E6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（3）不同投标人的投标（响应）文件由同一人送达或者分发，或者不同投标人联系人为同一人或不同联系人的联系电话一致的；</w:t>
      </w:r>
    </w:p>
    <w:p w14:paraId="70D9A16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（4）不同投标人的投标（响应）文件的内容存在两处以上专有细节错误一致；</w:t>
      </w:r>
    </w:p>
    <w:p w14:paraId="5F82C463">
      <w:pPr>
        <w:spacing w:line="360" w:lineRule="auto"/>
        <w:rPr>
          <w:rFonts w:hint="default" w:ascii="Times New Roman" w:hAnsi="Times New Roman" w:eastAsia="仿宋_GB2312" w:cs="Times New Roman"/>
          <w:color w:val="auto"/>
          <w:sz w:val="28"/>
          <w:szCs w:val="28"/>
          <w:lang w:val="en-US"/>
        </w:rPr>
      </w:pPr>
      <w:r>
        <w:rPr>
          <w:rFonts w:hint="default" w:ascii="Times New Roman" w:hAnsi="Times New Roman" w:eastAsia="仿宋_GB2312" w:cs="Times New Roman"/>
          <w:color w:val="auto"/>
          <w:sz w:val="28"/>
          <w:szCs w:val="28"/>
          <w:lang w:val="en-US"/>
        </w:rPr>
        <w:t>（5）其它涉嫌串通的情形。</w:t>
      </w:r>
    </w:p>
    <w:p w14:paraId="76828C01">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34.7有下列情形之一的，视为投标人串通投标，其投标无效：</w:t>
      </w:r>
    </w:p>
    <w:p w14:paraId="2227CE9E">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（1）不同投标人的投标文件由同一单位或者个人编制；</w:t>
      </w:r>
    </w:p>
    <w:p w14:paraId="5282F9F5">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（2）不同投标人委托同一单位或者个人办理投标事宜；</w:t>
      </w:r>
    </w:p>
    <w:p w14:paraId="445AB55A">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（3）不同投标人的投标文件载明的项目管理成员或者联系人员为同一人；</w:t>
      </w:r>
    </w:p>
    <w:p w14:paraId="1C2AB99C">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（4）不同投标人的投标文件异常一致或者投标报价呈规律性差异；</w:t>
      </w:r>
    </w:p>
    <w:p w14:paraId="5031EFEF">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（5）不同投标人的投标文件相互混装；</w:t>
      </w:r>
    </w:p>
    <w:p w14:paraId="1D09BA14">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（6）不同投标人的投标保证金从同一单位或者个人的账户转出。</w:t>
      </w:r>
    </w:p>
    <w:p w14:paraId="31D2A974">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5</w:t>
      </w:r>
      <w:r>
        <w:rPr>
          <w:rFonts w:hint="default" w:ascii="Times New Roman" w:hAnsi="Times New Roman" w:eastAsia="仿宋_GB2312" w:cs="Times New Roman"/>
          <w:b/>
          <w:bCs/>
          <w:color w:val="auto"/>
          <w:sz w:val="28"/>
          <w:szCs w:val="28"/>
          <w:lang w:eastAsia="zh-CN"/>
        </w:rPr>
        <w:t>.投标的评价</w:t>
      </w:r>
    </w:p>
    <w:p w14:paraId="7E66A4F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.1投标文件报价出现前后不一致的，按照下列规定修正：</w:t>
      </w:r>
    </w:p>
    <w:p w14:paraId="128B24D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（1）投标文件中开标一览表（报价表）内容与投标文件中相应内容不一致的，以开标一览表（报价表）为准；</w:t>
      </w:r>
    </w:p>
    <w:p w14:paraId="3AA9DB5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（2）大写金额和小写金额不一致的，以大写金额为准；</w:t>
      </w:r>
    </w:p>
    <w:p w14:paraId="780371A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（3）单价金额小数点或者百分比有明显错位的，以开标一览表的总价为准，并修改单价；</w:t>
      </w:r>
    </w:p>
    <w:p w14:paraId="69274B7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（4）总价金额与按单价汇总金额不一致的，以单价金额计算结果为准。</w:t>
      </w:r>
    </w:p>
    <w:p w14:paraId="3BE5DFB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同时出现两种以上不一致的，按照前款规定的顺序修正。修正后的报价经投标人确认后产生约束力，投标人不确认的，其投标无效。</w:t>
      </w:r>
    </w:p>
    <w:p w14:paraId="1B0B482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2评标委员会认为投标人的报价明显低于其他通过符合性审查投标人的报价，有可能影响服务质量或者不能诚信履约的，应当要求其在合理的时间内提供书面说明，必要时提交相关证明材料；投标人不能证明其报价合理性的，评标委员会应当将其作为无效投标处理。</w:t>
      </w:r>
    </w:p>
    <w:p w14:paraId="362D8E9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.3评标委员会只对已判定为实质性响应的投标文件进行评价和比较。</w:t>
      </w:r>
    </w:p>
    <w:p w14:paraId="75577500">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.评标价的确定</w:t>
      </w:r>
    </w:p>
    <w:p w14:paraId="3322225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.1根据《政府采购促进中小企业发展管理办法》（财库〔2020〕46号）和《财政部关于进一步加大政府采购支持中小企业力度的通知》（财库〔2022〕19号）的规定，釆购人在政府釆购活动中支持中小企业发展：</w:t>
      </w:r>
    </w:p>
    <w:p w14:paraId="249EA6A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（1）采购项目或采购包预留釆购份额专门面向中小企业采购；</w:t>
      </w:r>
    </w:p>
    <w:p w14:paraId="38DA52B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（2）未预留份额专门面向中小企业釆购的釆购项目，以及预留份额项目中的非预留部分釆购包，对小微企业报价给予</w:t>
      </w:r>
      <w:r>
        <w:rPr>
          <w:rFonts w:hint="default"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0%的扣除，用扣除后的价格参加评审。中小企业扶持政策：见“投标人须知前附表”。</w:t>
      </w:r>
    </w:p>
    <w:p w14:paraId="324E96B0">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中小企业划分标准见《关于印发中小企业划型标准规定的通知》（工信部联企业〔2011〕300号）。中标人享受《政府采购促进中小企业发展管理办法》规定的中小企业扶持政策的，随中标结果公开中标人的《中小企业声明函》。投标人提供声明函内容不实的，属于提供虚假材料谋取中标，依照《中华人民共和国政府采购法》等国家有关规定追究相应责任。</w:t>
      </w:r>
    </w:p>
    <w:p w14:paraId="74B439D0">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（4）监狱企业视同小型、微型企业，投标人应提供省级及以上监狱管理局、戒毒管理局（含新疆生产建设兵团）出具的属于监狱企业的证明文件。</w:t>
      </w:r>
    </w:p>
    <w:p w14:paraId="730CEE56">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（5）残疾人福利性单位视同小型、微型企业，残疾人福利性单位须符合《财政部民政部中国残疾人联合会关于促进残疾人就业政府采购政策的通知》（财库〔2017〕141 号）要求，提供《残疾人福利性单位声明函》，提供的《残疾人福利性单位声明函》与事实不符的，依照《政府采购法》第七十七条第一款的规定追究法律责任。中标人为残疾人福利性单位的，随中标、成交结果同时公告其《残疾人福利性单位声明函》，接受社会监督。</w:t>
      </w:r>
    </w:p>
    <w:p w14:paraId="77AFFF6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36.2</w:t>
      </w:r>
      <w:r>
        <w:rPr>
          <w:rFonts w:hint="default" w:ascii="Times New Roman" w:hAnsi="Times New Roman" w:eastAsia="仿宋_GB2312" w:cs="Times New Roman"/>
          <w:color w:val="auto"/>
          <w:sz w:val="28"/>
          <w:szCs w:val="28"/>
          <w:lang w:eastAsia="zh-CN"/>
        </w:rPr>
        <w:t>评标价不作为中标价和合同签约价，中标价和合同签约价仍以其投标文件中的报价为准。</w:t>
      </w:r>
    </w:p>
    <w:p w14:paraId="37740984">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7</w:t>
      </w:r>
      <w:r>
        <w:rPr>
          <w:rFonts w:hint="default" w:ascii="Times New Roman" w:hAnsi="Times New Roman" w:eastAsia="仿宋_GB2312" w:cs="Times New Roman"/>
          <w:b/>
          <w:bCs/>
          <w:color w:val="auto"/>
          <w:sz w:val="28"/>
          <w:szCs w:val="28"/>
          <w:lang w:eastAsia="zh-CN"/>
        </w:rPr>
        <w:t>.评标结果</w:t>
      </w:r>
    </w:p>
    <w:p w14:paraId="6399333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.1评标委员会按照招标文件中规定的评标方法和标准，对符合性审查合格的投标文件进行商务和技术评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，综合比较与评价。</w:t>
      </w:r>
    </w:p>
    <w:p w14:paraId="746F5D3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.2投标人的评审得分为所有评委评审得分的算术平均值，评审得分取至小数点后两位（第三位四舍五入）。</w:t>
      </w:r>
    </w:p>
    <w:p w14:paraId="4EDC125F">
      <w:pPr>
        <w:pStyle w:val="98"/>
        <w:spacing w:line="360" w:lineRule="auto"/>
        <w:rPr>
          <w:rFonts w:hint="default" w:ascii="Times New Roman" w:hAnsi="Times New Roman" w:eastAsia="仿宋_GB2312" w:cs="Times New Roman"/>
          <w:color w:val="auto"/>
        </w:rPr>
      </w:pPr>
      <w:r>
        <w:rPr>
          <w:rFonts w:hint="default" w:ascii="Times New Roman" w:hAnsi="Times New Roman" w:eastAsia="仿宋_GB2312" w:cs="Times New Roman"/>
          <w:b/>
          <w:bCs/>
          <w:color w:val="auto"/>
          <w:sz w:val="28"/>
          <w:szCs w:val="28"/>
        </w:rPr>
        <w:t>38.</w:t>
      </w:r>
      <w:r>
        <w:rPr>
          <w:rFonts w:hint="default" w:ascii="Times New Roman" w:hAnsi="Times New Roman" w:eastAsia="仿宋_GB2312" w:cs="Times New Roman"/>
          <w:b/>
          <w:color w:val="auto"/>
          <w:sz w:val="28"/>
          <w:szCs w:val="28"/>
        </w:rPr>
        <w:t>推荐中标候选人原则及标准</w:t>
      </w:r>
    </w:p>
    <w:p w14:paraId="505F884E">
      <w:pPr>
        <w:widowControl w:val="0"/>
        <w:spacing w:line="360" w:lineRule="auto"/>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除非“投标人须知前附表”有特殊约定，否则评标委员会按评审后得分由高到低顺序</w:t>
      </w:r>
      <w:r>
        <w:rPr>
          <w:rFonts w:hint="default" w:ascii="Times New Roman" w:hAnsi="Times New Roman" w:eastAsia="仿宋_GB2312" w:cs="Times New Roman"/>
          <w:color w:val="auto"/>
          <w:sz w:val="28"/>
          <w:szCs w:val="28"/>
          <w:lang w:val="en-US" w:eastAsia="zh-CN"/>
        </w:rPr>
        <w:t>排列。按投标人须知前附表中规定数量推荐中标候选人。</w:t>
      </w:r>
    </w:p>
    <w:p w14:paraId="6F0BD148">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9</w:t>
      </w:r>
      <w:r>
        <w:rPr>
          <w:rFonts w:hint="default" w:ascii="Times New Roman" w:hAnsi="Times New Roman" w:eastAsia="仿宋_GB2312" w:cs="Times New Roman"/>
          <w:b/>
          <w:bCs/>
          <w:color w:val="auto"/>
          <w:sz w:val="28"/>
          <w:szCs w:val="28"/>
          <w:lang w:eastAsia="zh-CN"/>
        </w:rPr>
        <w:t>.保密及其它注意事项</w:t>
      </w:r>
    </w:p>
    <w:p w14:paraId="776D5C3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.1评标是招标工作的重要环节，评标工作在评标委员会内独立进行。</w:t>
      </w:r>
    </w:p>
    <w:p w14:paraId="171C713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.2评标委员会将遵照规定的评标方法，公正、平等地对待所有投标人。</w:t>
      </w:r>
    </w:p>
    <w:p w14:paraId="762AE63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.3在评标期间，投标人不得向评委询问评标情况，不得进行旨在影响评标结果的活动。</w:t>
      </w:r>
    </w:p>
    <w:p w14:paraId="12E8154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.4为保证评标的公正性，开标后直至授予投标人合同，评委不得与投标人私下交换意见。</w:t>
      </w:r>
    </w:p>
    <w:p w14:paraId="38C8CFF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.5在评标工作结束后，凡与评标情况有接触的任何人不得擅自将评标情况扩散出评标人员之外。</w:t>
      </w:r>
    </w:p>
    <w:p w14:paraId="5519E99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.6评标结束后，概不退还投标文件。</w:t>
      </w:r>
    </w:p>
    <w:p w14:paraId="7D50666D">
      <w:pPr>
        <w:pStyle w:val="17"/>
        <w:rPr>
          <w:rFonts w:hint="default" w:ascii="Times New Roman" w:hAnsi="Times New Roman" w:cs="Times New Roman"/>
          <w:color w:val="auto"/>
          <w:lang w:eastAsia="zh-CN"/>
        </w:rPr>
      </w:pPr>
    </w:p>
    <w:p w14:paraId="59771096">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51" w:name="_Toc1092967952_WPSOffice_Level2"/>
      <w:bookmarkStart w:id="252" w:name="_Toc34536976"/>
      <w:bookmarkStart w:id="253" w:name="_Toc1781574470_WPSOffice_Level2"/>
      <w:bookmarkStart w:id="254" w:name="_Toc1052785819"/>
      <w:bookmarkStart w:id="255" w:name="_Toc825115381"/>
      <w:bookmarkStart w:id="256" w:name="_Toc1199683400_WPSOffice_Level2"/>
      <w:bookmarkStart w:id="257" w:name="_Toc1542593003"/>
      <w:bookmarkStart w:id="258" w:name="_Toc249591238"/>
      <w:bookmarkStart w:id="259" w:name="_Toc529068754"/>
      <w:bookmarkStart w:id="260" w:name="_Toc469259728"/>
      <w:bookmarkStart w:id="261" w:name="_Toc917262788"/>
      <w:bookmarkStart w:id="262" w:name="_Toc57506616"/>
      <w:bookmarkStart w:id="263" w:name="_Toc69887890"/>
      <w:bookmarkStart w:id="264" w:name="_Toc2899487"/>
      <w:bookmarkStart w:id="265" w:name="_Toc1426358028_WPSOffice_Level2"/>
      <w:r>
        <w:rPr>
          <w:rFonts w:hint="default" w:ascii="Times New Roman" w:hAnsi="Times New Roman" w:eastAsia="方正小标宋_GBK" w:cs="Times New Roman"/>
          <w:bCs/>
          <w:color w:val="auto"/>
          <w:kern w:val="0"/>
          <w:sz w:val="30"/>
          <w:szCs w:val="30"/>
          <w:lang w:val="en-US" w:eastAsia="zh-CN"/>
        </w:rPr>
        <w:t>六、确定中标</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64A60D28">
      <w:pPr>
        <w:keepNext/>
        <w:keepLines/>
        <w:widowControl w:val="0"/>
        <w:autoSpaceDE w:val="0"/>
        <w:autoSpaceDN w:val="0"/>
        <w:adjustRightInd w:val="0"/>
        <w:spacing w:line="360" w:lineRule="auto"/>
        <w:jc w:val="left"/>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bCs/>
          <w:color w:val="auto"/>
          <w:sz w:val="28"/>
          <w:szCs w:val="28"/>
          <w:lang w:val="en-US" w:eastAsia="zh-CN"/>
        </w:rPr>
        <w:t>40</w:t>
      </w:r>
      <w:r>
        <w:rPr>
          <w:rFonts w:hint="default" w:ascii="Times New Roman" w:hAnsi="Times New Roman" w:eastAsia="仿宋_GB2312" w:cs="Times New Roman"/>
          <w:b/>
          <w:bCs/>
          <w:color w:val="auto"/>
          <w:sz w:val="28"/>
          <w:szCs w:val="28"/>
          <w:lang w:eastAsia="zh-CN"/>
        </w:rPr>
        <w:t>.</w:t>
      </w:r>
      <w:r>
        <w:rPr>
          <w:rFonts w:hint="default" w:ascii="Times New Roman" w:hAnsi="Times New Roman" w:eastAsia="仿宋_GB2312" w:cs="Times New Roman"/>
          <w:b/>
          <w:color w:val="auto"/>
          <w:kern w:val="0"/>
          <w:sz w:val="28"/>
          <w:szCs w:val="28"/>
          <w:lang w:val="en-US" w:eastAsia="zh-CN"/>
        </w:rPr>
        <w:t>确定中标人</w:t>
      </w:r>
    </w:p>
    <w:p w14:paraId="7DFB61D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40</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采购人应当自收到评标报告之日起５个工作日内，从评标报告提出的中标候选人中，根据评标委员会推荐排名顺序的中标候选人中，选定第一中标候选人为中标人；也可以书面授权评标委员会直接确定中标人。</w:t>
      </w:r>
    </w:p>
    <w:p w14:paraId="62C6D75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40.2</w:t>
      </w:r>
      <w:r>
        <w:rPr>
          <w:rFonts w:hint="default" w:ascii="Times New Roman" w:hAnsi="Times New Roman" w:eastAsia="仿宋_GB2312" w:cs="Times New Roman"/>
          <w:color w:val="auto"/>
          <w:sz w:val="28"/>
          <w:szCs w:val="28"/>
          <w:lang w:eastAsia="zh-CN"/>
        </w:rPr>
        <w:t>采购人在收到评标报告5个工作日内未按评标报告推荐的中标候选人顺序确定中标人，又不能说明合法理由的，视同按评标报告推荐的顺序确定排名第一的中标候选人为中标人。</w:t>
      </w:r>
    </w:p>
    <w:p w14:paraId="6B8A1D67">
      <w:pPr>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41.发布中标公告及发出中标通知书</w:t>
      </w:r>
    </w:p>
    <w:p w14:paraId="3803DA7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41</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采购人按规定确定中标人后，</w:t>
      </w:r>
      <w:r>
        <w:rPr>
          <w:rFonts w:hint="default" w:ascii="Times New Roman" w:hAnsi="Times New Roman" w:eastAsia="仿宋_GB2312" w:cs="Times New Roman"/>
          <w:color w:val="auto"/>
          <w:sz w:val="28"/>
          <w:szCs w:val="28"/>
          <w:lang w:val="en-US" w:eastAsia="zh-CN"/>
        </w:rPr>
        <w:t>采购人或</w:t>
      </w:r>
      <w:r>
        <w:rPr>
          <w:rFonts w:hint="default" w:ascii="Times New Roman" w:hAnsi="Times New Roman" w:eastAsia="仿宋_GB2312" w:cs="Times New Roman"/>
          <w:color w:val="auto"/>
          <w:sz w:val="28"/>
          <w:szCs w:val="28"/>
          <w:lang w:eastAsia="zh-CN"/>
        </w:rPr>
        <w:t>集中采购机构应将中标结果在“投标人须知前附表”规定的媒介上予以公告，中标结果公告期限为1个工作日。</w:t>
      </w:r>
    </w:p>
    <w:p w14:paraId="02F337CB">
      <w:pPr>
        <w:widowControl w:val="0"/>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41.2发布中标公告同时向中标人发出中标通知书。</w:t>
      </w:r>
    </w:p>
    <w:p w14:paraId="620D3F46">
      <w:pPr>
        <w:pStyle w:val="17"/>
        <w:spacing w:before="0" w:line="360" w:lineRule="auto"/>
        <w:rPr>
          <w:rFonts w:hint="default" w:ascii="Times New Roman" w:hAnsi="Times New Roman" w:cs="Times New Roman"/>
          <w:color w:val="auto"/>
          <w:lang w:val="en-US" w:eastAsia="zh-CN"/>
        </w:rPr>
      </w:pPr>
      <w:r>
        <w:rPr>
          <w:rFonts w:hint="default" w:ascii="Times New Roman" w:hAnsi="Times New Roman" w:eastAsia="仿宋_GB2312" w:cs="Times New Roman"/>
          <w:color w:val="auto"/>
          <w:sz w:val="28"/>
          <w:szCs w:val="28"/>
          <w:lang w:val="en-US" w:eastAsia="zh-CN"/>
        </w:rPr>
        <w:t>41.3</w:t>
      </w:r>
      <w:r>
        <w:rPr>
          <w:rFonts w:hint="default" w:ascii="Times New Roman" w:hAnsi="Times New Roman" w:eastAsia="仿宋_GB2312" w:cs="Times New Roman"/>
          <w:color w:val="auto"/>
          <w:kern w:val="1"/>
          <w:sz w:val="28"/>
          <w:szCs w:val="28"/>
          <w:lang w:eastAsia="zh-CN"/>
        </w:rPr>
        <w:t>中标通知书发出后，采购人不得违法改变</w:t>
      </w:r>
      <w:r>
        <w:rPr>
          <w:rFonts w:hint="default" w:ascii="Times New Roman" w:hAnsi="Times New Roman" w:eastAsia="仿宋_GB2312" w:cs="Times New Roman"/>
          <w:color w:val="auto"/>
          <w:kern w:val="1"/>
          <w:sz w:val="28"/>
          <w:szCs w:val="28"/>
          <w:lang w:val="en-US" w:eastAsia="zh-CN"/>
        </w:rPr>
        <w:t>中标</w:t>
      </w:r>
      <w:r>
        <w:rPr>
          <w:rFonts w:hint="default" w:ascii="Times New Roman" w:hAnsi="Times New Roman" w:eastAsia="仿宋_GB2312" w:cs="Times New Roman"/>
          <w:color w:val="auto"/>
          <w:kern w:val="1"/>
          <w:sz w:val="28"/>
          <w:szCs w:val="28"/>
          <w:lang w:eastAsia="zh-CN"/>
        </w:rPr>
        <w:t>结果，中标</w:t>
      </w:r>
      <w:r>
        <w:rPr>
          <w:rFonts w:hint="default" w:ascii="Times New Roman" w:hAnsi="Times New Roman" w:eastAsia="仿宋_GB2312" w:cs="Times New Roman"/>
          <w:color w:val="auto"/>
          <w:kern w:val="1"/>
          <w:sz w:val="28"/>
          <w:szCs w:val="28"/>
          <w:lang w:val="en-US" w:eastAsia="zh-CN"/>
        </w:rPr>
        <w:t>人</w:t>
      </w:r>
      <w:r>
        <w:rPr>
          <w:rFonts w:hint="default" w:ascii="Times New Roman" w:hAnsi="Times New Roman" w:eastAsia="仿宋_GB2312" w:cs="Times New Roman"/>
          <w:color w:val="auto"/>
          <w:kern w:val="1"/>
          <w:sz w:val="28"/>
          <w:szCs w:val="28"/>
          <w:lang w:eastAsia="zh-CN"/>
        </w:rPr>
        <w:t>无正当理由不得放弃</w:t>
      </w:r>
      <w:r>
        <w:rPr>
          <w:rFonts w:hint="default" w:ascii="Times New Roman" w:hAnsi="Times New Roman" w:eastAsia="仿宋_GB2312" w:cs="Times New Roman"/>
          <w:color w:val="auto"/>
          <w:kern w:val="1"/>
          <w:sz w:val="28"/>
          <w:szCs w:val="28"/>
          <w:lang w:val="en-US" w:eastAsia="zh-CN"/>
        </w:rPr>
        <w:t>中标</w:t>
      </w:r>
      <w:r>
        <w:rPr>
          <w:rFonts w:hint="default" w:ascii="Times New Roman" w:hAnsi="Times New Roman" w:eastAsia="仿宋_GB2312" w:cs="Times New Roman"/>
          <w:color w:val="auto"/>
          <w:kern w:val="1"/>
          <w:sz w:val="28"/>
          <w:szCs w:val="28"/>
          <w:lang w:eastAsia="zh-CN"/>
        </w:rPr>
        <w:t>。</w:t>
      </w:r>
    </w:p>
    <w:p w14:paraId="72ADCDCA">
      <w:pPr>
        <w:widowControl w:val="0"/>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2</w:t>
      </w:r>
      <w:r>
        <w:rPr>
          <w:rFonts w:hint="default" w:ascii="Times New Roman" w:hAnsi="Times New Roman" w:eastAsia="仿宋_GB2312" w:cs="Times New Roman"/>
          <w:b/>
          <w:bCs/>
          <w:color w:val="auto"/>
          <w:sz w:val="28"/>
          <w:szCs w:val="28"/>
          <w:lang w:eastAsia="zh-CN"/>
        </w:rPr>
        <w:t>.接受和拒绝任何或所有投标的权利</w:t>
      </w:r>
    </w:p>
    <w:p w14:paraId="2C28923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如出现重大变故，采购任务取消情况，集中采购机构和采购人保留因此原因在授标之前任何时候接受或拒绝任何投标、以及宣布招标无效或拒绝所有投标的权利，对受影响的投标人不承担任何责任。</w:t>
      </w:r>
    </w:p>
    <w:p w14:paraId="7A456A8E">
      <w:pPr>
        <w:spacing w:line="360" w:lineRule="auto"/>
        <w:rPr>
          <w:rFonts w:hint="default" w:ascii="Times New Roman" w:hAnsi="Times New Roman" w:eastAsia="仿宋_GB2312" w:cs="Times New Roman"/>
          <w:color w:val="auto"/>
          <w:sz w:val="28"/>
          <w:szCs w:val="28"/>
          <w:lang w:eastAsia="zh-CN"/>
        </w:rPr>
      </w:pPr>
    </w:p>
    <w:p w14:paraId="68BCBB87">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66" w:name="_Toc574236286"/>
      <w:bookmarkStart w:id="267" w:name="_Toc420601376"/>
      <w:bookmarkStart w:id="268" w:name="_Toc289293782"/>
      <w:bookmarkStart w:id="269" w:name="_Toc2045390548_WPSOffice_Level2"/>
      <w:bookmarkStart w:id="270" w:name="_Toc1194929028_WPSOffice_Level2"/>
      <w:bookmarkStart w:id="271" w:name="_Toc387142253"/>
      <w:bookmarkStart w:id="272" w:name="_Toc1253526278"/>
      <w:bookmarkStart w:id="273" w:name="_Toc1674499174"/>
      <w:bookmarkStart w:id="274" w:name="_Toc155496134_WPSOffice_Level2"/>
      <w:bookmarkStart w:id="275" w:name="_Toc2132928082"/>
      <w:bookmarkStart w:id="276" w:name="_Toc1435125006"/>
      <w:bookmarkStart w:id="277" w:name="_Toc1835231440"/>
      <w:bookmarkStart w:id="278" w:name="_Toc272788692"/>
      <w:bookmarkStart w:id="279" w:name="_Toc285838294"/>
      <w:bookmarkStart w:id="280" w:name="_Toc212998948_WPSOffice_Level2"/>
      <w:r>
        <w:rPr>
          <w:rFonts w:hint="default" w:ascii="Times New Roman" w:hAnsi="Times New Roman" w:eastAsia="方正小标宋_GBK" w:cs="Times New Roman"/>
          <w:bCs/>
          <w:color w:val="auto"/>
          <w:kern w:val="0"/>
          <w:sz w:val="30"/>
          <w:szCs w:val="30"/>
          <w:lang w:val="en-US" w:eastAsia="zh-CN"/>
        </w:rPr>
        <w:t>七、授予合同</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47BFD0CC">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3</w:t>
      </w:r>
      <w:r>
        <w:rPr>
          <w:rFonts w:hint="default" w:ascii="Times New Roman" w:hAnsi="Times New Roman" w:eastAsia="仿宋_GB2312" w:cs="Times New Roman"/>
          <w:b/>
          <w:bCs/>
          <w:color w:val="auto"/>
          <w:sz w:val="28"/>
          <w:szCs w:val="28"/>
          <w:lang w:eastAsia="zh-CN"/>
        </w:rPr>
        <w:t>.合同授予标准</w:t>
      </w:r>
    </w:p>
    <w:p w14:paraId="0039C04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除本章第4</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条、</w:t>
      </w:r>
      <w:r>
        <w:rPr>
          <w:rFonts w:hint="default" w:ascii="Times New Roman" w:hAnsi="Times New Roman" w:eastAsia="仿宋_GB2312" w:cs="Times New Roman"/>
          <w:color w:val="auto"/>
          <w:sz w:val="28"/>
          <w:szCs w:val="28"/>
          <w:lang w:val="en-US" w:eastAsia="zh-CN"/>
        </w:rPr>
        <w:t>47条</w:t>
      </w:r>
      <w:r>
        <w:rPr>
          <w:rFonts w:hint="default" w:ascii="Times New Roman" w:hAnsi="Times New Roman" w:eastAsia="仿宋_GB2312" w:cs="Times New Roman"/>
          <w:color w:val="auto"/>
          <w:sz w:val="28"/>
          <w:szCs w:val="28"/>
          <w:lang w:eastAsia="zh-CN"/>
        </w:rPr>
        <w:t>的规定之外，采购人将把合同授予被确定为实质上响应招标文件要求并有履行合同能力的评审后综合得分最高的投标人。</w:t>
      </w:r>
    </w:p>
    <w:p w14:paraId="378D0D18">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4</w:t>
      </w:r>
      <w:r>
        <w:rPr>
          <w:rFonts w:hint="default" w:ascii="Times New Roman" w:hAnsi="Times New Roman" w:eastAsia="仿宋_GB2312" w:cs="Times New Roman"/>
          <w:b/>
          <w:bCs/>
          <w:color w:val="auto"/>
          <w:sz w:val="28"/>
          <w:szCs w:val="28"/>
          <w:lang w:eastAsia="zh-CN"/>
        </w:rPr>
        <w:t>.合同授予时</w:t>
      </w:r>
      <w:r>
        <w:rPr>
          <w:rFonts w:hint="default" w:ascii="Times New Roman" w:hAnsi="Times New Roman" w:eastAsia="仿宋_GB2312" w:cs="Times New Roman"/>
          <w:b/>
          <w:bCs/>
          <w:color w:val="auto"/>
          <w:sz w:val="28"/>
          <w:szCs w:val="28"/>
          <w:lang w:val="en-US" w:eastAsia="zh-CN"/>
        </w:rPr>
        <w:t>追加</w:t>
      </w:r>
      <w:r>
        <w:rPr>
          <w:rFonts w:hint="default" w:ascii="Times New Roman" w:hAnsi="Times New Roman" w:eastAsia="仿宋_GB2312" w:cs="Times New Roman"/>
          <w:b/>
          <w:bCs/>
          <w:color w:val="auto"/>
          <w:sz w:val="28"/>
          <w:szCs w:val="28"/>
          <w:lang w:eastAsia="zh-CN"/>
        </w:rPr>
        <w:t>采购服务数量的权利</w:t>
      </w:r>
    </w:p>
    <w:p w14:paraId="2604265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采购人在授予合同时有权在“投标人须知前附表”规定的范围内，对项目需求中规定的服务的量予以增加，但不得对服务内容或其它实质性的条款和条件做任何改变。</w:t>
      </w:r>
    </w:p>
    <w:p w14:paraId="24CFEBBF">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45.</w:t>
      </w:r>
      <w:r>
        <w:rPr>
          <w:rFonts w:hint="default" w:ascii="Times New Roman" w:hAnsi="Times New Roman" w:eastAsia="仿宋_GB2312" w:cs="Times New Roman"/>
          <w:b/>
          <w:bCs/>
          <w:color w:val="auto"/>
          <w:sz w:val="28"/>
          <w:szCs w:val="28"/>
          <w:lang w:eastAsia="zh-CN"/>
        </w:rPr>
        <w:t>签订合同</w:t>
      </w:r>
    </w:p>
    <w:p w14:paraId="23E34DE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.1采购人应当自中标通知书发出之日起15日内，按照招标文件和中标人投标文件的规定，与中标人签订书面合同。所签订的合同不得对招标文件确定的事项和中标人投标文件作实质性修改。</w:t>
      </w:r>
    </w:p>
    <w:p w14:paraId="1487F6D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.2招标文件、中标人的投标文件和澄清文件等，均应作为签约的合同文本的基础。</w:t>
      </w:r>
    </w:p>
    <w:p w14:paraId="23658EA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.3如采购人对中标人拒签合同，依照《中华人民共和国政府采购法》《中华人民共和国政府采购法实施条例》《政府采购货物和服务招标投标管理办法》（财政部令第87号）等规定承担相应的违约责任。</w:t>
      </w:r>
    </w:p>
    <w:p w14:paraId="07954EDF">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46.</w:t>
      </w:r>
      <w:r>
        <w:rPr>
          <w:rFonts w:hint="default" w:ascii="Times New Roman" w:hAnsi="Times New Roman" w:eastAsia="仿宋_GB2312" w:cs="Times New Roman"/>
          <w:b/>
          <w:bCs/>
          <w:color w:val="auto"/>
          <w:sz w:val="28"/>
          <w:szCs w:val="28"/>
          <w:lang w:eastAsia="zh-CN"/>
        </w:rPr>
        <w:t>履约保证金</w:t>
      </w:r>
    </w:p>
    <w:p w14:paraId="6329268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中标人应按招标文件的规定向采购人提交履约保证金，中标人应当以支票、汇票、本票或者金融机构、担保机构出具的保函等非现金形式提交。采购人不得以中标人事先缴纳履约保证金作为签订合同的条件,并应在中标人履行完合同约定义务事项后及时退还。</w:t>
      </w:r>
    </w:p>
    <w:p w14:paraId="551C04E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47.</w:t>
      </w:r>
      <w:r>
        <w:rPr>
          <w:rFonts w:hint="default" w:ascii="Times New Roman" w:hAnsi="Times New Roman" w:eastAsia="仿宋_GB2312" w:cs="Times New Roman"/>
          <w:color w:val="auto"/>
          <w:sz w:val="28"/>
          <w:szCs w:val="28"/>
          <w:lang w:eastAsia="zh-CN"/>
        </w:rPr>
        <w:t>如中标人不按本章第4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条约定签订合同，依照《中华人民共和国政府采购法》《中华人民共和国政府采购法实施条例》《政府采购货物和服务招标投标管理办法》（财政部令第87号）等规定</w:t>
      </w:r>
      <w:r>
        <w:rPr>
          <w:rFonts w:hint="default" w:ascii="Times New Roman" w:hAnsi="Times New Roman" w:eastAsia="仿宋_GB2312" w:cs="Times New Roman"/>
          <w:color w:val="auto"/>
          <w:sz w:val="28"/>
          <w:szCs w:val="28"/>
          <w:lang w:val="en-US" w:eastAsia="zh-CN"/>
        </w:rPr>
        <w:t>承</w:t>
      </w:r>
      <w:r>
        <w:rPr>
          <w:rFonts w:hint="default" w:ascii="Times New Roman" w:hAnsi="Times New Roman" w:eastAsia="仿宋_GB2312" w:cs="Times New Roman"/>
          <w:color w:val="auto"/>
          <w:sz w:val="28"/>
          <w:szCs w:val="28"/>
          <w:lang w:eastAsia="zh-CN"/>
        </w:rPr>
        <w:t>担相应的违约责任）。采购人可在按照评审报告推荐的中标或者成交候选人名单排序，确定下一中标候选人为中标人，也可以重新开展政府采购活动。</w:t>
      </w:r>
    </w:p>
    <w:p w14:paraId="0DE5860D">
      <w:pPr>
        <w:keepNext/>
        <w:keepLines/>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48.招标代理费</w:t>
      </w:r>
    </w:p>
    <w:p w14:paraId="443CB720">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本项目是否由中标人向</w:t>
      </w:r>
      <w:r>
        <w:rPr>
          <w:rFonts w:hint="default" w:ascii="Times New Roman" w:hAnsi="Times New Roman" w:eastAsia="仿宋_GB2312" w:cs="Times New Roman"/>
          <w:color w:val="auto"/>
          <w:sz w:val="28"/>
          <w:szCs w:val="28"/>
          <w:lang w:eastAsia="zh-CN"/>
        </w:rPr>
        <w:t>集中采购机构</w:t>
      </w:r>
      <w:r>
        <w:rPr>
          <w:rFonts w:hint="default" w:ascii="Times New Roman" w:hAnsi="Times New Roman" w:eastAsia="仿宋_GB2312" w:cs="Times New Roman"/>
          <w:color w:val="auto"/>
          <w:sz w:val="28"/>
          <w:szCs w:val="28"/>
          <w:lang w:val="en-US" w:eastAsia="zh-CN"/>
        </w:rPr>
        <w:t>支付招标代理费，按照投标人须知前附表规定执行。</w:t>
      </w:r>
    </w:p>
    <w:p w14:paraId="712DCC59">
      <w:pPr>
        <w:keepNext/>
        <w:keepLines/>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49.质疑的提出与接收</w:t>
      </w:r>
    </w:p>
    <w:p w14:paraId="057192A5">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49.1投标人认为招标文件、招标过程和中标结果使自己的权益受到损害的，可以根据《中华人民共和国政府采购法》《中华人民共和国政府采购法实施条例》《政府采购质疑和投诉办法》的有关规定，依法向采购人或其委托的</w:t>
      </w:r>
      <w:r>
        <w:rPr>
          <w:rFonts w:hint="default" w:ascii="Times New Roman" w:hAnsi="Times New Roman" w:eastAsia="仿宋_GB2312" w:cs="Times New Roman"/>
          <w:color w:val="auto"/>
          <w:sz w:val="28"/>
          <w:szCs w:val="28"/>
          <w:lang w:eastAsia="zh-CN"/>
        </w:rPr>
        <w:t>集中采购机构</w:t>
      </w:r>
      <w:r>
        <w:rPr>
          <w:rFonts w:hint="default" w:ascii="Times New Roman" w:hAnsi="Times New Roman" w:eastAsia="仿宋_GB2312" w:cs="Times New Roman"/>
          <w:color w:val="auto"/>
          <w:sz w:val="28"/>
          <w:szCs w:val="28"/>
          <w:lang w:val="en-US" w:eastAsia="zh-CN"/>
        </w:rPr>
        <w:t>提出书面质疑。</w:t>
      </w:r>
    </w:p>
    <w:p w14:paraId="277652B4">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49.2质疑投标人应按照《政府采购质疑和投诉办法》的要求，在法定质疑期内以书面形式提出质疑，针对同一采购程序环节的质疑次数应符合投标人须知前附表的规定。</w:t>
      </w:r>
    </w:p>
    <w:p w14:paraId="5F84C342">
      <w:pPr>
        <w:spacing w:line="50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49.3  质疑中标人对采购人、采购代理机构的答复不满意，或者采购人、采购代理机构未在规定时间内作出答复的，可以在答复期满后15个工作日内向省级财政部门提起投诉。投诉人投诉时，请按照《政府采购质疑和投诉办法》（财政部第94号令）的要求提交相关内容及材料。</w:t>
      </w:r>
    </w:p>
    <w:p w14:paraId="0BDDE105">
      <w:pPr>
        <w:pStyle w:val="98"/>
        <w:rPr>
          <w:rFonts w:hint="default" w:ascii="Times New Roman" w:hAnsi="Times New Roman" w:cs="Times New Roman"/>
          <w:color w:val="auto"/>
        </w:rPr>
      </w:pPr>
    </w:p>
    <w:p w14:paraId="71E866E5">
      <w:pPr>
        <w:spacing w:line="360" w:lineRule="auto"/>
        <w:rPr>
          <w:rFonts w:hint="default" w:ascii="Times New Roman" w:hAnsi="Times New Roman" w:eastAsia="仿宋_GB2312" w:cs="Times New Roman"/>
          <w:color w:val="auto"/>
          <w:sz w:val="28"/>
          <w:szCs w:val="28"/>
          <w:lang w:eastAsia="zh-CN"/>
        </w:rPr>
      </w:pPr>
    </w:p>
    <w:p w14:paraId="550DFCD1">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81" w:name="_Toc1766978063_WPSOffice_Level2"/>
      <w:bookmarkStart w:id="282" w:name="_Toc1786314322"/>
      <w:bookmarkStart w:id="283" w:name="_Toc1108985532"/>
      <w:bookmarkStart w:id="284" w:name="_Toc1719815385"/>
      <w:bookmarkStart w:id="285" w:name="_Toc65811364"/>
      <w:bookmarkStart w:id="286" w:name="_Toc2050602757_WPSOffice_Level2"/>
      <w:bookmarkStart w:id="287" w:name="_Toc1615377744"/>
      <w:bookmarkStart w:id="288" w:name="_Toc2106161628_WPSOffice_Level2"/>
      <w:bookmarkStart w:id="289" w:name="_Toc1226187921"/>
      <w:bookmarkStart w:id="290" w:name="_Toc1014127690"/>
      <w:bookmarkStart w:id="291" w:name="_Toc449097168_WPSOffice_Level2"/>
      <w:bookmarkStart w:id="292" w:name="_Toc691566780"/>
      <w:bookmarkStart w:id="293" w:name="_Toc1294126331"/>
      <w:bookmarkStart w:id="294" w:name="_Toc512476358"/>
      <w:bookmarkStart w:id="295" w:name="_Toc2042622906"/>
      <w:r>
        <w:rPr>
          <w:rFonts w:hint="default" w:ascii="Times New Roman" w:hAnsi="Times New Roman" w:eastAsia="方正小标宋_GBK" w:cs="Times New Roman"/>
          <w:bCs/>
          <w:color w:val="auto"/>
          <w:kern w:val="0"/>
          <w:sz w:val="30"/>
          <w:szCs w:val="30"/>
          <w:lang w:val="en-US" w:eastAsia="zh-CN"/>
        </w:rPr>
        <w:t>八、需要补充的其他内容</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729C6F1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50</w:t>
      </w:r>
      <w:r>
        <w:rPr>
          <w:rFonts w:hint="default" w:ascii="Times New Roman" w:hAnsi="Times New Roman" w:eastAsia="仿宋_GB2312" w:cs="Times New Roman"/>
          <w:b/>
          <w:bCs/>
          <w:color w:val="auto"/>
          <w:sz w:val="28"/>
          <w:szCs w:val="28"/>
          <w:lang w:eastAsia="zh-CN"/>
        </w:rPr>
        <w:t>.</w:t>
      </w:r>
      <w:r>
        <w:rPr>
          <w:rFonts w:hint="default" w:ascii="Times New Roman" w:hAnsi="Times New Roman" w:eastAsia="仿宋_GB2312" w:cs="Times New Roman"/>
          <w:color w:val="auto"/>
          <w:sz w:val="28"/>
          <w:szCs w:val="28"/>
          <w:lang w:eastAsia="zh-CN"/>
        </w:rPr>
        <w:t>需要补充的其他内容：见“投标人须知前附表”。</w:t>
      </w:r>
    </w:p>
    <w:p w14:paraId="4CD58846">
      <w:pPr>
        <w:spacing w:line="360" w:lineRule="auto"/>
        <w:rPr>
          <w:rFonts w:hint="default" w:ascii="Times New Roman" w:hAnsi="Times New Roman" w:cs="Times New Roman"/>
          <w:color w:val="auto"/>
          <w:lang w:val="en-US" w:eastAsia="zh-CN"/>
        </w:rPr>
      </w:pPr>
      <w:r>
        <w:rPr>
          <w:rFonts w:hint="default" w:ascii="Times New Roman" w:hAnsi="Times New Roman" w:eastAsia="仿宋_GB2312" w:cs="Times New Roman"/>
          <w:color w:val="auto"/>
          <w:sz w:val="28"/>
          <w:szCs w:val="28"/>
          <w:lang w:val="en-US" w:eastAsia="zh-CN"/>
        </w:rPr>
        <w:t>51.本文件中的“以上”、“以下”、“以内”、“届满”，包括本数；所称的“不满”“不足”、“超过”、“以外”，不包括本数。</w:t>
      </w:r>
    </w:p>
    <w:p w14:paraId="66EB837F">
      <w:pPr>
        <w:pStyle w:val="2"/>
        <w:spacing w:before="0" w:after="0" w:line="240" w:lineRule="auto"/>
        <w:jc w:val="center"/>
        <w:rPr>
          <w:rFonts w:hint="default" w:ascii="Times New Roman" w:hAnsi="Times New Roman" w:eastAsia="宋体" w:cs="Times New Roman"/>
          <w:color w:val="auto"/>
          <w:sz w:val="36"/>
          <w:szCs w:val="36"/>
          <w:lang w:val="en-US" w:eastAsia="zh-CN"/>
        </w:rPr>
      </w:pPr>
      <w:r>
        <w:rPr>
          <w:rFonts w:hint="default" w:ascii="Times New Roman" w:hAnsi="Times New Roman" w:cs="Times New Roman"/>
          <w:color w:val="auto"/>
          <w:lang w:eastAsia="zh-CN"/>
        </w:rPr>
        <w:br w:type="page"/>
      </w:r>
      <w:bookmarkEnd w:id="149"/>
      <w:bookmarkEnd w:id="150"/>
      <w:bookmarkEnd w:id="151"/>
      <w:bookmarkStart w:id="296" w:name="_Toc839610870"/>
      <w:bookmarkStart w:id="297" w:name="_Toc1839196008_WPSOffice_Level1"/>
      <w:bookmarkStart w:id="298" w:name="_Toc300363790"/>
      <w:bookmarkStart w:id="299" w:name="_Toc1415346380_WPSOffice_Level1"/>
      <w:bookmarkStart w:id="300" w:name="_Toc1266214712"/>
      <w:bookmarkStart w:id="301" w:name="_Toc21022630"/>
      <w:bookmarkStart w:id="302" w:name="_Toc764191523_WPSOffice_Level1"/>
      <w:bookmarkStart w:id="303" w:name="_Toc26100"/>
      <w:bookmarkStart w:id="304" w:name="_Toc904602471"/>
      <w:bookmarkStart w:id="305" w:name="_Toc2024009066"/>
      <w:bookmarkStart w:id="306" w:name="_Toc63558279_WPSOffice_Level1"/>
      <w:bookmarkStart w:id="307" w:name="_Toc981831182"/>
      <w:bookmarkStart w:id="308" w:name="_Toc140667688"/>
      <w:bookmarkStart w:id="309" w:name="_Toc308141697"/>
      <w:bookmarkStart w:id="310" w:name="_Toc237350522_WPSOffice_Level1"/>
      <w:bookmarkStart w:id="311" w:name="_Toc1589952972_WPSOffice_Level1"/>
      <w:bookmarkStart w:id="312" w:name="_Toc1034668100"/>
      <w:bookmarkStart w:id="313" w:name="_Toc335147862_WPSOffice_Level1"/>
      <w:bookmarkStart w:id="314" w:name="_Toc2100027940"/>
      <w:bookmarkStart w:id="315" w:name="_Toc476316221"/>
      <w:bookmarkStart w:id="316" w:name="_Toc1340807913"/>
      <w:bookmarkStart w:id="317" w:name="_Toc310774132_WPSOffice_Level1"/>
      <w:bookmarkStart w:id="318" w:name="_Toc1644299675"/>
      <w:r>
        <w:rPr>
          <w:rFonts w:hint="default" w:ascii="Times New Roman" w:hAnsi="Times New Roman" w:eastAsia="宋体" w:cs="Times New Roman"/>
          <w:color w:val="auto"/>
          <w:sz w:val="36"/>
          <w:szCs w:val="36"/>
          <w:lang w:val="en-US" w:eastAsia="zh-CN"/>
        </w:rPr>
        <w:t xml:space="preserve">第四章 </w:t>
      </w:r>
      <w:r>
        <w:rPr>
          <w:rFonts w:hint="default" w:ascii="Times New Roman" w:hAnsi="Times New Roman" w:eastAsia="宋体" w:cs="Times New Roman"/>
          <w:color w:val="auto"/>
          <w:sz w:val="36"/>
          <w:szCs w:val="36"/>
          <w:lang w:eastAsia="zh-CN"/>
        </w:rPr>
        <w:t>资格证明文件格式</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141493F3">
      <w:pPr>
        <w:tabs>
          <w:tab w:val="left" w:pos="1950"/>
        </w:tabs>
        <w:jc w:val="center"/>
        <w:rPr>
          <w:rFonts w:hint="default" w:ascii="Times New Roman" w:hAnsi="Times New Roman" w:eastAsia="宋体" w:cs="Times New Roman"/>
          <w:b/>
          <w:bCs/>
          <w:color w:val="auto"/>
          <w:sz w:val="60"/>
          <w:szCs w:val="60"/>
          <w:lang w:val="en" w:eastAsia="zh-CN"/>
        </w:rPr>
      </w:pPr>
    </w:p>
    <w:p w14:paraId="168E8AAD">
      <w:pPr>
        <w:tabs>
          <w:tab w:val="left" w:pos="1950"/>
        </w:tabs>
        <w:jc w:val="center"/>
        <w:rPr>
          <w:rFonts w:hint="default" w:ascii="Times New Roman" w:hAnsi="Times New Roman" w:eastAsia="宋体" w:cs="Times New Roman"/>
          <w:b/>
          <w:bCs/>
          <w:color w:val="auto"/>
          <w:sz w:val="72"/>
          <w:szCs w:val="72"/>
          <w:lang w:val="en-US" w:eastAsia="zh-CN"/>
        </w:rPr>
      </w:pPr>
      <w:r>
        <w:rPr>
          <w:rFonts w:hint="default" w:ascii="Times New Roman" w:hAnsi="Times New Roman" w:eastAsia="宋体" w:cs="Times New Roman"/>
          <w:b/>
          <w:bCs/>
          <w:color w:val="auto"/>
          <w:sz w:val="60"/>
          <w:szCs w:val="60"/>
          <w:lang w:val="en" w:eastAsia="zh-CN"/>
        </w:rPr>
        <w:t>河南工业和信息化职业学院2025年-2028年物业服务项目</w:t>
      </w:r>
      <w:r>
        <w:rPr>
          <w:rFonts w:hint="default" w:ascii="Times New Roman" w:hAnsi="Times New Roman" w:eastAsia="宋体" w:cs="Times New Roman"/>
          <w:b/>
          <w:bCs/>
          <w:color w:val="auto"/>
          <w:sz w:val="72"/>
          <w:szCs w:val="72"/>
          <w:lang w:val="en-US" w:eastAsia="zh-CN"/>
        </w:rPr>
        <w:t xml:space="preserve"> </w:t>
      </w:r>
    </w:p>
    <w:p w14:paraId="3E4BC1C1">
      <w:pPr>
        <w:tabs>
          <w:tab w:val="left" w:pos="1950"/>
        </w:tabs>
        <w:jc w:val="left"/>
        <w:rPr>
          <w:rFonts w:hint="default" w:ascii="Times New Roman" w:hAnsi="Times New Roman" w:eastAsia="宋体" w:cs="Times New Roman"/>
          <w:b/>
          <w:bCs/>
          <w:color w:val="auto"/>
          <w:lang w:val="en-US" w:eastAsia="zh-CN"/>
        </w:rPr>
      </w:pPr>
    </w:p>
    <w:p w14:paraId="1E8B63D4">
      <w:pPr>
        <w:tabs>
          <w:tab w:val="left" w:pos="1950"/>
        </w:tabs>
        <w:jc w:val="left"/>
        <w:rPr>
          <w:rFonts w:hint="default" w:ascii="Times New Roman" w:hAnsi="Times New Roman" w:eastAsia="宋体" w:cs="Times New Roman"/>
          <w:b/>
          <w:bCs/>
          <w:color w:val="auto"/>
          <w:lang w:val="en-US" w:eastAsia="zh-CN"/>
        </w:rPr>
      </w:pPr>
    </w:p>
    <w:p w14:paraId="3AC8A37F">
      <w:pPr>
        <w:tabs>
          <w:tab w:val="left" w:pos="1950"/>
        </w:tabs>
        <w:jc w:val="left"/>
        <w:rPr>
          <w:rFonts w:hint="default" w:ascii="Times New Roman" w:hAnsi="Times New Roman" w:eastAsia="宋体" w:cs="Times New Roman"/>
          <w:b/>
          <w:bCs/>
          <w:color w:val="auto"/>
          <w:lang w:val="en-US" w:eastAsia="zh-CN"/>
        </w:rPr>
      </w:pPr>
    </w:p>
    <w:p w14:paraId="61FC8D35">
      <w:pPr>
        <w:tabs>
          <w:tab w:val="left" w:pos="1950"/>
        </w:tabs>
        <w:jc w:val="left"/>
        <w:rPr>
          <w:rFonts w:hint="default" w:ascii="Times New Roman" w:hAnsi="Times New Roman" w:eastAsia="宋体" w:cs="Times New Roman"/>
          <w:b/>
          <w:bCs/>
          <w:color w:val="auto"/>
          <w:lang w:val="en-US" w:eastAsia="zh-CN"/>
        </w:rPr>
      </w:pPr>
    </w:p>
    <w:p w14:paraId="58FC6329">
      <w:pPr>
        <w:tabs>
          <w:tab w:val="left" w:pos="1950"/>
        </w:tabs>
        <w:jc w:val="left"/>
        <w:rPr>
          <w:rFonts w:hint="default" w:ascii="Times New Roman" w:hAnsi="Times New Roman" w:eastAsia="宋体" w:cs="Times New Roman"/>
          <w:b/>
          <w:bCs/>
          <w:color w:val="auto"/>
          <w:lang w:val="en-US" w:eastAsia="zh-CN"/>
        </w:rPr>
      </w:pPr>
    </w:p>
    <w:p w14:paraId="4513A415">
      <w:pPr>
        <w:tabs>
          <w:tab w:val="left" w:pos="1950"/>
        </w:tabs>
        <w:jc w:val="left"/>
        <w:rPr>
          <w:rFonts w:hint="default" w:ascii="Times New Roman" w:hAnsi="Times New Roman" w:eastAsia="宋体" w:cs="Times New Roman"/>
          <w:b/>
          <w:bCs/>
          <w:color w:val="auto"/>
          <w:lang w:val="en-US" w:eastAsia="zh-CN"/>
        </w:rPr>
      </w:pPr>
    </w:p>
    <w:p w14:paraId="4750ABC2">
      <w:pPr>
        <w:jc w:val="center"/>
        <w:rPr>
          <w:rFonts w:hint="default" w:ascii="Times New Roman" w:hAnsi="Times New Roman" w:eastAsia="宋体" w:cs="Times New Roman"/>
          <w:b/>
          <w:bCs/>
          <w:color w:val="auto"/>
          <w:sz w:val="96"/>
          <w:szCs w:val="96"/>
          <w:lang w:eastAsia="zh-CN"/>
        </w:rPr>
      </w:pPr>
      <w:bookmarkStart w:id="319" w:name="_Toc338411508_WPSOffice_Level3"/>
      <w:r>
        <w:rPr>
          <w:rFonts w:hint="default" w:ascii="Times New Roman" w:hAnsi="Times New Roman" w:eastAsia="宋体" w:cs="Times New Roman"/>
          <w:b/>
          <w:color w:val="auto"/>
          <w:sz w:val="96"/>
          <w:szCs w:val="96"/>
          <w:lang w:eastAsia="zh-CN"/>
        </w:rPr>
        <w:t>资格证明文件</w:t>
      </w:r>
      <w:bookmarkEnd w:id="319"/>
    </w:p>
    <w:p w14:paraId="74921A44">
      <w:pPr>
        <w:widowControl w:val="0"/>
        <w:tabs>
          <w:tab w:val="left" w:pos="1950"/>
        </w:tabs>
        <w:jc w:val="center"/>
        <w:rPr>
          <w:rFonts w:hint="default" w:ascii="Times New Roman" w:hAnsi="Times New Roman" w:eastAsia="宋体" w:cs="Times New Roman"/>
          <w:b/>
          <w:color w:val="auto"/>
          <w:sz w:val="36"/>
          <w:szCs w:val="36"/>
          <w:lang w:eastAsia="zh-CN"/>
        </w:rPr>
      </w:pPr>
    </w:p>
    <w:p w14:paraId="2FD449DF">
      <w:pPr>
        <w:widowControl w:val="0"/>
        <w:tabs>
          <w:tab w:val="left" w:pos="1950"/>
        </w:tabs>
        <w:jc w:val="center"/>
        <w:rPr>
          <w:rFonts w:hint="default" w:ascii="Times New Roman" w:hAnsi="Times New Roman" w:eastAsia="宋体" w:cs="Times New Roman"/>
          <w:b/>
          <w:color w:val="auto"/>
          <w:spacing w:val="20"/>
          <w:w w:val="150"/>
          <w:sz w:val="36"/>
          <w:szCs w:val="52"/>
          <w:lang w:val="en" w:eastAsia="zh-CN"/>
        </w:rPr>
      </w:pPr>
      <w:r>
        <w:rPr>
          <w:rFonts w:hint="default" w:ascii="Times New Roman" w:hAnsi="Times New Roman" w:eastAsia="宋体" w:cs="Times New Roman"/>
          <w:b/>
          <w:color w:val="auto"/>
          <w:sz w:val="36"/>
          <w:szCs w:val="36"/>
          <w:lang w:eastAsia="zh-CN"/>
        </w:rPr>
        <w:t>采购编号：</w:t>
      </w:r>
      <w:r>
        <w:rPr>
          <w:rFonts w:hint="default" w:ascii="Times New Roman" w:hAnsi="Times New Roman" w:eastAsia="宋体" w:cs="Times New Roman"/>
          <w:b/>
          <w:color w:val="auto"/>
          <w:sz w:val="36"/>
          <w:szCs w:val="36"/>
          <w:lang w:val="en" w:eastAsia="zh-CN"/>
        </w:rPr>
        <w:t>豫财招标采购-2025-791</w:t>
      </w:r>
    </w:p>
    <w:p w14:paraId="03A2D643">
      <w:pPr>
        <w:widowControl w:val="0"/>
        <w:spacing w:line="360" w:lineRule="auto"/>
        <w:ind w:left="1080" w:leftChars="257" w:hanging="540"/>
        <w:rPr>
          <w:rFonts w:hint="default" w:ascii="Times New Roman" w:hAnsi="Times New Roman" w:eastAsia="宋体" w:cs="Times New Roman"/>
          <w:b/>
          <w:color w:val="auto"/>
          <w:sz w:val="28"/>
          <w:szCs w:val="24"/>
          <w:lang w:val="en-US" w:eastAsia="zh-CN"/>
        </w:rPr>
      </w:pPr>
    </w:p>
    <w:p w14:paraId="6DEBC390">
      <w:pPr>
        <w:widowControl w:val="0"/>
        <w:spacing w:line="360" w:lineRule="auto"/>
        <w:ind w:left="1080" w:leftChars="257" w:hanging="540"/>
        <w:rPr>
          <w:rFonts w:hint="default" w:ascii="Times New Roman" w:hAnsi="Times New Roman" w:eastAsia="宋体" w:cs="Times New Roman"/>
          <w:b/>
          <w:color w:val="auto"/>
          <w:sz w:val="28"/>
          <w:szCs w:val="24"/>
          <w:lang w:val="en-US" w:eastAsia="zh-CN"/>
        </w:rPr>
      </w:pPr>
    </w:p>
    <w:p w14:paraId="249DD9C1">
      <w:pPr>
        <w:widowControl w:val="0"/>
        <w:spacing w:line="360" w:lineRule="auto"/>
        <w:rPr>
          <w:rFonts w:hint="default" w:ascii="Times New Roman" w:hAnsi="Times New Roman" w:eastAsia="宋体" w:cs="Times New Roman"/>
          <w:b/>
          <w:color w:val="auto"/>
          <w:sz w:val="52"/>
          <w:szCs w:val="24"/>
          <w:lang w:val="en-US" w:eastAsia="zh-CN"/>
        </w:rPr>
      </w:pPr>
    </w:p>
    <w:p w14:paraId="541D83DA">
      <w:pPr>
        <w:widowControl w:val="0"/>
        <w:autoSpaceDE w:val="0"/>
        <w:autoSpaceDN w:val="0"/>
        <w:adjustRightInd w:val="0"/>
        <w:ind w:firstLine="1084" w:firstLineChars="300"/>
        <w:rPr>
          <w:rFonts w:hint="default" w:ascii="Times New Roman" w:hAnsi="Times New Roman" w:eastAsia="宋体" w:cs="Times New Roman"/>
          <w:b/>
          <w:color w:val="auto"/>
          <w:sz w:val="36"/>
          <w:szCs w:val="36"/>
          <w:lang w:val="en-US" w:eastAsia="zh-CN"/>
        </w:rPr>
      </w:pPr>
      <w:r>
        <w:rPr>
          <w:rFonts w:hint="default" w:ascii="Times New Roman" w:hAnsi="Times New Roman" w:eastAsia="宋体" w:cs="Times New Roman"/>
          <w:b/>
          <w:color w:val="auto"/>
          <w:sz w:val="36"/>
          <w:szCs w:val="36"/>
          <w:lang w:val="en-US" w:eastAsia="zh-CN"/>
        </w:rPr>
        <w:t>投标人（企业电子签章）：</w:t>
      </w:r>
    </w:p>
    <w:p w14:paraId="4360E1CE">
      <w:pPr>
        <w:pStyle w:val="166"/>
        <w:ind w:firstLine="0"/>
        <w:rPr>
          <w:rFonts w:hint="default" w:ascii="Times New Roman" w:hAnsi="Times New Roman" w:eastAsia="宋体" w:cs="Times New Roman"/>
          <w:color w:val="auto"/>
          <w:sz w:val="36"/>
          <w:szCs w:val="36"/>
          <w:lang w:val="en-US" w:eastAsia="zh-CN"/>
        </w:rPr>
      </w:pPr>
    </w:p>
    <w:p w14:paraId="3D651CE8">
      <w:pPr>
        <w:pStyle w:val="166"/>
        <w:ind w:firstLine="0"/>
        <w:rPr>
          <w:rFonts w:hint="default" w:ascii="Times New Roman" w:hAnsi="Times New Roman" w:eastAsia="宋体" w:cs="Times New Roman"/>
          <w:color w:val="auto"/>
          <w:lang w:eastAsia="zh-CN"/>
        </w:rPr>
      </w:pPr>
    </w:p>
    <w:p w14:paraId="1C421364">
      <w:pPr>
        <w:spacing w:line="360" w:lineRule="auto"/>
        <w:ind w:left="708"/>
        <w:jc w:val="center"/>
        <w:rPr>
          <w:rFonts w:hint="default" w:ascii="Times New Roman" w:hAnsi="Times New Roman" w:eastAsia="仿宋_GB2312" w:cs="Times New Roman"/>
          <w:color w:val="auto"/>
          <w:sz w:val="28"/>
          <w:szCs w:val="28"/>
          <w:lang w:val="en-US" w:eastAsia="zh-CN"/>
        </w:rPr>
      </w:pPr>
    </w:p>
    <w:p w14:paraId="1989B6CF">
      <w:pPr>
        <w:tabs>
          <w:tab w:val="left" w:pos="5580"/>
        </w:tabs>
        <w:spacing w:line="360" w:lineRule="auto"/>
        <w:ind w:firstLine="480"/>
        <w:rPr>
          <w:rFonts w:hint="default" w:ascii="Times New Roman" w:hAnsi="Times New Roman" w:eastAsia="仿宋_GB2312" w:cs="Times New Roman"/>
          <w:color w:val="auto"/>
          <w:sz w:val="28"/>
          <w:szCs w:val="28"/>
          <w:lang w:val="en-US" w:eastAsia="zh-CN"/>
        </w:rPr>
      </w:pPr>
      <w:bookmarkStart w:id="320" w:name="_Toc1004915804_WPSOffice_Level3"/>
      <w:bookmarkStart w:id="321" w:name="_Toc32436634_WPSOffice_Level3"/>
    </w:p>
    <w:p w14:paraId="49C545E1">
      <w:pPr>
        <w:jc w:val="center"/>
        <w:rPr>
          <w:rFonts w:hint="default" w:ascii="Times New Roman" w:hAnsi="Times New Roman" w:eastAsia="仿宋_GB2312" w:cs="Times New Roman"/>
          <w:b/>
          <w:bCs/>
          <w:color w:val="auto"/>
          <w:sz w:val="36"/>
          <w:szCs w:val="36"/>
          <w:lang w:val="en-US" w:eastAsia="zh-CN"/>
        </w:rPr>
      </w:pPr>
      <w:r>
        <w:rPr>
          <w:rFonts w:hint="default" w:ascii="Times New Roman" w:hAnsi="Times New Roman" w:eastAsia="仿宋_GB2312" w:cs="Times New Roman"/>
          <w:b/>
          <w:bCs/>
          <w:color w:val="auto"/>
          <w:sz w:val="36"/>
          <w:szCs w:val="36"/>
          <w:lang w:val="en-US" w:eastAsia="zh-CN"/>
        </w:rPr>
        <w:br w:type="page"/>
      </w:r>
      <w:r>
        <w:rPr>
          <w:rFonts w:hint="default" w:ascii="Times New Roman" w:hAnsi="Times New Roman" w:eastAsia="仿宋_GB2312" w:cs="Times New Roman"/>
          <w:b/>
          <w:bCs/>
          <w:color w:val="auto"/>
          <w:sz w:val="36"/>
          <w:szCs w:val="36"/>
          <w:lang w:val="en-US" w:eastAsia="zh-CN"/>
        </w:rPr>
        <w:t>目 录</w:t>
      </w:r>
    </w:p>
    <w:p w14:paraId="3C38A8CE">
      <w:pPr>
        <w:tabs>
          <w:tab w:val="left" w:pos="5580"/>
        </w:tabs>
        <w:spacing w:line="360" w:lineRule="auto"/>
        <w:ind w:firstLine="480"/>
        <w:rPr>
          <w:rFonts w:hint="default" w:ascii="Times New Roman" w:hAnsi="Times New Roman" w:eastAsia="仿宋_GB2312" w:cs="Times New Roman"/>
          <w:color w:val="auto"/>
          <w:sz w:val="28"/>
          <w:szCs w:val="28"/>
          <w:lang w:val="en-US" w:eastAsia="zh-CN"/>
        </w:rPr>
      </w:pPr>
    </w:p>
    <w:p w14:paraId="541AA42D">
      <w:pPr>
        <w:tabs>
          <w:tab w:val="left" w:pos="5580"/>
        </w:tabs>
        <w:spacing w:line="360" w:lineRule="auto"/>
        <w:ind w:firstLine="480"/>
        <w:rPr>
          <w:rFonts w:hint="default" w:ascii="Times New Roman" w:hAnsi="Times New Roman" w:eastAsia="仿宋_GB2312" w:cs="Times New Roman"/>
          <w:b/>
          <w:bCs/>
          <w:color w:val="auto"/>
          <w:sz w:val="28"/>
          <w:szCs w:val="28"/>
          <w:lang w:eastAsia="zh-CN"/>
        </w:rPr>
      </w:pPr>
      <w:bookmarkStart w:id="322" w:name="_Toc561764264_WPSOffice_Level2"/>
      <w:r>
        <w:rPr>
          <w:rFonts w:hint="default" w:ascii="Times New Roman" w:hAnsi="Times New Roman" w:eastAsia="仿宋_GB2312" w:cs="Times New Roman"/>
          <w:color w:val="auto"/>
          <w:sz w:val="28"/>
          <w:szCs w:val="28"/>
          <w:lang w:val="en-US" w:eastAsia="zh-CN"/>
        </w:rPr>
        <w:t>一、</w:t>
      </w:r>
      <w:bookmarkEnd w:id="320"/>
      <w:bookmarkEnd w:id="321"/>
      <w:r>
        <w:rPr>
          <w:rFonts w:hint="default" w:ascii="Times New Roman" w:hAnsi="Times New Roman" w:eastAsia="仿宋_GB2312" w:cs="Times New Roman"/>
          <w:color w:val="auto"/>
          <w:kern w:val="0"/>
          <w:sz w:val="28"/>
          <w:szCs w:val="28"/>
          <w:lang w:eastAsia="zh-CN"/>
        </w:rPr>
        <w:t>法人或者其他组织的营业执照等证明文件或自然人的身份证明</w:t>
      </w:r>
      <w:bookmarkEnd w:id="322"/>
    </w:p>
    <w:p w14:paraId="3103A3DC">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323" w:name="_Toc317745705_WPSOffice_Level2"/>
      <w:bookmarkStart w:id="324" w:name="_Toc371659587_WPSOffice_Level3"/>
      <w:bookmarkStart w:id="325" w:name="_Toc835682095_WPSOffice_Level3"/>
      <w:r>
        <w:rPr>
          <w:rFonts w:hint="default" w:ascii="Times New Roman" w:hAnsi="Times New Roman" w:eastAsia="仿宋_GB2312" w:cs="Times New Roman"/>
          <w:color w:val="auto"/>
          <w:kern w:val="0"/>
          <w:sz w:val="28"/>
          <w:szCs w:val="28"/>
          <w:lang w:val="en-US" w:eastAsia="zh-CN"/>
        </w:rPr>
        <w:t>二、</w:t>
      </w:r>
      <w:r>
        <w:rPr>
          <w:rFonts w:hint="default" w:ascii="Times New Roman" w:hAnsi="Times New Roman" w:eastAsia="仿宋_GB2312" w:cs="Times New Roman"/>
          <w:color w:val="auto"/>
          <w:kern w:val="0"/>
          <w:sz w:val="28"/>
          <w:szCs w:val="28"/>
          <w:lang w:eastAsia="zh-CN"/>
        </w:rPr>
        <w:t>具有良好的商业信誉和健全的财务会计制度</w:t>
      </w:r>
      <w:bookmarkEnd w:id="323"/>
      <w:bookmarkEnd w:id="324"/>
      <w:bookmarkEnd w:id="325"/>
    </w:p>
    <w:p w14:paraId="34D33C79">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326" w:name="_Toc294801548_WPSOffice_Level2"/>
      <w:bookmarkStart w:id="327" w:name="_Toc1104501183_WPSOffice_Level3"/>
      <w:bookmarkStart w:id="328" w:name="_Toc1150235750_WPSOffice_Level3"/>
      <w:r>
        <w:rPr>
          <w:rFonts w:hint="default" w:ascii="Times New Roman" w:hAnsi="Times New Roman" w:eastAsia="仿宋_GB2312" w:cs="Times New Roman"/>
          <w:color w:val="auto"/>
          <w:kern w:val="0"/>
          <w:sz w:val="28"/>
          <w:szCs w:val="28"/>
          <w:lang w:val="en-US" w:eastAsia="zh-CN"/>
        </w:rPr>
        <w:t>三、</w:t>
      </w:r>
      <w:r>
        <w:rPr>
          <w:rFonts w:hint="default" w:ascii="Times New Roman" w:hAnsi="Times New Roman" w:eastAsia="仿宋_GB2312" w:cs="Times New Roman"/>
          <w:color w:val="auto"/>
          <w:kern w:val="0"/>
          <w:sz w:val="28"/>
          <w:szCs w:val="28"/>
          <w:lang w:eastAsia="zh-CN"/>
        </w:rPr>
        <w:t>依法缴纳税收和社会保障资金的良好记录</w:t>
      </w:r>
      <w:bookmarkEnd w:id="326"/>
      <w:bookmarkEnd w:id="327"/>
      <w:bookmarkEnd w:id="328"/>
    </w:p>
    <w:p w14:paraId="626ECBD2">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329" w:name="_Toc765241243_WPSOffice_Level3"/>
      <w:bookmarkStart w:id="330" w:name="_Toc749118665_WPSOffice_Level2"/>
      <w:bookmarkStart w:id="331" w:name="_Toc568308316_WPSOffice_Level3"/>
      <w:bookmarkStart w:id="332" w:name="_Toc2065680076_WPSOffice_Level3"/>
      <w:bookmarkStart w:id="333" w:name="_Toc281235268_WPSOffice_Level3"/>
      <w:r>
        <w:rPr>
          <w:rFonts w:hint="default" w:ascii="Times New Roman" w:hAnsi="Times New Roman" w:eastAsia="仿宋_GB2312" w:cs="Times New Roman"/>
          <w:color w:val="auto"/>
          <w:kern w:val="0"/>
          <w:sz w:val="28"/>
          <w:szCs w:val="28"/>
          <w:lang w:val="en-US" w:eastAsia="zh-CN"/>
        </w:rPr>
        <w:t>四、</w:t>
      </w:r>
      <w:r>
        <w:rPr>
          <w:rFonts w:hint="default" w:ascii="Times New Roman" w:hAnsi="Times New Roman" w:eastAsia="仿宋_GB2312" w:cs="Times New Roman"/>
          <w:color w:val="auto"/>
          <w:kern w:val="0"/>
          <w:sz w:val="28"/>
          <w:szCs w:val="28"/>
          <w:lang w:eastAsia="zh-CN"/>
        </w:rPr>
        <w:t>具有履行合同所必需的设备和专业技术能力</w:t>
      </w:r>
      <w:bookmarkEnd w:id="329"/>
      <w:bookmarkEnd w:id="330"/>
      <w:bookmarkEnd w:id="331"/>
    </w:p>
    <w:p w14:paraId="46B923E8">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334" w:name="_Toc865995009_WPSOffice_Level2"/>
      <w:r>
        <w:rPr>
          <w:rFonts w:hint="default" w:ascii="Times New Roman" w:hAnsi="Times New Roman" w:eastAsia="仿宋_GB2312" w:cs="Times New Roman"/>
          <w:color w:val="auto"/>
          <w:kern w:val="0"/>
          <w:sz w:val="28"/>
          <w:szCs w:val="28"/>
          <w:lang w:val="en-US" w:eastAsia="zh-CN"/>
        </w:rPr>
        <w:t>五、</w:t>
      </w:r>
      <w:r>
        <w:rPr>
          <w:rFonts w:hint="default" w:ascii="Times New Roman" w:hAnsi="Times New Roman" w:eastAsia="仿宋_GB2312" w:cs="Times New Roman"/>
          <w:color w:val="auto"/>
          <w:kern w:val="0"/>
          <w:sz w:val="28"/>
          <w:szCs w:val="28"/>
          <w:lang w:eastAsia="zh-CN"/>
        </w:rPr>
        <w:t>参加政府采购活动前</w:t>
      </w:r>
      <w:r>
        <w:rPr>
          <w:rFonts w:hint="default" w:ascii="Times New Roman" w:hAnsi="Times New Roman" w:eastAsia="仿宋_GB2312" w:cs="Times New Roman"/>
          <w:color w:val="auto"/>
          <w:kern w:val="0"/>
          <w:sz w:val="28"/>
          <w:szCs w:val="28"/>
          <w:lang w:val="en-US" w:eastAsia="zh-CN"/>
        </w:rPr>
        <w:t>3</w:t>
      </w:r>
      <w:r>
        <w:rPr>
          <w:rFonts w:hint="default" w:ascii="Times New Roman" w:hAnsi="Times New Roman" w:eastAsia="仿宋_GB2312" w:cs="Times New Roman"/>
          <w:color w:val="auto"/>
          <w:kern w:val="0"/>
          <w:sz w:val="28"/>
          <w:szCs w:val="28"/>
          <w:lang w:eastAsia="zh-CN"/>
        </w:rPr>
        <w:t>年内在经营活动中没有重大违法记录的</w:t>
      </w:r>
      <w:bookmarkEnd w:id="332"/>
      <w:bookmarkEnd w:id="333"/>
      <w:r>
        <w:rPr>
          <w:rFonts w:hint="default" w:ascii="Times New Roman" w:hAnsi="Times New Roman" w:eastAsia="仿宋_GB2312" w:cs="Times New Roman"/>
          <w:color w:val="auto"/>
          <w:kern w:val="0"/>
          <w:sz w:val="28"/>
          <w:szCs w:val="28"/>
          <w:lang w:eastAsia="zh-CN"/>
        </w:rPr>
        <w:t>声明</w:t>
      </w:r>
      <w:bookmarkEnd w:id="334"/>
    </w:p>
    <w:p w14:paraId="52AEA2F9">
      <w:pPr>
        <w:tabs>
          <w:tab w:val="left" w:pos="5580"/>
        </w:tabs>
        <w:spacing w:line="360" w:lineRule="auto"/>
        <w:ind w:firstLine="480"/>
        <w:rPr>
          <w:rFonts w:hint="default" w:ascii="Times New Roman" w:hAnsi="Times New Roman" w:eastAsia="仿宋_GB2312" w:cs="Times New Roman"/>
          <w:color w:val="auto"/>
          <w:kern w:val="0"/>
          <w:sz w:val="28"/>
          <w:szCs w:val="28"/>
          <w:lang w:val="en-US" w:eastAsia="zh-CN"/>
        </w:rPr>
      </w:pPr>
      <w:bookmarkStart w:id="335" w:name="_Toc2005223374_WPSOffice_Level3"/>
      <w:bookmarkStart w:id="336" w:name="_Toc1395634740_WPSOffice_Level2"/>
      <w:bookmarkStart w:id="337" w:name="_Toc141596040_WPSOffice_Level3"/>
      <w:r>
        <w:rPr>
          <w:rFonts w:hint="default" w:ascii="Times New Roman" w:hAnsi="Times New Roman" w:eastAsia="仿宋_GB2312" w:cs="Times New Roman"/>
          <w:color w:val="auto"/>
          <w:kern w:val="0"/>
          <w:sz w:val="28"/>
          <w:szCs w:val="28"/>
          <w:lang w:val="en-US" w:eastAsia="zh-CN"/>
        </w:rPr>
        <w:t>六、投标人关联单位的说明</w:t>
      </w:r>
    </w:p>
    <w:p w14:paraId="65633EE0">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七、</w:t>
      </w:r>
      <w:r>
        <w:rPr>
          <w:rFonts w:hint="default" w:ascii="Times New Roman" w:hAnsi="Times New Roman" w:eastAsia="仿宋_GB2312" w:cs="Times New Roman"/>
          <w:color w:val="auto"/>
          <w:kern w:val="0"/>
          <w:sz w:val="28"/>
          <w:szCs w:val="28"/>
          <w:lang w:eastAsia="zh-CN"/>
        </w:rPr>
        <w:t>其他资格证明文件</w:t>
      </w:r>
      <w:bookmarkEnd w:id="335"/>
      <w:bookmarkEnd w:id="336"/>
      <w:bookmarkEnd w:id="337"/>
    </w:p>
    <w:p w14:paraId="5EC090BB">
      <w:pPr>
        <w:tabs>
          <w:tab w:val="left" w:pos="5580"/>
        </w:tabs>
        <w:spacing w:line="360" w:lineRule="auto"/>
        <w:ind w:left="1" w:firstLine="564"/>
        <w:rPr>
          <w:rFonts w:hint="default" w:ascii="Times New Roman" w:hAnsi="Times New Roman" w:eastAsia="仿宋_GB2312" w:cs="Times New Roman"/>
          <w:color w:val="auto"/>
          <w:sz w:val="28"/>
          <w:szCs w:val="28"/>
          <w:lang w:val="en-US" w:eastAsia="zh-CN"/>
        </w:rPr>
      </w:pPr>
    </w:p>
    <w:p w14:paraId="385149B6">
      <w:pPr>
        <w:tabs>
          <w:tab w:val="left" w:pos="5580"/>
        </w:tabs>
        <w:spacing w:line="360" w:lineRule="auto"/>
        <w:ind w:left="1" w:firstLine="564"/>
        <w:rPr>
          <w:rFonts w:hint="default" w:ascii="Times New Roman" w:hAnsi="Times New Roman" w:eastAsia="宋体" w:cs="Times New Roman"/>
          <w:color w:val="auto"/>
          <w:sz w:val="24"/>
          <w:szCs w:val="24"/>
          <w:lang w:val="en-US" w:eastAsia="zh-CN"/>
        </w:rPr>
      </w:pPr>
    </w:p>
    <w:p w14:paraId="2CFA31B1">
      <w:pPr>
        <w:tabs>
          <w:tab w:val="left" w:pos="5580"/>
        </w:tabs>
        <w:spacing w:line="360" w:lineRule="auto"/>
        <w:ind w:left="1" w:firstLine="564"/>
        <w:rPr>
          <w:rFonts w:hint="default" w:ascii="Times New Roman" w:hAnsi="Times New Roman" w:eastAsia="宋体" w:cs="Times New Roman"/>
          <w:color w:val="auto"/>
          <w:sz w:val="24"/>
          <w:szCs w:val="24"/>
          <w:lang w:val="en-US" w:eastAsia="zh-CN"/>
        </w:rPr>
      </w:pPr>
    </w:p>
    <w:p w14:paraId="11DDE329">
      <w:pPr>
        <w:tabs>
          <w:tab w:val="left" w:pos="5580"/>
        </w:tabs>
        <w:spacing w:line="360" w:lineRule="auto"/>
        <w:ind w:left="1" w:firstLine="658"/>
        <w:rPr>
          <w:rFonts w:hint="default" w:ascii="Times New Roman" w:hAnsi="Times New Roman" w:eastAsia="宋体" w:cs="Times New Roman"/>
          <w:color w:val="auto"/>
          <w:sz w:val="28"/>
          <w:szCs w:val="28"/>
          <w:lang w:val="en-US" w:eastAsia="zh-CN"/>
        </w:rPr>
      </w:pPr>
    </w:p>
    <w:p w14:paraId="0556BAD7">
      <w:pPr>
        <w:tabs>
          <w:tab w:val="left" w:pos="5580"/>
        </w:tabs>
        <w:spacing w:line="360" w:lineRule="auto"/>
        <w:ind w:left="1" w:firstLine="658"/>
        <w:rPr>
          <w:rFonts w:hint="default" w:ascii="Times New Roman" w:hAnsi="Times New Roman" w:eastAsia="宋体" w:cs="Times New Roman"/>
          <w:color w:val="auto"/>
          <w:sz w:val="28"/>
          <w:szCs w:val="28"/>
          <w:lang w:val="en-US" w:eastAsia="zh-CN"/>
        </w:rPr>
      </w:pPr>
    </w:p>
    <w:p w14:paraId="2A19D977">
      <w:pPr>
        <w:tabs>
          <w:tab w:val="left" w:pos="5580"/>
        </w:tabs>
        <w:spacing w:line="360" w:lineRule="auto"/>
        <w:ind w:left="1" w:firstLine="658"/>
        <w:rPr>
          <w:rFonts w:hint="default" w:ascii="Times New Roman" w:hAnsi="Times New Roman" w:eastAsia="宋体" w:cs="Times New Roman"/>
          <w:color w:val="auto"/>
          <w:sz w:val="28"/>
          <w:szCs w:val="28"/>
          <w:lang w:val="en-US" w:eastAsia="zh-CN"/>
        </w:rPr>
      </w:pPr>
    </w:p>
    <w:p w14:paraId="0ED77D0D">
      <w:pPr>
        <w:jc w:val="left"/>
        <w:rPr>
          <w:rFonts w:hint="default" w:ascii="Times New Roman" w:hAnsi="Times New Roman" w:eastAsia="宋体" w:cs="Times New Roman"/>
          <w:color w:val="auto"/>
          <w:sz w:val="28"/>
          <w:szCs w:val="28"/>
          <w:lang w:eastAsia="zh-CN"/>
        </w:rPr>
      </w:pPr>
      <w:bookmarkStart w:id="338" w:name="_Toc1892257381_WPSOffice_Level3"/>
      <w:bookmarkStart w:id="339" w:name="_Toc740001715"/>
      <w:bookmarkStart w:id="340" w:name="_Toc1666758381"/>
      <w:bookmarkStart w:id="341" w:name="_Toc442868323"/>
      <w:r>
        <w:rPr>
          <w:rFonts w:hint="default" w:ascii="Times New Roman" w:hAnsi="Times New Roman" w:eastAsia="黑体" w:cs="Times New Roman"/>
          <w:b/>
          <w:bCs/>
          <w:color w:val="auto"/>
          <w:sz w:val="28"/>
          <w:szCs w:val="28"/>
          <w:lang w:eastAsia="zh-CN"/>
        </w:rPr>
        <w:br w:type="page"/>
      </w:r>
      <w:bookmarkEnd w:id="338"/>
      <w:bookmarkEnd w:id="339"/>
      <w:bookmarkEnd w:id="340"/>
      <w:bookmarkEnd w:id="341"/>
    </w:p>
    <w:p w14:paraId="66A4D70A">
      <w:pPr>
        <w:keepNext/>
        <w:keepLines/>
        <w:widowControl w:val="0"/>
        <w:autoSpaceDE w:val="0"/>
        <w:autoSpaceDN w:val="0"/>
        <w:adjustRightInd w:val="0"/>
        <w:spacing w:line="360" w:lineRule="auto"/>
        <w:ind w:left="420" w:leftChars="200" w:right="420" w:rightChars="200"/>
        <w:jc w:val="center"/>
        <w:outlineLvl w:val="1"/>
        <w:rPr>
          <w:rFonts w:hint="default" w:ascii="Times New Roman" w:hAnsi="Times New Roman" w:eastAsia="方正小标宋_GBK" w:cs="Times New Roman"/>
          <w:bCs/>
          <w:color w:val="auto"/>
          <w:kern w:val="0"/>
          <w:sz w:val="30"/>
          <w:szCs w:val="30"/>
          <w:lang w:val="en-US" w:eastAsia="zh-CN"/>
        </w:rPr>
      </w:pPr>
      <w:bookmarkStart w:id="342" w:name="_Toc540046896"/>
      <w:bookmarkStart w:id="343" w:name="_Toc1480748811"/>
      <w:bookmarkStart w:id="344" w:name="_Toc1274130635"/>
      <w:bookmarkStart w:id="345" w:name="_Toc717704405"/>
      <w:bookmarkStart w:id="346" w:name="_Toc730361247"/>
      <w:bookmarkStart w:id="347" w:name="_Toc831756679"/>
      <w:bookmarkStart w:id="348" w:name="_Toc1793820901_WPSOffice_Level3"/>
      <w:bookmarkStart w:id="349" w:name="_Toc1541909372_WPSOffice_Level3"/>
      <w:bookmarkStart w:id="350" w:name="_Toc262140077"/>
      <w:bookmarkStart w:id="351" w:name="_Toc1399186289"/>
      <w:bookmarkStart w:id="352" w:name="_Toc1876865389"/>
      <w:bookmarkStart w:id="353" w:name="_Toc1950934252"/>
      <w:bookmarkStart w:id="354" w:name="_Toc1728315286_WPSOffice_Level2"/>
      <w:bookmarkStart w:id="355" w:name="_Toc1881529819"/>
      <w:r>
        <w:rPr>
          <w:rFonts w:hint="default" w:ascii="Times New Roman" w:hAnsi="Times New Roman" w:eastAsia="方正小标宋_GBK" w:cs="Times New Roman"/>
          <w:bCs/>
          <w:color w:val="auto"/>
          <w:kern w:val="0"/>
          <w:sz w:val="30"/>
          <w:szCs w:val="30"/>
          <w:lang w:val="en-US" w:eastAsia="zh-CN"/>
        </w:rPr>
        <w:t>一、</w:t>
      </w:r>
      <w:bookmarkEnd w:id="342"/>
      <w:bookmarkEnd w:id="343"/>
      <w:bookmarkEnd w:id="344"/>
      <w:bookmarkEnd w:id="345"/>
      <w:bookmarkEnd w:id="346"/>
      <w:bookmarkEnd w:id="347"/>
      <w:bookmarkEnd w:id="348"/>
      <w:bookmarkEnd w:id="349"/>
      <w:bookmarkEnd w:id="350"/>
      <w:bookmarkEnd w:id="351"/>
      <w:bookmarkEnd w:id="352"/>
      <w:bookmarkEnd w:id="353"/>
      <w:r>
        <w:rPr>
          <w:rFonts w:hint="default" w:ascii="Times New Roman" w:hAnsi="Times New Roman" w:eastAsia="方正小标宋_GBK" w:cs="Times New Roman"/>
          <w:bCs/>
          <w:color w:val="auto"/>
          <w:kern w:val="0"/>
          <w:sz w:val="30"/>
          <w:szCs w:val="30"/>
          <w:lang w:val="en-US" w:eastAsia="zh-CN"/>
        </w:rPr>
        <w:t>法人或者其他组织的营业执照等证明文件或自然人的身份证明</w:t>
      </w:r>
      <w:bookmarkEnd w:id="354"/>
      <w:bookmarkEnd w:id="355"/>
    </w:p>
    <w:p w14:paraId="4238121D">
      <w:pPr>
        <w:rPr>
          <w:rFonts w:hint="default" w:ascii="Times New Roman" w:hAnsi="Times New Roman" w:cs="Times New Roman"/>
          <w:color w:val="auto"/>
          <w:lang w:eastAsia="zh-CN"/>
        </w:rPr>
      </w:pPr>
    </w:p>
    <w:p w14:paraId="1DECF961">
      <w:pPr>
        <w:pStyle w:val="197"/>
        <w:tabs>
          <w:tab w:val="left" w:pos="5580"/>
        </w:tabs>
        <w:spacing w:line="360" w:lineRule="auto"/>
        <w:ind w:left="540" w:firstLine="480"/>
        <w:jc w:val="center"/>
        <w:rPr>
          <w:rFonts w:hint="default" w:ascii="Times New Roman" w:hAnsi="Times New Roman" w:cs="Times New Roman"/>
          <w:b/>
          <w:bCs/>
          <w:color w:val="auto"/>
          <w:sz w:val="24"/>
          <w:szCs w:val="24"/>
        </w:rPr>
      </w:pPr>
    </w:p>
    <w:p w14:paraId="06FC6E9F">
      <w:pPr>
        <w:pStyle w:val="197"/>
        <w:tabs>
          <w:tab w:val="left" w:pos="5580"/>
        </w:tabs>
        <w:spacing w:line="360" w:lineRule="auto"/>
        <w:ind w:left="540" w:firstLine="480"/>
        <w:rPr>
          <w:rFonts w:hint="default" w:ascii="Times New Roman" w:hAnsi="Times New Roman" w:cs="Times New Roman"/>
          <w:b/>
          <w:bCs/>
          <w:color w:val="auto"/>
          <w:sz w:val="24"/>
          <w:szCs w:val="24"/>
        </w:rPr>
      </w:pPr>
    </w:p>
    <w:p w14:paraId="76863417">
      <w:pPr>
        <w:pStyle w:val="197"/>
        <w:tabs>
          <w:tab w:val="left" w:pos="5580"/>
        </w:tabs>
        <w:spacing w:line="360" w:lineRule="auto"/>
        <w:ind w:left="540" w:firstLine="480"/>
        <w:rPr>
          <w:rFonts w:hint="default" w:ascii="Times New Roman" w:hAnsi="Times New Roman" w:cs="Times New Roman"/>
          <w:b/>
          <w:bCs/>
          <w:color w:val="auto"/>
          <w:sz w:val="24"/>
          <w:szCs w:val="24"/>
        </w:rPr>
      </w:pPr>
    </w:p>
    <w:p w14:paraId="3C511F94">
      <w:pPr>
        <w:pStyle w:val="197"/>
        <w:tabs>
          <w:tab w:val="left" w:pos="5580"/>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zh-TW"/>
        </w:rPr>
        <w:t>说明：</w:t>
      </w:r>
      <w:r>
        <w:rPr>
          <w:rFonts w:hint="default" w:ascii="Times New Roman" w:hAnsi="Times New Roman" w:eastAsia="仿宋_GB2312" w:cs="Times New Roman"/>
          <w:color w:val="auto"/>
          <w:sz w:val="28"/>
          <w:szCs w:val="28"/>
        </w:rPr>
        <w:t>1.</w:t>
      </w:r>
      <w:r>
        <w:rPr>
          <w:rFonts w:hint="default" w:ascii="Times New Roman" w:hAnsi="Times New Roman" w:eastAsia="仿宋_GB2312" w:cs="Times New Roman"/>
          <w:color w:val="auto"/>
          <w:sz w:val="28"/>
          <w:szCs w:val="28"/>
          <w:lang w:val="zh-TW"/>
        </w:rPr>
        <w:t>提供有效的营业执照等证明文件原件或复印件的扫描件。</w:t>
      </w:r>
    </w:p>
    <w:p w14:paraId="40246CC9">
      <w:pPr>
        <w:pStyle w:val="197"/>
        <w:tabs>
          <w:tab w:val="left" w:pos="5580"/>
        </w:tabs>
        <w:spacing w:line="360" w:lineRule="auto"/>
        <w:rPr>
          <w:rFonts w:hint="default" w:ascii="Times New Roman" w:hAnsi="Times New Roman" w:eastAsia="仿宋_GB2312" w:cs="Times New Roman"/>
          <w:color w:val="auto"/>
          <w:sz w:val="28"/>
          <w:szCs w:val="28"/>
        </w:rPr>
      </w:pPr>
      <w:bookmarkStart w:id="356" w:name="_Toc2081420463_WPSOffice_Level3"/>
      <w:bookmarkStart w:id="357" w:name="_Toc67715126_WPSOffice_Level3"/>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zh-TW"/>
        </w:rPr>
        <w:t>投标人为自然人的，应提供身份证明的</w:t>
      </w:r>
      <w:bookmarkEnd w:id="356"/>
      <w:bookmarkEnd w:id="357"/>
      <w:r>
        <w:rPr>
          <w:rFonts w:hint="default" w:ascii="Times New Roman" w:hAnsi="Times New Roman" w:eastAsia="仿宋_GB2312" w:cs="Times New Roman"/>
          <w:color w:val="auto"/>
          <w:sz w:val="28"/>
          <w:szCs w:val="28"/>
          <w:lang w:val="zh-TW"/>
        </w:rPr>
        <w:t>原件或复印件的扫描件。</w:t>
      </w:r>
    </w:p>
    <w:p w14:paraId="2C8559F9">
      <w:pPr>
        <w:pStyle w:val="197"/>
        <w:tabs>
          <w:tab w:val="left" w:pos="5580"/>
        </w:tabs>
        <w:spacing w:line="360" w:lineRule="auto"/>
        <w:rPr>
          <w:rFonts w:hint="default" w:ascii="Times New Roman" w:hAnsi="Times New Roman" w:eastAsia="仿宋_GB2312" w:cs="Times New Roman"/>
          <w:color w:val="auto"/>
          <w:sz w:val="28"/>
          <w:szCs w:val="28"/>
        </w:rPr>
      </w:pPr>
      <w:bookmarkStart w:id="358" w:name="_Toc781251951_WPSOffice_Level3"/>
      <w:bookmarkStart w:id="359" w:name="_Toc1215272460_WPSOffice_Level3"/>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zh-TW"/>
        </w:rPr>
        <w:t>联合体投标应提供联合体各方满足以上要求的证明文件。</w:t>
      </w:r>
      <w:bookmarkEnd w:id="358"/>
      <w:bookmarkEnd w:id="359"/>
    </w:p>
    <w:p w14:paraId="7255CF24">
      <w:pPr>
        <w:jc w:val="left"/>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br w:type="page"/>
      </w:r>
      <w:bookmarkStart w:id="360" w:name="_Toc1215314597"/>
      <w:bookmarkStart w:id="361" w:name="_Toc1319467764"/>
      <w:bookmarkStart w:id="362" w:name="_Toc1557063548"/>
      <w:bookmarkStart w:id="363" w:name="_Toc868984799"/>
      <w:bookmarkStart w:id="364" w:name="_Toc456633459_WPSOffice_Level3"/>
    </w:p>
    <w:p w14:paraId="686C64AE">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365" w:name="_Toc1369942731_WPSOffice_Level2"/>
      <w:bookmarkStart w:id="366" w:name="_Toc574791252"/>
      <w:bookmarkStart w:id="367" w:name="_Toc130649492"/>
      <w:bookmarkStart w:id="368" w:name="_Toc937091873"/>
      <w:bookmarkStart w:id="369" w:name="_Toc1494493586"/>
      <w:bookmarkStart w:id="370" w:name="_Toc600305591"/>
      <w:bookmarkStart w:id="371" w:name="_Toc507196550"/>
      <w:bookmarkStart w:id="372" w:name="_Toc370312851"/>
      <w:r>
        <w:rPr>
          <w:rFonts w:hint="default" w:ascii="Times New Roman" w:hAnsi="Times New Roman" w:eastAsia="方正小标宋_GBK" w:cs="Times New Roman"/>
          <w:bCs/>
          <w:color w:val="auto"/>
          <w:kern w:val="0"/>
          <w:sz w:val="30"/>
          <w:szCs w:val="30"/>
          <w:lang w:val="en-US" w:eastAsia="zh-CN"/>
        </w:rPr>
        <w:t>二、具有良好的商业信誉和健全的财务会计制度</w:t>
      </w:r>
      <w:bookmarkEnd w:id="360"/>
      <w:bookmarkEnd w:id="361"/>
      <w:bookmarkEnd w:id="362"/>
      <w:bookmarkEnd w:id="363"/>
      <w:bookmarkEnd w:id="364"/>
      <w:bookmarkEnd w:id="365"/>
      <w:bookmarkEnd w:id="366"/>
      <w:bookmarkEnd w:id="367"/>
      <w:bookmarkEnd w:id="368"/>
      <w:bookmarkEnd w:id="369"/>
      <w:bookmarkEnd w:id="370"/>
      <w:bookmarkEnd w:id="371"/>
      <w:bookmarkEnd w:id="372"/>
    </w:p>
    <w:p w14:paraId="596FD7FB">
      <w:pPr>
        <w:spacing w:line="360" w:lineRule="auto"/>
        <w:jc w:val="center"/>
        <w:rPr>
          <w:rFonts w:hint="default" w:ascii="Times New Roman" w:hAnsi="Times New Roman" w:eastAsia="宋体" w:cs="Times New Roman"/>
          <w:color w:val="auto"/>
          <w:sz w:val="28"/>
          <w:szCs w:val="28"/>
          <w:lang w:eastAsia="zh-CN"/>
        </w:rPr>
      </w:pPr>
    </w:p>
    <w:p w14:paraId="0BB2DDCD">
      <w:pPr>
        <w:rPr>
          <w:rFonts w:hint="default" w:ascii="Times New Roman" w:hAnsi="Times New Roman" w:cs="Times New Roman"/>
          <w:color w:val="auto"/>
          <w:lang w:eastAsia="zh-CN"/>
        </w:rPr>
      </w:pPr>
    </w:p>
    <w:p w14:paraId="00896EEB">
      <w:pPr>
        <w:tabs>
          <w:tab w:val="left" w:pos="5580"/>
        </w:tabs>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593592CB">
      <w:pPr>
        <w:tabs>
          <w:tab w:val="left" w:pos="3060"/>
          <w:tab w:val="left" w:pos="5580"/>
        </w:tabs>
        <w:spacing w:line="360" w:lineRule="auto"/>
        <w:ind w:left="1080" w:hanging="540"/>
        <w:rPr>
          <w:rFonts w:hint="default" w:ascii="Times New Roman" w:hAnsi="Times New Roman" w:eastAsia="宋体" w:cs="Times New Roman"/>
          <w:b/>
          <w:bCs/>
          <w:color w:val="auto"/>
          <w:sz w:val="24"/>
          <w:szCs w:val="24"/>
          <w:lang w:val="en-US" w:eastAsia="zh-CN"/>
        </w:rPr>
      </w:pPr>
    </w:p>
    <w:p w14:paraId="1185250C">
      <w:pPr>
        <w:tabs>
          <w:tab w:val="left" w:pos="5580"/>
        </w:tabs>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37DAE44B">
      <w:pPr>
        <w:tabs>
          <w:tab w:val="left" w:pos="5580"/>
        </w:tabs>
        <w:spacing w:line="360" w:lineRule="auto"/>
        <w:ind w:left="1080" w:hanging="54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说明：</w:t>
      </w:r>
    </w:p>
    <w:p w14:paraId="0C6F1BC1">
      <w:pPr>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提供投标人2024</w:t>
      </w:r>
      <w:r>
        <w:rPr>
          <w:rFonts w:hint="default" w:ascii="Times New Roman" w:hAnsi="Times New Roman" w:eastAsia="仿宋_GB2312" w:cs="Times New Roman"/>
          <w:color w:val="auto"/>
          <w:sz w:val="28"/>
          <w:szCs w:val="28"/>
          <w:lang w:val="en" w:eastAsia="zh-CN"/>
        </w:rPr>
        <w:t>年度</w:t>
      </w:r>
      <w:r>
        <w:rPr>
          <w:rFonts w:hint="default" w:ascii="Times New Roman" w:hAnsi="Times New Roman" w:eastAsia="仿宋_GB2312" w:cs="Times New Roman"/>
          <w:color w:val="auto"/>
          <w:sz w:val="28"/>
          <w:szCs w:val="28"/>
          <w:lang w:val="en-US" w:eastAsia="zh-CN"/>
        </w:rPr>
        <w:t>经审计的财务报告，要求注册会计师签字并加盖会计师印章；如截止到投标截止时间，投标人成立时间不足要求时限的，可提供银行资信证明材料。</w:t>
      </w:r>
    </w:p>
    <w:p w14:paraId="2F3EB6A6">
      <w:pPr>
        <w:pStyle w:val="3"/>
        <w:jc w:val="center"/>
        <w:rPr>
          <w:rFonts w:hint="default" w:ascii="Times New Roman" w:hAnsi="Times New Roman" w:eastAsia="方正小标宋_GBK" w:cs="Times New Roman"/>
          <w:b w:val="0"/>
          <w:color w:val="auto"/>
          <w:sz w:val="30"/>
          <w:szCs w:val="30"/>
          <w:lang w:val="en-US" w:eastAsia="zh-CN"/>
        </w:rPr>
      </w:pPr>
      <w:r>
        <w:rPr>
          <w:rFonts w:hint="default" w:ascii="Times New Roman" w:hAnsi="Times New Roman" w:cs="Times New Roman"/>
          <w:color w:val="auto"/>
          <w:sz w:val="24"/>
          <w:szCs w:val="24"/>
          <w:lang w:eastAsia="zh-CN"/>
        </w:rPr>
        <w:br w:type="page"/>
      </w:r>
      <w:bookmarkStart w:id="373" w:name="_Toc1968479748"/>
      <w:bookmarkStart w:id="374" w:name="_Toc942688044_WPSOffice_Level3"/>
      <w:bookmarkStart w:id="375" w:name="_Toc1289659840_WPSOffice_Level2"/>
      <w:bookmarkStart w:id="376" w:name="_Toc436443482"/>
      <w:bookmarkStart w:id="377" w:name="_Toc2082821673"/>
      <w:bookmarkStart w:id="378" w:name="_Toc1079740645"/>
      <w:bookmarkStart w:id="379" w:name="_Toc1033381818"/>
      <w:bookmarkStart w:id="380" w:name="_Toc968053340"/>
      <w:bookmarkStart w:id="381" w:name="_Toc1656782056"/>
      <w:bookmarkStart w:id="382" w:name="_Toc1998858666"/>
      <w:bookmarkStart w:id="383" w:name="_Toc281075866"/>
      <w:bookmarkStart w:id="384" w:name="_Toc509419906"/>
      <w:bookmarkStart w:id="385" w:name="_Toc1030212309"/>
      <w:bookmarkStart w:id="386" w:name="_Toc1125237527"/>
      <w:r>
        <w:rPr>
          <w:rFonts w:hint="default" w:ascii="Times New Roman" w:hAnsi="Times New Roman" w:eastAsia="方正小标宋_GBK" w:cs="Times New Roman"/>
          <w:b w:val="0"/>
          <w:color w:val="auto"/>
          <w:sz w:val="30"/>
          <w:szCs w:val="30"/>
          <w:lang w:val="en-US" w:eastAsia="zh-CN"/>
        </w:rPr>
        <w:t>三、依法</w:t>
      </w:r>
      <w:bookmarkEnd w:id="373"/>
      <w:r>
        <w:rPr>
          <w:rFonts w:hint="default" w:ascii="Times New Roman" w:hAnsi="Times New Roman" w:eastAsia="方正小标宋_GBK" w:cs="Times New Roman"/>
          <w:b w:val="0"/>
          <w:color w:val="auto"/>
          <w:sz w:val="30"/>
          <w:szCs w:val="30"/>
          <w:lang w:val="en-US" w:eastAsia="zh-CN"/>
        </w:rPr>
        <w:t>缴纳税收和社会保障资金的良好记录</w:t>
      </w:r>
      <w:bookmarkEnd w:id="374"/>
      <w:bookmarkEnd w:id="375"/>
      <w:bookmarkEnd w:id="376"/>
      <w:bookmarkEnd w:id="377"/>
      <w:bookmarkEnd w:id="378"/>
      <w:bookmarkEnd w:id="379"/>
      <w:bookmarkEnd w:id="380"/>
      <w:bookmarkEnd w:id="381"/>
      <w:bookmarkEnd w:id="382"/>
      <w:bookmarkEnd w:id="383"/>
      <w:bookmarkEnd w:id="384"/>
      <w:bookmarkEnd w:id="385"/>
      <w:bookmarkEnd w:id="386"/>
    </w:p>
    <w:p w14:paraId="7E465D03">
      <w:pPr>
        <w:pStyle w:val="197"/>
        <w:tabs>
          <w:tab w:val="left" w:pos="5580"/>
        </w:tabs>
        <w:spacing w:line="360" w:lineRule="auto"/>
        <w:ind w:left="1080" w:hanging="540"/>
        <w:jc w:val="center"/>
        <w:rPr>
          <w:rFonts w:hint="default" w:ascii="Times New Roman" w:hAnsi="Times New Roman" w:cs="Times New Roman"/>
          <w:b/>
          <w:bCs/>
          <w:color w:val="auto"/>
          <w:sz w:val="24"/>
          <w:szCs w:val="24"/>
        </w:rPr>
      </w:pPr>
    </w:p>
    <w:p w14:paraId="52BFEA49">
      <w:pPr>
        <w:pStyle w:val="197"/>
        <w:tabs>
          <w:tab w:val="left" w:pos="5580"/>
        </w:tabs>
        <w:spacing w:line="360" w:lineRule="auto"/>
        <w:ind w:left="840"/>
        <w:rPr>
          <w:rFonts w:hint="default" w:ascii="Times New Roman" w:hAnsi="Times New Roman" w:cs="Times New Roman"/>
          <w:b/>
          <w:bCs/>
          <w:color w:val="auto"/>
          <w:sz w:val="24"/>
          <w:szCs w:val="24"/>
        </w:rPr>
      </w:pPr>
    </w:p>
    <w:p w14:paraId="35BE4FF7">
      <w:pPr>
        <w:pStyle w:val="197"/>
        <w:tabs>
          <w:tab w:val="left" w:pos="5580"/>
        </w:tabs>
        <w:spacing w:line="360" w:lineRule="auto"/>
        <w:ind w:firstLine="560" w:firstLineChars="200"/>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说明：</w:t>
      </w:r>
    </w:p>
    <w:p w14:paraId="35F86B88">
      <w:pPr>
        <w:pStyle w:val="197"/>
        <w:tabs>
          <w:tab w:val="left" w:pos="5580"/>
        </w:tabs>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1.具有依法缴纳税收和社会保障资金的相关材料（提供自</w:t>
      </w:r>
      <w:r>
        <w:rPr>
          <w:rFonts w:hint="default" w:ascii="Times New Roman" w:hAnsi="Times New Roman" w:eastAsia="仿宋_GB2312" w:cs="Times New Roman"/>
          <w:color w:val="auto"/>
          <w:sz w:val="28"/>
          <w:szCs w:val="28"/>
          <w:lang w:eastAsia="zh-CN"/>
        </w:rPr>
        <w:t>2025年1月1日</w:t>
      </w:r>
      <w:r>
        <w:rPr>
          <w:rFonts w:hint="default" w:ascii="Times New Roman" w:hAnsi="Times New Roman" w:eastAsia="仿宋_GB2312" w:cs="Times New Roman"/>
          <w:color w:val="auto"/>
          <w:sz w:val="28"/>
          <w:szCs w:val="28"/>
        </w:rPr>
        <w:t>以来至少一个月的纳税证明和社保缴纳证明，依法免税或不需要缴纳社会保障资金的，应提供相应文件证明其依法免税或不需要缴纳）。</w:t>
      </w:r>
    </w:p>
    <w:p w14:paraId="46FD10FC">
      <w:pPr>
        <w:pStyle w:val="197"/>
        <w:tabs>
          <w:tab w:val="left" w:pos="5580"/>
        </w:tabs>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2.如果是联合体投标，联合体各方均需提供相关材料。</w:t>
      </w:r>
    </w:p>
    <w:p w14:paraId="61C28D1F">
      <w:pPr>
        <w:tabs>
          <w:tab w:val="left" w:pos="5580"/>
        </w:tabs>
        <w:spacing w:line="360" w:lineRule="auto"/>
        <w:rPr>
          <w:rFonts w:hint="default" w:ascii="Times New Roman" w:hAnsi="Times New Roman" w:eastAsia="仿宋_GB2312" w:cs="Times New Roman"/>
          <w:color w:val="auto"/>
          <w:sz w:val="28"/>
          <w:szCs w:val="28"/>
          <w:lang w:val="en-US" w:eastAsia="zh-CN"/>
        </w:rPr>
      </w:pPr>
    </w:p>
    <w:p w14:paraId="53F25AA0">
      <w:pPr>
        <w:pStyle w:val="197"/>
        <w:tabs>
          <w:tab w:val="left" w:pos="5580"/>
        </w:tabs>
        <w:spacing w:line="360" w:lineRule="auto"/>
        <w:ind w:left="840"/>
        <w:rPr>
          <w:rFonts w:hint="default" w:ascii="Times New Roman" w:hAnsi="Times New Roman" w:cs="Times New Roman"/>
          <w:color w:val="auto"/>
          <w:sz w:val="24"/>
          <w:szCs w:val="24"/>
        </w:rPr>
      </w:pPr>
    </w:p>
    <w:p w14:paraId="62C183F6">
      <w:pPr>
        <w:pStyle w:val="3"/>
        <w:jc w:val="center"/>
        <w:rPr>
          <w:rFonts w:hint="default" w:ascii="Times New Roman" w:hAnsi="Times New Roman" w:eastAsia="方正小标宋_GBK" w:cs="Times New Roman"/>
          <w:b w:val="0"/>
          <w:color w:val="auto"/>
          <w:sz w:val="30"/>
          <w:szCs w:val="30"/>
          <w:lang w:val="en-US" w:eastAsia="zh-CN"/>
        </w:rPr>
      </w:pPr>
      <w:r>
        <w:rPr>
          <w:rFonts w:hint="default" w:ascii="Times New Roman" w:hAnsi="Times New Roman" w:cs="Times New Roman"/>
          <w:color w:val="auto"/>
          <w:sz w:val="24"/>
          <w:szCs w:val="24"/>
          <w:lang w:eastAsia="zh-CN"/>
        </w:rPr>
        <w:br w:type="page"/>
      </w:r>
      <w:bookmarkStart w:id="387" w:name="_Toc642483276"/>
      <w:bookmarkStart w:id="388" w:name="_Toc937672964"/>
      <w:bookmarkStart w:id="389" w:name="_Toc933477298"/>
      <w:bookmarkStart w:id="390" w:name="_Toc231434114"/>
      <w:bookmarkStart w:id="391" w:name="_Toc29306536"/>
      <w:bookmarkStart w:id="392" w:name="_Toc634123008"/>
      <w:bookmarkStart w:id="393" w:name="_Toc62113572_WPSOffice_Level2"/>
      <w:bookmarkStart w:id="394" w:name="_Toc1387518291"/>
      <w:bookmarkStart w:id="395" w:name="_Toc1191619766"/>
      <w:bookmarkStart w:id="396" w:name="_Toc148345819_WPSOffice_Level3"/>
      <w:bookmarkStart w:id="397" w:name="_Toc1555857921"/>
      <w:bookmarkStart w:id="398" w:name="_Toc173874035"/>
      <w:bookmarkStart w:id="399" w:name="_Toc1152943509"/>
      <w:bookmarkStart w:id="400" w:name="_Toc883013156"/>
      <w:r>
        <w:rPr>
          <w:rFonts w:hint="default" w:ascii="Times New Roman" w:hAnsi="Times New Roman" w:eastAsia="方正小标宋_GBK" w:cs="Times New Roman"/>
          <w:b w:val="0"/>
          <w:color w:val="auto"/>
          <w:sz w:val="30"/>
          <w:szCs w:val="30"/>
          <w:lang w:val="en-US" w:eastAsia="zh-CN"/>
        </w:rPr>
        <w:t>四、具有履行合同所必需的设备和专业技术能力</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20E725BA">
      <w:pPr>
        <w:spacing w:line="360" w:lineRule="auto"/>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 w:eastAsia="zh-CN"/>
        </w:rPr>
        <w:t>河南工业和信息化职业学院</w:t>
      </w:r>
    </w:p>
    <w:p w14:paraId="2FDF2B5D">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我（单位/本人，以下统称我单位）自愿参加采购编号为</w:t>
      </w:r>
      <w:r>
        <w:rPr>
          <w:rFonts w:hint="default" w:ascii="Times New Roman" w:hAnsi="Times New Roman" w:eastAsia="仿宋_GB2312" w:cs="Times New Roman"/>
          <w:color w:val="auto"/>
          <w:sz w:val="28"/>
          <w:szCs w:val="28"/>
          <w:u w:val="single"/>
          <w:lang w:val="en" w:eastAsia="zh-CN"/>
        </w:rPr>
        <w:t>豫财招标采购-2025-791</w:t>
      </w:r>
      <w:r>
        <w:rPr>
          <w:rFonts w:hint="default" w:ascii="Times New Roman" w:hAnsi="Times New Roman" w:eastAsia="仿宋_GB2312" w:cs="Times New Roman"/>
          <w:color w:val="auto"/>
          <w:sz w:val="28"/>
          <w:szCs w:val="28"/>
          <w:u w:val="none"/>
          <w:lang w:val="en-US" w:eastAsia="zh-CN"/>
        </w:rPr>
        <w:t>的</w:t>
      </w:r>
      <w:r>
        <w:rPr>
          <w:rFonts w:hint="default" w:ascii="Times New Roman" w:hAnsi="Times New Roman" w:eastAsia="仿宋_GB2312" w:cs="Times New Roman"/>
          <w:color w:val="auto"/>
          <w:sz w:val="28"/>
          <w:szCs w:val="28"/>
          <w:u w:val="single"/>
          <w:lang w:val="en" w:eastAsia="zh-CN"/>
        </w:rPr>
        <w:t>河南工业和信息化职业学院2025年-2028年物业服务项目</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的投标,并做出如下承诺：</w:t>
      </w:r>
    </w:p>
    <w:p w14:paraId="7CFF724C">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我方具有履行合同所必需的设备和专业技术能力。</w:t>
      </w:r>
    </w:p>
    <w:p w14:paraId="134208BD">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我方保证上述信息的真实和准确，并愿意承担因我方就此弄虚作假所引起的一切法律后果。</w:t>
      </w:r>
    </w:p>
    <w:p w14:paraId="0E712274">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特此声明！</w:t>
      </w:r>
    </w:p>
    <w:p w14:paraId="5C84EECD">
      <w:pPr>
        <w:tabs>
          <w:tab w:val="left" w:pos="6300"/>
        </w:tabs>
        <w:snapToGrid w:val="0"/>
        <w:spacing w:line="360" w:lineRule="auto"/>
        <w:ind w:firstLine="277" w:firstLineChars="99"/>
        <w:rPr>
          <w:rFonts w:hint="default" w:ascii="Times New Roman" w:hAnsi="Times New Roman" w:eastAsia="宋体" w:cs="Times New Roman"/>
          <w:color w:val="auto"/>
          <w:sz w:val="28"/>
          <w:szCs w:val="28"/>
          <w:lang w:eastAsia="zh-CN"/>
        </w:rPr>
      </w:pPr>
    </w:p>
    <w:p w14:paraId="65B7B61F">
      <w:pPr>
        <w:spacing w:line="360" w:lineRule="exact"/>
        <w:ind w:firstLine="3640" w:firstLineChars="1300"/>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投标人（企业电子签章）：</w:t>
      </w:r>
    </w:p>
    <w:p w14:paraId="37E50906">
      <w:pPr>
        <w:spacing w:line="360" w:lineRule="exact"/>
        <w:ind w:firstLine="420"/>
        <w:jc w:val="right"/>
        <w:rPr>
          <w:rFonts w:hint="default" w:ascii="Times New Roman" w:hAnsi="Times New Roman" w:eastAsia="仿宋_GB2312" w:cs="Times New Roman"/>
          <w:color w:val="auto"/>
          <w:sz w:val="28"/>
          <w:szCs w:val="28"/>
          <w:lang w:eastAsia="zh-CN"/>
        </w:rPr>
      </w:pPr>
    </w:p>
    <w:p w14:paraId="6B6208E4">
      <w:pPr>
        <w:spacing w:line="360" w:lineRule="auto"/>
        <w:ind w:firstLine="556"/>
        <w:jc w:val="right"/>
        <w:rPr>
          <w:rFonts w:hint="default" w:ascii="Times New Roman" w:hAnsi="Times New Roman" w:eastAsia="仿宋_GB2312" w:cs="Times New Roman"/>
          <w:color w:val="auto"/>
          <w:sz w:val="28"/>
          <w:szCs w:val="28"/>
          <w:lang w:eastAsia="zh-CN"/>
        </w:rPr>
      </w:pPr>
    </w:p>
    <w:p w14:paraId="0ED81486">
      <w:pPr>
        <w:tabs>
          <w:tab w:val="left" w:pos="6300"/>
        </w:tabs>
        <w:snapToGrid w:val="0"/>
        <w:spacing w:line="360" w:lineRule="auto"/>
        <w:ind w:right="840" w:rightChars="400"/>
        <w:jc w:val="righ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日期：</w:t>
      </w:r>
      <w:r>
        <w:rPr>
          <w:rFonts w:hint="default" w:ascii="Times New Roman" w:hAnsi="Times New Roman" w:eastAsia="仿宋_GB2312" w:cs="Times New Roman"/>
          <w:color w:val="auto"/>
          <w:sz w:val="28"/>
          <w:szCs w:val="28"/>
          <w:u w:val="single"/>
          <w:lang w:eastAsia="zh-CN"/>
        </w:rPr>
        <w:t xml:space="preserve">      </w:t>
      </w:r>
      <w:r>
        <w:rPr>
          <w:rFonts w:hint="default" w:ascii="Times New Roman" w:hAnsi="Times New Roman" w:eastAsia="仿宋_GB2312" w:cs="Times New Roman"/>
          <w:color w:val="auto"/>
          <w:sz w:val="28"/>
          <w:szCs w:val="28"/>
          <w:lang w:eastAsia="zh-CN"/>
        </w:rPr>
        <w:t>年</w:t>
      </w:r>
      <w:r>
        <w:rPr>
          <w:rFonts w:hint="default" w:ascii="Times New Roman" w:hAnsi="Times New Roman" w:eastAsia="仿宋_GB2312" w:cs="Times New Roman"/>
          <w:color w:val="auto"/>
          <w:sz w:val="28"/>
          <w:szCs w:val="28"/>
          <w:u w:val="single"/>
          <w:lang w:eastAsia="zh-CN"/>
        </w:rPr>
        <w:t xml:space="preserve">   </w:t>
      </w:r>
      <w:r>
        <w:rPr>
          <w:rFonts w:hint="default" w:ascii="Times New Roman" w:hAnsi="Times New Roman" w:eastAsia="仿宋_GB2312" w:cs="Times New Roman"/>
          <w:color w:val="auto"/>
          <w:sz w:val="28"/>
          <w:szCs w:val="28"/>
          <w:lang w:eastAsia="zh-CN"/>
        </w:rPr>
        <w:t>月</w:t>
      </w:r>
      <w:r>
        <w:rPr>
          <w:rFonts w:hint="default" w:ascii="Times New Roman" w:hAnsi="Times New Roman" w:eastAsia="仿宋_GB2312" w:cs="Times New Roman"/>
          <w:color w:val="auto"/>
          <w:sz w:val="28"/>
          <w:szCs w:val="28"/>
          <w:u w:val="single"/>
          <w:lang w:eastAsia="zh-CN"/>
        </w:rPr>
        <w:t xml:space="preserve">   </w:t>
      </w:r>
      <w:r>
        <w:rPr>
          <w:rFonts w:hint="default" w:ascii="Times New Roman" w:hAnsi="Times New Roman" w:eastAsia="仿宋_GB2312" w:cs="Times New Roman"/>
          <w:color w:val="auto"/>
          <w:sz w:val="28"/>
          <w:szCs w:val="28"/>
          <w:lang w:eastAsia="zh-CN"/>
        </w:rPr>
        <w:t>日</w:t>
      </w:r>
    </w:p>
    <w:p w14:paraId="32FEAA6C">
      <w:pPr>
        <w:pStyle w:val="197"/>
        <w:tabs>
          <w:tab w:val="left" w:pos="5580"/>
        </w:tabs>
        <w:spacing w:line="360" w:lineRule="auto"/>
        <w:ind w:left="1080" w:hanging="540"/>
        <w:jc w:val="center"/>
        <w:rPr>
          <w:rFonts w:hint="default" w:ascii="Times New Roman" w:hAnsi="Times New Roman" w:cs="Times New Roman"/>
          <w:b/>
          <w:bCs/>
          <w:color w:val="auto"/>
          <w:sz w:val="24"/>
          <w:szCs w:val="24"/>
        </w:rPr>
      </w:pPr>
    </w:p>
    <w:p w14:paraId="0D3D12A6">
      <w:pPr>
        <w:rPr>
          <w:rFonts w:hint="default" w:ascii="Times New Roman" w:hAnsi="Times New Roman" w:eastAsia="方正小标宋_GBK" w:cs="Times New Roman"/>
          <w:b w:val="0"/>
          <w:color w:val="auto"/>
          <w:sz w:val="30"/>
          <w:szCs w:val="30"/>
          <w:lang w:val="en-US" w:eastAsia="zh-CN"/>
        </w:rPr>
      </w:pPr>
      <w:bookmarkStart w:id="401" w:name="_Toc2139213640"/>
      <w:bookmarkStart w:id="402" w:name="_Toc897167010_WPSOffice_Level3"/>
      <w:bookmarkStart w:id="403" w:name="_Toc1835514155"/>
      <w:bookmarkStart w:id="404" w:name="_Toc1989881438"/>
      <w:bookmarkStart w:id="405" w:name="_Toc1625950936"/>
      <w:bookmarkStart w:id="406" w:name="_Toc2058865505"/>
      <w:bookmarkStart w:id="407" w:name="_Toc438911815_WPSOffice_Level2"/>
      <w:bookmarkStart w:id="408" w:name="_Toc1596637222"/>
      <w:bookmarkStart w:id="409" w:name="_Toc933578141"/>
      <w:bookmarkStart w:id="410" w:name="_Toc15280674"/>
      <w:bookmarkStart w:id="411" w:name="_Toc242026376"/>
      <w:bookmarkStart w:id="412" w:name="_Toc288533216"/>
      <w:bookmarkStart w:id="413" w:name="_Toc683069219"/>
      <w:bookmarkStart w:id="414" w:name="_Toc1206650936"/>
      <w:r>
        <w:rPr>
          <w:rFonts w:hint="default" w:ascii="Times New Roman" w:hAnsi="Times New Roman" w:eastAsia="方正小标宋_GBK" w:cs="Times New Roman"/>
          <w:b w:val="0"/>
          <w:color w:val="auto"/>
          <w:sz w:val="30"/>
          <w:szCs w:val="30"/>
          <w:lang w:val="en-US" w:eastAsia="zh-CN"/>
        </w:rPr>
        <w:br w:type="page"/>
      </w:r>
    </w:p>
    <w:p w14:paraId="18F5920B">
      <w:pPr>
        <w:pStyle w:val="3"/>
        <w:jc w:val="center"/>
        <w:rPr>
          <w:rFonts w:hint="default" w:ascii="Times New Roman" w:hAnsi="Times New Roman" w:eastAsia="方正小标宋_GBK" w:cs="Times New Roman"/>
          <w:b w:val="0"/>
          <w:color w:val="auto"/>
          <w:sz w:val="30"/>
          <w:szCs w:val="30"/>
          <w:lang w:val="en-US" w:eastAsia="zh-CN"/>
        </w:rPr>
      </w:pPr>
      <w:r>
        <w:rPr>
          <w:rFonts w:hint="default" w:ascii="Times New Roman" w:hAnsi="Times New Roman" w:eastAsia="方正小标宋_GBK" w:cs="Times New Roman"/>
          <w:b w:val="0"/>
          <w:color w:val="auto"/>
          <w:sz w:val="30"/>
          <w:szCs w:val="30"/>
          <w:lang w:val="en-US" w:eastAsia="zh-CN"/>
        </w:rPr>
        <w:t>五、参加政府采购活动前3年内在经营活动中没有重大违法记录的</w:t>
      </w:r>
      <w:bookmarkEnd w:id="401"/>
      <w:bookmarkEnd w:id="402"/>
      <w:bookmarkEnd w:id="403"/>
      <w:bookmarkEnd w:id="404"/>
      <w:bookmarkEnd w:id="405"/>
      <w:bookmarkEnd w:id="406"/>
      <w:r>
        <w:rPr>
          <w:rFonts w:hint="default" w:ascii="Times New Roman" w:hAnsi="Times New Roman" w:eastAsia="方正小标宋_GBK" w:cs="Times New Roman"/>
          <w:b w:val="0"/>
          <w:color w:val="auto"/>
          <w:sz w:val="30"/>
          <w:szCs w:val="30"/>
          <w:lang w:val="en-US" w:eastAsia="zh-CN"/>
        </w:rPr>
        <w:t>声明</w:t>
      </w:r>
      <w:bookmarkEnd w:id="407"/>
      <w:bookmarkEnd w:id="408"/>
      <w:bookmarkEnd w:id="409"/>
      <w:bookmarkEnd w:id="410"/>
      <w:bookmarkEnd w:id="411"/>
      <w:bookmarkEnd w:id="412"/>
      <w:bookmarkEnd w:id="413"/>
      <w:bookmarkEnd w:id="414"/>
    </w:p>
    <w:p w14:paraId="3FB3BB1C">
      <w:pPr>
        <w:spacing w:line="360" w:lineRule="auto"/>
        <w:rPr>
          <w:rFonts w:hint="default" w:ascii="Times New Roman" w:hAnsi="Times New Roman" w:eastAsia="仿宋_GB2312" w:cs="Times New Roman"/>
          <w:color w:val="auto"/>
          <w:sz w:val="28"/>
          <w:szCs w:val="28"/>
          <w:lang w:val="en" w:eastAsia="zh-CN"/>
        </w:rPr>
      </w:pPr>
      <w:bookmarkStart w:id="415" w:name="_Hlk103703179"/>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 w:eastAsia="zh-CN"/>
        </w:rPr>
        <w:t>河南工业和信息化职业学院</w:t>
      </w:r>
    </w:p>
    <w:p w14:paraId="0D4260CE">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我（单位/本人，以下统称我单位）自愿参加采购编号为</w:t>
      </w:r>
      <w:r>
        <w:rPr>
          <w:rFonts w:hint="default" w:ascii="Times New Roman" w:hAnsi="Times New Roman" w:eastAsia="仿宋_GB2312" w:cs="Times New Roman"/>
          <w:color w:val="auto"/>
          <w:sz w:val="28"/>
          <w:szCs w:val="28"/>
          <w:u w:val="single"/>
          <w:lang w:val="en" w:eastAsia="zh-CN"/>
        </w:rPr>
        <w:t>豫财招标采购-2025-791</w:t>
      </w:r>
      <w:r>
        <w:rPr>
          <w:rFonts w:hint="default" w:ascii="Times New Roman" w:hAnsi="Times New Roman" w:eastAsia="仿宋_GB2312" w:cs="Times New Roman"/>
          <w:color w:val="auto"/>
          <w:sz w:val="28"/>
          <w:szCs w:val="28"/>
          <w:u w:val="none"/>
          <w:lang w:val="en-US" w:eastAsia="zh-CN"/>
        </w:rPr>
        <w:t>的</w:t>
      </w:r>
      <w:r>
        <w:rPr>
          <w:rFonts w:hint="default" w:ascii="Times New Roman" w:hAnsi="Times New Roman" w:eastAsia="仿宋_GB2312" w:cs="Times New Roman"/>
          <w:color w:val="auto"/>
          <w:sz w:val="28"/>
          <w:szCs w:val="28"/>
          <w:u w:val="single"/>
          <w:lang w:val="en" w:eastAsia="zh-CN"/>
        </w:rPr>
        <w:t>河南工业和信息化职业学院2025年-2028年物业服务项目</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的投标,并做出如下承诺：</w:t>
      </w:r>
    </w:p>
    <w:bookmarkEnd w:id="415"/>
    <w:p w14:paraId="5B9CE9D6">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我公司信誉良好，参加政府采购活动前三年内，在经营活动中没有重大违法记录。在“信用</w:t>
      </w:r>
      <w:r>
        <w:rPr>
          <w:rFonts w:hint="default" w:ascii="Times New Roman" w:hAnsi="Times New Roman" w:eastAsia="仿宋_GB2312" w:cs="Times New Roman"/>
          <w:color w:val="auto"/>
          <w:sz w:val="28"/>
          <w:szCs w:val="28"/>
          <w:lang w:val="en-US" w:eastAsia="zh-CN"/>
        </w:rPr>
        <w:t>中国</w:t>
      </w:r>
      <w:r>
        <w:rPr>
          <w:rFonts w:hint="default" w:ascii="Times New Roman" w:hAnsi="Times New Roman" w:eastAsia="仿宋_GB2312" w:cs="Times New Roman"/>
          <w:color w:val="auto"/>
          <w:sz w:val="28"/>
          <w:szCs w:val="28"/>
          <w:lang w:eastAsia="zh-CN"/>
        </w:rPr>
        <w:t>”网站（www.creditchina.gov.cn）未被列入失信被执行人、重大税收违法案件当事人名单；在 “中国政府采购网” （www.ccgp.gov.cn）未被列入政府采购严重违法失信行为记录名单。</w:t>
      </w:r>
    </w:p>
    <w:p w14:paraId="4E79155F">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我方保证上述信息的真实和准确，并愿意承担因我方就此弄虚作假所引起的一切法律后果。</w:t>
      </w:r>
    </w:p>
    <w:p w14:paraId="17CC1DB4">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特此声明！</w:t>
      </w:r>
    </w:p>
    <w:p w14:paraId="27C84186">
      <w:pPr>
        <w:spacing w:line="360" w:lineRule="exact"/>
        <w:ind w:firstLine="3640" w:firstLineChars="1300"/>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投标人（企业电子签章）：</w:t>
      </w:r>
    </w:p>
    <w:p w14:paraId="2D7CD4B6">
      <w:pPr>
        <w:spacing w:line="360" w:lineRule="exact"/>
        <w:ind w:firstLine="420"/>
        <w:jc w:val="right"/>
        <w:rPr>
          <w:rFonts w:hint="default" w:ascii="Times New Roman" w:hAnsi="Times New Roman" w:eastAsia="仿宋_GB2312" w:cs="Times New Roman"/>
          <w:color w:val="auto"/>
          <w:sz w:val="28"/>
          <w:szCs w:val="28"/>
          <w:lang w:eastAsia="zh-CN"/>
        </w:rPr>
      </w:pPr>
    </w:p>
    <w:p w14:paraId="00901C7B">
      <w:pPr>
        <w:spacing w:line="360" w:lineRule="auto"/>
        <w:ind w:firstLine="556"/>
        <w:jc w:val="right"/>
        <w:rPr>
          <w:rFonts w:hint="default" w:ascii="Times New Roman" w:hAnsi="Times New Roman" w:eastAsia="仿宋_GB2312" w:cs="Times New Roman"/>
          <w:color w:val="auto"/>
          <w:sz w:val="28"/>
          <w:szCs w:val="28"/>
          <w:lang w:eastAsia="zh-CN"/>
        </w:rPr>
      </w:pPr>
    </w:p>
    <w:p w14:paraId="2764F5F1">
      <w:pPr>
        <w:tabs>
          <w:tab w:val="left" w:pos="6300"/>
        </w:tabs>
        <w:snapToGrid w:val="0"/>
        <w:spacing w:line="360" w:lineRule="auto"/>
        <w:ind w:right="840" w:rightChars="400"/>
        <w:jc w:val="righ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日期：</w:t>
      </w:r>
      <w:r>
        <w:rPr>
          <w:rFonts w:hint="default" w:ascii="Times New Roman" w:hAnsi="Times New Roman" w:eastAsia="仿宋_GB2312" w:cs="Times New Roman"/>
          <w:color w:val="auto"/>
          <w:sz w:val="28"/>
          <w:szCs w:val="28"/>
          <w:u w:val="single"/>
          <w:lang w:eastAsia="zh-CN"/>
        </w:rPr>
        <w:t xml:space="preserve">      </w:t>
      </w:r>
      <w:r>
        <w:rPr>
          <w:rFonts w:hint="default" w:ascii="Times New Roman" w:hAnsi="Times New Roman" w:eastAsia="仿宋_GB2312" w:cs="Times New Roman"/>
          <w:color w:val="auto"/>
          <w:sz w:val="28"/>
          <w:szCs w:val="28"/>
          <w:lang w:eastAsia="zh-CN"/>
        </w:rPr>
        <w:t>年</w:t>
      </w:r>
      <w:r>
        <w:rPr>
          <w:rFonts w:hint="default" w:ascii="Times New Roman" w:hAnsi="Times New Roman" w:eastAsia="仿宋_GB2312" w:cs="Times New Roman"/>
          <w:color w:val="auto"/>
          <w:sz w:val="28"/>
          <w:szCs w:val="28"/>
          <w:u w:val="single"/>
          <w:lang w:eastAsia="zh-CN"/>
        </w:rPr>
        <w:t xml:space="preserve">   </w:t>
      </w:r>
      <w:r>
        <w:rPr>
          <w:rFonts w:hint="default" w:ascii="Times New Roman" w:hAnsi="Times New Roman" w:eastAsia="仿宋_GB2312" w:cs="Times New Roman"/>
          <w:color w:val="auto"/>
          <w:sz w:val="28"/>
          <w:szCs w:val="28"/>
          <w:lang w:eastAsia="zh-CN"/>
        </w:rPr>
        <w:t>月</w:t>
      </w:r>
      <w:r>
        <w:rPr>
          <w:rFonts w:hint="default" w:ascii="Times New Roman" w:hAnsi="Times New Roman" w:eastAsia="仿宋_GB2312" w:cs="Times New Roman"/>
          <w:color w:val="auto"/>
          <w:sz w:val="28"/>
          <w:szCs w:val="28"/>
          <w:u w:val="single"/>
          <w:lang w:eastAsia="zh-CN"/>
        </w:rPr>
        <w:t xml:space="preserve">   </w:t>
      </w:r>
      <w:r>
        <w:rPr>
          <w:rFonts w:hint="default" w:ascii="Times New Roman" w:hAnsi="Times New Roman" w:eastAsia="仿宋_GB2312" w:cs="Times New Roman"/>
          <w:color w:val="auto"/>
          <w:sz w:val="28"/>
          <w:szCs w:val="28"/>
          <w:lang w:eastAsia="zh-CN"/>
        </w:rPr>
        <w:t>日</w:t>
      </w:r>
    </w:p>
    <w:p w14:paraId="34B117C9">
      <w:pPr>
        <w:pStyle w:val="197"/>
        <w:tabs>
          <w:tab w:val="left" w:pos="5580"/>
        </w:tabs>
        <w:spacing w:line="360" w:lineRule="auto"/>
        <w:rPr>
          <w:rFonts w:hint="default" w:ascii="Times New Roman" w:hAnsi="Times New Roman" w:cs="Times New Roman"/>
          <w:color w:val="auto"/>
          <w:sz w:val="24"/>
          <w:szCs w:val="24"/>
        </w:rPr>
      </w:pPr>
    </w:p>
    <w:p w14:paraId="130F7A8B">
      <w:pPr>
        <w:pStyle w:val="197"/>
        <w:tabs>
          <w:tab w:val="left" w:pos="5580"/>
        </w:tabs>
        <w:spacing w:line="360" w:lineRule="auto"/>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说明：</w:t>
      </w:r>
    </w:p>
    <w:p w14:paraId="7CB36A03">
      <w:pPr>
        <w:pStyle w:val="197"/>
        <w:tabs>
          <w:tab w:val="left" w:pos="5580"/>
        </w:tabs>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w:t>
      </w:r>
      <w:r>
        <w:rPr>
          <w:rFonts w:hint="default" w:ascii="Times New Roman" w:hAnsi="Times New Roman" w:eastAsia="仿宋_GB2312" w:cs="Times New Roman"/>
          <w:color w:val="auto"/>
          <w:sz w:val="28"/>
          <w:szCs w:val="28"/>
          <w:lang w:val="zh-TW"/>
        </w:rPr>
        <w:t>投标人应按照相关法规规定如实做出说明。</w:t>
      </w:r>
    </w:p>
    <w:p w14:paraId="22377469">
      <w:pPr>
        <w:pStyle w:val="197"/>
        <w:tabs>
          <w:tab w:val="left" w:pos="5580"/>
        </w:tabs>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zh-TW"/>
        </w:rPr>
        <w:t>．按照招标文件的规定加盖企业电子签章（自然人投标的无需盖章，需要签字）。</w:t>
      </w:r>
    </w:p>
    <w:p w14:paraId="23F4A792">
      <w:pPr>
        <w:pStyle w:val="197"/>
        <w:tabs>
          <w:tab w:val="left" w:pos="5580"/>
        </w:tabs>
        <w:spacing w:line="360" w:lineRule="auto"/>
        <w:ind w:firstLine="560" w:firstLineChars="200"/>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zh-TW"/>
        </w:rPr>
        <w:t>如果是联合体投标，联合体各方均需提供上述证明。</w:t>
      </w:r>
    </w:p>
    <w:p w14:paraId="12035BE7">
      <w:pPr>
        <w:pStyle w:val="3"/>
        <w:jc w:val="center"/>
        <w:rPr>
          <w:rFonts w:hint="default" w:ascii="Times New Roman" w:hAnsi="Times New Roman" w:eastAsia="方正小标宋_GBK" w:cs="Times New Roman"/>
          <w:b w:val="0"/>
          <w:color w:val="auto"/>
          <w:sz w:val="30"/>
          <w:szCs w:val="30"/>
          <w:lang w:val="en-US" w:eastAsia="zh-CN"/>
        </w:rPr>
      </w:pPr>
      <w:bookmarkStart w:id="416" w:name="_Toc1528107318"/>
      <w:bookmarkStart w:id="417" w:name="_Toc1192645811_WPSOffice_Level2"/>
      <w:bookmarkStart w:id="418" w:name="_Toc1439922488"/>
      <w:bookmarkStart w:id="419" w:name="_Toc1846317276"/>
      <w:bookmarkStart w:id="420" w:name="_Toc2035786603"/>
      <w:bookmarkStart w:id="421" w:name="_Toc1999724387"/>
      <w:bookmarkStart w:id="422" w:name="_Toc98955996"/>
      <w:bookmarkStart w:id="423" w:name="_Toc2114111239"/>
      <w:bookmarkStart w:id="424" w:name="_Toc2024909766"/>
      <w:bookmarkStart w:id="425" w:name="_Toc1184533414"/>
      <w:bookmarkStart w:id="426" w:name="_Toc1323492610"/>
      <w:bookmarkStart w:id="427" w:name="_Toc1497172548"/>
      <w:bookmarkStart w:id="428" w:name="_Toc497708290_WPSOffice_Level2"/>
      <w:bookmarkStart w:id="429" w:name="_Toc320661673"/>
      <w:bookmarkStart w:id="430" w:name="_Toc658606622"/>
      <w:bookmarkStart w:id="431" w:name="_Toc474620139"/>
      <w:bookmarkStart w:id="432" w:name="_Toc1267967234"/>
      <w:bookmarkStart w:id="433" w:name="_Toc2073666225_WPSOffice_Level3"/>
      <w:bookmarkStart w:id="434" w:name="_Toc1614236527"/>
      <w:bookmarkStart w:id="435" w:name="_Toc996756161"/>
      <w:bookmarkStart w:id="436" w:name="_Toc1462517689"/>
      <w:bookmarkStart w:id="437" w:name="_Toc1237822054"/>
      <w:bookmarkStart w:id="438" w:name="_Toc934702901"/>
      <w:bookmarkStart w:id="439" w:name="_Toc1938095027"/>
      <w:bookmarkStart w:id="440" w:name="_Toc1412570441"/>
      <w:bookmarkStart w:id="441" w:name="_Toc1310640400"/>
      <w:r>
        <w:rPr>
          <w:rFonts w:hint="default" w:ascii="Times New Roman" w:hAnsi="Times New Roman" w:eastAsia="方正小标宋_GBK" w:cs="Times New Roman"/>
          <w:b w:val="0"/>
          <w:color w:val="auto"/>
          <w:sz w:val="30"/>
          <w:szCs w:val="30"/>
          <w:lang w:val="en-US" w:eastAsia="zh-CN"/>
        </w:rPr>
        <w:t>六、</w:t>
      </w:r>
      <w:r>
        <w:rPr>
          <w:rFonts w:hint="default" w:ascii="Times New Roman" w:hAnsi="Times New Roman" w:eastAsia="方正小标宋_GBK" w:cs="Times New Roman"/>
          <w:b w:val="0"/>
          <w:color w:val="auto"/>
          <w:sz w:val="30"/>
          <w:szCs w:val="30"/>
          <w:lang w:eastAsia="zh-CN"/>
        </w:rPr>
        <w:t>投标人关联单位的说明</w:t>
      </w:r>
    </w:p>
    <w:p w14:paraId="09E9D7EC">
      <w:pPr>
        <w:spacing w:before="100" w:after="100" w:line="360" w:lineRule="auto"/>
        <w:ind w:firstLine="420"/>
        <w:jc w:val="left"/>
        <w:rPr>
          <w:rFonts w:hint="default" w:ascii="Times New Roman" w:hAnsi="Times New Roman" w:eastAsia="仿宋_GB2312" w:cs="Times New Roman"/>
          <w:color w:val="auto"/>
          <w:kern w:val="0"/>
          <w:sz w:val="28"/>
          <w:szCs w:val="28"/>
          <w:lang w:eastAsia="zh-CN"/>
        </w:rPr>
      </w:pPr>
    </w:p>
    <w:p w14:paraId="04F43D3B">
      <w:pPr>
        <w:shd w:val="clear" w:color="auto" w:fill="FFFFFF"/>
        <w:spacing w:line="360" w:lineRule="auto"/>
        <w:ind w:firstLine="48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kern w:val="0"/>
          <w:sz w:val="28"/>
          <w:szCs w:val="28"/>
          <w:lang w:val="en-US" w:eastAsia="zh-CN"/>
        </w:rPr>
        <w:t xml:space="preserve"> </w:t>
      </w:r>
      <w:r>
        <w:rPr>
          <w:rFonts w:hint="default" w:ascii="Times New Roman" w:hAnsi="Times New Roman" w:eastAsia="仿宋_GB2312" w:cs="Times New Roman"/>
          <w:color w:val="auto"/>
          <w:sz w:val="30"/>
          <w:szCs w:val="30"/>
          <w:lang w:val="en-US" w:eastAsia="zh-CN"/>
        </w:rPr>
        <w:t>我单位作为本次采购项目的投标人，根据招标文件要求，现郑重承诺如下：</w:t>
      </w:r>
    </w:p>
    <w:p w14:paraId="246C578E">
      <w:pPr>
        <w:shd w:val="clear" w:color="auto" w:fill="FFFFFF"/>
        <w:spacing w:line="360" w:lineRule="auto"/>
        <w:ind w:firstLine="48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我单位参加本次招标采购活动，</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val="en-US" w:eastAsia="zh-CN"/>
        </w:rPr>
        <w:t>（填写“存在”或“不存在”）与单位负责人为同一人或者存在直接控股、管理关系的其他投标人参与同一合同项下的投标活动行为。</w:t>
      </w:r>
    </w:p>
    <w:p w14:paraId="0D75B503">
      <w:pPr>
        <w:pStyle w:val="17"/>
        <w:rPr>
          <w:rFonts w:hint="default" w:ascii="Times New Roman" w:hAnsi="Times New Roman" w:cs="Times New Roman"/>
          <w:color w:val="auto"/>
          <w:lang w:eastAsia="zh-CN"/>
        </w:rPr>
      </w:pPr>
    </w:p>
    <w:p w14:paraId="0ACD29A5">
      <w:pPr>
        <w:rPr>
          <w:rFonts w:hint="default" w:ascii="Times New Roman" w:hAnsi="Times New Roman" w:cs="Times New Roman"/>
          <w:color w:val="auto"/>
          <w:lang w:eastAsia="zh-CN"/>
        </w:rPr>
      </w:pPr>
    </w:p>
    <w:p w14:paraId="091F1A50">
      <w:pPr>
        <w:spacing w:before="100" w:after="100" w:line="360" w:lineRule="auto"/>
        <w:ind w:firstLine="420"/>
        <w:jc w:val="left"/>
        <w:rPr>
          <w:rFonts w:hint="default" w:ascii="Times New Roman" w:hAnsi="Times New Roman" w:eastAsia="仿宋_GB2312" w:cs="Times New Roman"/>
          <w:b/>
          <w:bCs/>
          <w:color w:val="auto"/>
          <w:kern w:val="0"/>
          <w:sz w:val="24"/>
          <w:szCs w:val="24"/>
          <w:lang w:eastAsia="zh-CN"/>
        </w:rPr>
      </w:pPr>
      <w:r>
        <w:rPr>
          <w:rFonts w:hint="default" w:ascii="Times New Roman" w:hAnsi="Times New Roman" w:eastAsia="仿宋_GB2312" w:cs="Times New Roman"/>
          <w:b/>
          <w:bCs/>
          <w:color w:val="auto"/>
          <w:kern w:val="0"/>
          <w:sz w:val="24"/>
          <w:szCs w:val="24"/>
          <w:lang w:eastAsia="zh-CN"/>
        </w:rPr>
        <w:t>说明：投标人应当如实披露与本单位存在关联关系的单位名称。</w:t>
      </w:r>
    </w:p>
    <w:p w14:paraId="0001DAE3">
      <w:pPr>
        <w:spacing w:before="100" w:after="100" w:line="360" w:lineRule="auto"/>
        <w:jc w:val="left"/>
        <w:rPr>
          <w:rFonts w:hint="default" w:ascii="Times New Roman" w:hAnsi="Times New Roman" w:eastAsia="仿宋_GB2312" w:cs="Times New Roman"/>
          <w:color w:val="auto"/>
          <w:kern w:val="0"/>
          <w:sz w:val="28"/>
          <w:szCs w:val="28"/>
          <w:lang w:eastAsia="zh-CN"/>
        </w:rPr>
      </w:pPr>
    </w:p>
    <w:p w14:paraId="633B6A1D">
      <w:pPr>
        <w:spacing w:before="100" w:after="100" w:line="360" w:lineRule="auto"/>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 xml:space="preserve">  </w:t>
      </w:r>
    </w:p>
    <w:p w14:paraId="14FD238C">
      <w:pPr>
        <w:pStyle w:val="17"/>
        <w:rPr>
          <w:rFonts w:hint="default" w:ascii="Times New Roman" w:hAnsi="Times New Roman" w:cs="Times New Roman"/>
          <w:color w:val="auto"/>
          <w:lang w:eastAsia="zh-CN"/>
        </w:rPr>
      </w:pPr>
    </w:p>
    <w:p w14:paraId="341067AA">
      <w:pPr>
        <w:spacing w:before="100" w:after="100" w:line="360" w:lineRule="auto"/>
        <w:ind w:firstLine="420"/>
        <w:jc w:val="left"/>
        <w:rPr>
          <w:rFonts w:hint="default" w:ascii="Times New Roman" w:hAnsi="Times New Roman" w:eastAsia="宋体" w:cs="Times New Roman"/>
          <w:color w:val="auto"/>
          <w:kern w:val="0"/>
          <w:sz w:val="24"/>
          <w:szCs w:val="24"/>
          <w:lang w:eastAsia="zh-CN"/>
        </w:rPr>
      </w:pPr>
    </w:p>
    <w:p w14:paraId="747B2994">
      <w:pPr>
        <w:spacing w:before="100" w:after="100" w:line="360" w:lineRule="auto"/>
        <w:ind w:firstLine="420"/>
        <w:jc w:val="left"/>
        <w:rPr>
          <w:rFonts w:hint="default" w:ascii="Times New Roman" w:hAnsi="Times New Roman" w:eastAsia="宋体" w:cs="Times New Roman"/>
          <w:color w:val="auto"/>
          <w:kern w:val="0"/>
          <w:sz w:val="24"/>
          <w:szCs w:val="24"/>
          <w:lang w:eastAsia="zh-CN"/>
        </w:rPr>
      </w:pPr>
    </w:p>
    <w:p w14:paraId="4553A71A">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06C7D392">
      <w:pPr>
        <w:spacing w:before="100" w:after="100" w:line="360" w:lineRule="auto"/>
        <w:ind w:firstLine="372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　日　期：</w:t>
      </w:r>
      <w:r>
        <w:rPr>
          <w:rFonts w:hint="default" w:ascii="Times New Roman" w:hAnsi="Times New Roman" w:eastAsia="仿宋_GB2312" w:cs="Times New Roman"/>
          <w:color w:val="auto"/>
          <w:kern w:val="0"/>
          <w:sz w:val="28"/>
          <w:szCs w:val="28"/>
          <w:u w:val="single"/>
          <w:lang w:val="en-US" w:eastAsia="zh-CN"/>
        </w:rPr>
        <w:t xml:space="preserve">             </w:t>
      </w:r>
    </w:p>
    <w:p w14:paraId="05CF2EFE">
      <w:pPr>
        <w:spacing w:before="100" w:after="100" w:line="360" w:lineRule="auto"/>
        <w:ind w:firstLine="420"/>
        <w:jc w:val="left"/>
        <w:rPr>
          <w:rFonts w:hint="default" w:ascii="Times New Roman" w:hAnsi="Times New Roman" w:eastAsia="宋体" w:cs="Times New Roman"/>
          <w:color w:val="auto"/>
          <w:kern w:val="0"/>
          <w:sz w:val="24"/>
          <w:szCs w:val="24"/>
          <w:lang w:eastAsia="zh-CN"/>
        </w:rPr>
      </w:pPr>
    </w:p>
    <w:p w14:paraId="3E1459CC">
      <w:pPr>
        <w:rPr>
          <w:rFonts w:hint="default" w:ascii="Times New Roman" w:hAnsi="Times New Roman" w:eastAsia="方正小标宋_GBK" w:cs="Times New Roman"/>
          <w:bCs/>
          <w:color w:val="auto"/>
          <w:kern w:val="0"/>
          <w:sz w:val="30"/>
          <w:szCs w:val="30"/>
          <w:lang w:val="en-US" w:eastAsia="zh-CN"/>
        </w:rPr>
      </w:pPr>
      <w:r>
        <w:rPr>
          <w:rFonts w:hint="default" w:ascii="Times New Roman" w:hAnsi="Times New Roman" w:eastAsia="方正小标宋_GBK" w:cs="Times New Roman"/>
          <w:bCs/>
          <w:color w:val="auto"/>
          <w:kern w:val="0"/>
          <w:sz w:val="30"/>
          <w:szCs w:val="30"/>
          <w:lang w:val="en-US" w:eastAsia="zh-CN"/>
        </w:rPr>
        <w:br w:type="page"/>
      </w:r>
    </w:p>
    <w:p w14:paraId="67D5B0AF">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r>
        <w:rPr>
          <w:rFonts w:hint="default" w:ascii="Times New Roman" w:hAnsi="Times New Roman" w:eastAsia="方正小标宋_GBK" w:cs="Times New Roman"/>
          <w:bCs/>
          <w:color w:val="auto"/>
          <w:kern w:val="0"/>
          <w:sz w:val="30"/>
          <w:szCs w:val="30"/>
          <w:lang w:val="en-US" w:eastAsia="zh-CN"/>
        </w:rPr>
        <w:t>七、</w:t>
      </w:r>
      <w:bookmarkEnd w:id="416"/>
      <w:bookmarkEnd w:id="417"/>
      <w:bookmarkEnd w:id="418"/>
      <w:bookmarkEnd w:id="419"/>
      <w:bookmarkEnd w:id="420"/>
      <w:bookmarkEnd w:id="421"/>
      <w:bookmarkEnd w:id="422"/>
      <w:bookmarkEnd w:id="423"/>
      <w:bookmarkEnd w:id="424"/>
      <w:bookmarkEnd w:id="425"/>
      <w:bookmarkEnd w:id="426"/>
      <w:bookmarkEnd w:id="427"/>
      <w:r>
        <w:rPr>
          <w:rFonts w:hint="default" w:ascii="Times New Roman" w:hAnsi="Times New Roman" w:eastAsia="方正小标宋_GBK" w:cs="Times New Roman"/>
          <w:bCs/>
          <w:color w:val="auto"/>
          <w:kern w:val="0"/>
          <w:sz w:val="30"/>
          <w:szCs w:val="30"/>
          <w:lang w:val="en-US" w:eastAsia="zh-CN"/>
        </w:rPr>
        <w:t>其他资格证明文件</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4B3FB54A">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1FB884CA">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08A51939">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7F093924">
      <w:pPr>
        <w:pStyle w:val="197"/>
        <w:tabs>
          <w:tab w:val="left" w:pos="5580"/>
        </w:tabs>
        <w:spacing w:line="360" w:lineRule="auto"/>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说明：1.应提供的其他资格证明文件。</w:t>
      </w:r>
    </w:p>
    <w:p w14:paraId="553A55BD">
      <w:pPr>
        <w:pStyle w:val="197"/>
        <w:tabs>
          <w:tab w:val="left" w:pos="5580"/>
        </w:tabs>
        <w:spacing w:line="360" w:lineRule="auto"/>
        <w:ind w:firstLine="840" w:firstLineChars="300"/>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2.原件或复印件的扫描件上应加盖企业电子签章（自然人投标的无需盖章，需要签字）。</w:t>
      </w:r>
    </w:p>
    <w:p w14:paraId="3132ECDF">
      <w:pPr>
        <w:pStyle w:val="197"/>
        <w:tabs>
          <w:tab w:val="left" w:pos="5580"/>
        </w:tabs>
        <w:spacing w:line="360" w:lineRule="auto"/>
        <w:ind w:firstLine="840" w:firstLineChars="300"/>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3.如果是联合体投标，联合体各方需提供的满足招标文件要求的其他资格证明文件。</w:t>
      </w:r>
    </w:p>
    <w:p w14:paraId="40009987">
      <w:pPr>
        <w:pStyle w:val="2"/>
        <w:spacing w:before="0" w:after="0" w:line="240" w:lineRule="auto"/>
        <w:jc w:val="center"/>
        <w:rPr>
          <w:rFonts w:hint="default" w:ascii="Times New Roman" w:hAnsi="Times New Roman" w:eastAsia="宋体" w:cs="Times New Roman"/>
          <w:color w:val="auto"/>
          <w:sz w:val="36"/>
          <w:szCs w:val="36"/>
          <w:lang w:eastAsia="zh-CN"/>
        </w:rPr>
      </w:pPr>
      <w:r>
        <w:rPr>
          <w:rFonts w:hint="default" w:ascii="Times New Roman" w:hAnsi="Times New Roman" w:cs="Times New Roman"/>
          <w:color w:val="auto"/>
          <w:sz w:val="24"/>
          <w:szCs w:val="24"/>
          <w:lang w:val="en-US" w:eastAsia="zh-CN"/>
        </w:rPr>
        <w:br w:type="page"/>
      </w:r>
      <w:bookmarkStart w:id="442" w:name="_Toc897589225"/>
      <w:bookmarkStart w:id="443" w:name="_Toc744081619"/>
      <w:bookmarkStart w:id="444" w:name="_Toc136706314"/>
      <w:bookmarkStart w:id="445" w:name="_Toc6422905"/>
      <w:bookmarkStart w:id="446" w:name="_Toc1093923690_WPSOffice_Level2"/>
      <w:bookmarkStart w:id="447" w:name="_Toc1580344845_WPSOffice_Level2"/>
      <w:bookmarkStart w:id="448" w:name="_Toc1368632420_WPSOffice_Level2"/>
      <w:bookmarkStart w:id="449" w:name="_Toc1264393349_WPSOffice_Level2"/>
      <w:bookmarkStart w:id="450" w:name="_Toc973283021"/>
      <w:bookmarkStart w:id="451" w:name="_Toc1017563642"/>
      <w:bookmarkStart w:id="452" w:name="_Toc943266062"/>
      <w:bookmarkStart w:id="453" w:name="_Toc797524663"/>
      <w:bookmarkStart w:id="454" w:name="_Toc288862645"/>
      <w:bookmarkStart w:id="455" w:name="_Toc1893653595_WPSOffice_Level1"/>
      <w:bookmarkStart w:id="456" w:name="_Toc1360926389"/>
      <w:bookmarkStart w:id="457" w:name="_Toc465615493"/>
      <w:bookmarkStart w:id="458" w:name="_Toc377236415"/>
      <w:bookmarkStart w:id="459" w:name="_Toc1378165390"/>
      <w:bookmarkStart w:id="460" w:name="_Toc13985"/>
      <w:bookmarkStart w:id="461" w:name="_Toc1731438942"/>
      <w:r>
        <w:rPr>
          <w:rFonts w:hint="default" w:ascii="Times New Roman" w:hAnsi="Times New Roman" w:eastAsia="宋体" w:cs="Times New Roman"/>
          <w:color w:val="auto"/>
          <w:sz w:val="36"/>
          <w:szCs w:val="36"/>
          <w:lang w:eastAsia="zh-CN"/>
        </w:rPr>
        <w:t>第五章 投标文件</w:t>
      </w:r>
      <w:bookmarkEnd w:id="442"/>
      <w:bookmarkEnd w:id="443"/>
      <w:bookmarkEnd w:id="444"/>
      <w:bookmarkEnd w:id="445"/>
      <w:bookmarkEnd w:id="446"/>
      <w:bookmarkEnd w:id="447"/>
      <w:bookmarkEnd w:id="448"/>
      <w:bookmarkEnd w:id="449"/>
      <w:bookmarkEnd w:id="450"/>
      <w:r>
        <w:rPr>
          <w:rFonts w:hint="default" w:ascii="Times New Roman" w:hAnsi="Times New Roman" w:eastAsia="宋体" w:cs="Times New Roman"/>
          <w:color w:val="auto"/>
          <w:sz w:val="36"/>
          <w:szCs w:val="36"/>
          <w:lang w:eastAsia="zh-CN"/>
        </w:rPr>
        <w:t>格式</w:t>
      </w:r>
      <w:bookmarkEnd w:id="451"/>
      <w:bookmarkEnd w:id="452"/>
      <w:bookmarkEnd w:id="453"/>
      <w:bookmarkEnd w:id="454"/>
      <w:bookmarkEnd w:id="455"/>
      <w:bookmarkEnd w:id="456"/>
      <w:bookmarkEnd w:id="457"/>
      <w:bookmarkEnd w:id="458"/>
      <w:bookmarkEnd w:id="459"/>
      <w:bookmarkEnd w:id="460"/>
      <w:bookmarkEnd w:id="461"/>
    </w:p>
    <w:p w14:paraId="78CF5F8C">
      <w:pPr>
        <w:spacing w:line="360" w:lineRule="auto"/>
        <w:ind w:left="1080" w:hanging="540"/>
        <w:jc w:val="center"/>
        <w:rPr>
          <w:rFonts w:hint="default" w:ascii="Times New Roman" w:hAnsi="Times New Roman" w:eastAsia="宋体" w:cs="Times New Roman"/>
          <w:color w:val="auto"/>
          <w:sz w:val="24"/>
          <w:szCs w:val="24"/>
          <w:lang w:val="en-US" w:eastAsia="zh-CN"/>
        </w:rPr>
      </w:pPr>
    </w:p>
    <w:p w14:paraId="26C7418C">
      <w:pPr>
        <w:tabs>
          <w:tab w:val="left" w:pos="1950"/>
        </w:tabs>
        <w:jc w:val="center"/>
        <w:rPr>
          <w:rFonts w:hint="default" w:ascii="Times New Roman" w:hAnsi="Times New Roman" w:eastAsia="宋体" w:cs="Times New Roman"/>
          <w:b/>
          <w:bCs/>
          <w:color w:val="auto"/>
          <w:sz w:val="72"/>
          <w:szCs w:val="72"/>
          <w:lang w:val="en-US" w:eastAsia="zh-CN"/>
        </w:rPr>
      </w:pPr>
      <w:r>
        <w:rPr>
          <w:rFonts w:hint="default" w:ascii="Times New Roman" w:hAnsi="Times New Roman" w:eastAsia="宋体" w:cs="Times New Roman"/>
          <w:b/>
          <w:bCs/>
          <w:color w:val="auto"/>
          <w:sz w:val="60"/>
          <w:szCs w:val="60"/>
          <w:lang w:val="en" w:eastAsia="zh-CN"/>
        </w:rPr>
        <w:t>河南工业和信息化职业学院2025年-2028年物业服务项目</w:t>
      </w:r>
      <w:r>
        <w:rPr>
          <w:rFonts w:hint="default" w:ascii="Times New Roman" w:hAnsi="Times New Roman" w:eastAsia="宋体" w:cs="Times New Roman"/>
          <w:b/>
          <w:bCs/>
          <w:color w:val="auto"/>
          <w:sz w:val="72"/>
          <w:szCs w:val="72"/>
          <w:lang w:val="en-US" w:eastAsia="zh-CN"/>
        </w:rPr>
        <w:t xml:space="preserve"> </w:t>
      </w:r>
    </w:p>
    <w:p w14:paraId="5AD79B77">
      <w:pPr>
        <w:tabs>
          <w:tab w:val="left" w:pos="1950"/>
        </w:tabs>
        <w:jc w:val="left"/>
        <w:rPr>
          <w:rFonts w:hint="default" w:ascii="Times New Roman" w:hAnsi="Times New Roman" w:eastAsia="宋体" w:cs="Times New Roman"/>
          <w:b/>
          <w:bCs/>
          <w:color w:val="auto"/>
          <w:lang w:val="en-US" w:eastAsia="zh-CN"/>
        </w:rPr>
      </w:pPr>
    </w:p>
    <w:p w14:paraId="5156864D">
      <w:pPr>
        <w:tabs>
          <w:tab w:val="left" w:pos="1950"/>
        </w:tabs>
        <w:jc w:val="left"/>
        <w:rPr>
          <w:rFonts w:hint="default" w:ascii="Times New Roman" w:hAnsi="Times New Roman" w:eastAsia="宋体" w:cs="Times New Roman"/>
          <w:b/>
          <w:bCs/>
          <w:color w:val="auto"/>
          <w:lang w:val="en-US" w:eastAsia="zh-CN"/>
        </w:rPr>
      </w:pPr>
    </w:p>
    <w:p w14:paraId="3DDB1497">
      <w:pPr>
        <w:tabs>
          <w:tab w:val="left" w:pos="1950"/>
        </w:tabs>
        <w:jc w:val="left"/>
        <w:rPr>
          <w:rFonts w:hint="default" w:ascii="Times New Roman" w:hAnsi="Times New Roman" w:eastAsia="宋体" w:cs="Times New Roman"/>
          <w:b/>
          <w:bCs/>
          <w:color w:val="auto"/>
          <w:lang w:val="en-US" w:eastAsia="zh-CN"/>
        </w:rPr>
      </w:pPr>
    </w:p>
    <w:p w14:paraId="5D3D372C">
      <w:pPr>
        <w:tabs>
          <w:tab w:val="left" w:pos="1950"/>
        </w:tabs>
        <w:jc w:val="left"/>
        <w:rPr>
          <w:rFonts w:hint="default" w:ascii="Times New Roman" w:hAnsi="Times New Roman" w:eastAsia="宋体" w:cs="Times New Roman"/>
          <w:b/>
          <w:bCs/>
          <w:color w:val="auto"/>
          <w:lang w:val="en-US" w:eastAsia="zh-CN"/>
        </w:rPr>
      </w:pPr>
    </w:p>
    <w:p w14:paraId="77EDA5EA">
      <w:pPr>
        <w:tabs>
          <w:tab w:val="left" w:pos="1950"/>
        </w:tabs>
        <w:jc w:val="left"/>
        <w:rPr>
          <w:rFonts w:hint="default" w:ascii="Times New Roman" w:hAnsi="Times New Roman" w:eastAsia="宋体" w:cs="Times New Roman"/>
          <w:b/>
          <w:bCs/>
          <w:color w:val="auto"/>
          <w:lang w:val="en-US" w:eastAsia="zh-CN"/>
        </w:rPr>
      </w:pPr>
    </w:p>
    <w:p w14:paraId="1CB6FCCA">
      <w:pPr>
        <w:tabs>
          <w:tab w:val="left" w:pos="1950"/>
        </w:tabs>
        <w:jc w:val="left"/>
        <w:rPr>
          <w:rFonts w:hint="default" w:ascii="Times New Roman" w:hAnsi="Times New Roman" w:eastAsia="宋体" w:cs="Times New Roman"/>
          <w:b/>
          <w:bCs/>
          <w:color w:val="auto"/>
          <w:lang w:val="en-US" w:eastAsia="zh-CN"/>
        </w:rPr>
      </w:pPr>
    </w:p>
    <w:p w14:paraId="04BA9931">
      <w:pPr>
        <w:jc w:val="center"/>
        <w:rPr>
          <w:rFonts w:hint="default" w:ascii="Times New Roman" w:hAnsi="Times New Roman" w:eastAsia="宋体" w:cs="Times New Roman"/>
          <w:b/>
          <w:bCs/>
          <w:color w:val="auto"/>
          <w:sz w:val="96"/>
          <w:szCs w:val="96"/>
          <w:lang w:eastAsia="zh-CN"/>
        </w:rPr>
      </w:pPr>
      <w:bookmarkStart w:id="462" w:name="_Toc1256968457_WPSOffice_Level3"/>
      <w:r>
        <w:rPr>
          <w:rFonts w:hint="default" w:ascii="Times New Roman" w:hAnsi="Times New Roman" w:eastAsia="宋体" w:cs="Times New Roman"/>
          <w:b/>
          <w:color w:val="auto"/>
          <w:sz w:val="96"/>
          <w:szCs w:val="96"/>
          <w:lang w:eastAsia="zh-CN"/>
        </w:rPr>
        <w:t>投标文件</w:t>
      </w:r>
      <w:bookmarkEnd w:id="462"/>
    </w:p>
    <w:p w14:paraId="5F800615">
      <w:pPr>
        <w:widowControl w:val="0"/>
        <w:tabs>
          <w:tab w:val="left" w:pos="1950"/>
        </w:tabs>
        <w:jc w:val="center"/>
        <w:rPr>
          <w:rFonts w:hint="default" w:ascii="Times New Roman" w:hAnsi="Times New Roman" w:eastAsia="宋体" w:cs="Times New Roman"/>
          <w:b/>
          <w:color w:val="auto"/>
          <w:sz w:val="36"/>
          <w:szCs w:val="36"/>
          <w:lang w:eastAsia="zh-CN"/>
        </w:rPr>
      </w:pPr>
    </w:p>
    <w:p w14:paraId="2DA22A92">
      <w:pPr>
        <w:widowControl w:val="0"/>
        <w:tabs>
          <w:tab w:val="left" w:pos="1950"/>
        </w:tabs>
        <w:jc w:val="center"/>
        <w:rPr>
          <w:rFonts w:hint="default" w:ascii="Times New Roman" w:hAnsi="Times New Roman" w:eastAsia="宋体" w:cs="Times New Roman"/>
          <w:b/>
          <w:color w:val="auto"/>
          <w:spacing w:val="20"/>
          <w:w w:val="150"/>
          <w:sz w:val="36"/>
          <w:szCs w:val="52"/>
          <w:lang w:val="en" w:eastAsia="zh-CN"/>
        </w:rPr>
      </w:pPr>
      <w:r>
        <w:rPr>
          <w:rFonts w:hint="default" w:ascii="Times New Roman" w:hAnsi="Times New Roman" w:eastAsia="宋体" w:cs="Times New Roman"/>
          <w:b/>
          <w:color w:val="auto"/>
          <w:sz w:val="36"/>
          <w:szCs w:val="36"/>
          <w:lang w:eastAsia="zh-CN"/>
        </w:rPr>
        <w:t>采购编号：</w:t>
      </w:r>
      <w:r>
        <w:rPr>
          <w:rFonts w:hint="default" w:ascii="Times New Roman" w:hAnsi="Times New Roman" w:eastAsia="宋体" w:cs="Times New Roman"/>
          <w:b/>
          <w:color w:val="auto"/>
          <w:sz w:val="36"/>
          <w:szCs w:val="36"/>
          <w:lang w:val="en" w:eastAsia="zh-CN"/>
        </w:rPr>
        <w:t>豫财招标采购-2025-791</w:t>
      </w:r>
    </w:p>
    <w:p w14:paraId="3F876878">
      <w:pPr>
        <w:widowControl w:val="0"/>
        <w:spacing w:line="360" w:lineRule="auto"/>
        <w:ind w:left="1080" w:leftChars="257" w:hanging="540"/>
        <w:rPr>
          <w:rFonts w:hint="default" w:ascii="Times New Roman" w:hAnsi="Times New Roman" w:eastAsia="宋体" w:cs="Times New Roman"/>
          <w:b/>
          <w:color w:val="auto"/>
          <w:sz w:val="28"/>
          <w:szCs w:val="24"/>
          <w:lang w:val="en-US" w:eastAsia="zh-CN"/>
        </w:rPr>
      </w:pPr>
    </w:p>
    <w:p w14:paraId="6A44CAC3">
      <w:pPr>
        <w:widowControl w:val="0"/>
        <w:spacing w:line="360" w:lineRule="auto"/>
        <w:ind w:left="1080" w:leftChars="257" w:hanging="540"/>
        <w:rPr>
          <w:rFonts w:hint="default" w:ascii="Times New Roman" w:hAnsi="Times New Roman" w:eastAsia="宋体" w:cs="Times New Roman"/>
          <w:b/>
          <w:color w:val="auto"/>
          <w:sz w:val="28"/>
          <w:szCs w:val="24"/>
          <w:lang w:val="en-US" w:eastAsia="zh-CN"/>
        </w:rPr>
      </w:pPr>
    </w:p>
    <w:p w14:paraId="7C82342E">
      <w:pPr>
        <w:widowControl w:val="0"/>
        <w:spacing w:line="360" w:lineRule="auto"/>
        <w:ind w:left="1080" w:leftChars="257" w:hanging="540"/>
        <w:rPr>
          <w:rFonts w:hint="default" w:ascii="Times New Roman" w:hAnsi="Times New Roman" w:eastAsia="宋体" w:cs="Times New Roman"/>
          <w:b/>
          <w:color w:val="auto"/>
          <w:sz w:val="28"/>
          <w:szCs w:val="24"/>
          <w:lang w:val="en-US" w:eastAsia="zh-CN"/>
        </w:rPr>
      </w:pPr>
    </w:p>
    <w:p w14:paraId="6ED96EC0">
      <w:pPr>
        <w:widowControl w:val="0"/>
        <w:spacing w:line="360" w:lineRule="auto"/>
        <w:rPr>
          <w:rFonts w:hint="default" w:ascii="Times New Roman" w:hAnsi="Times New Roman" w:eastAsia="宋体" w:cs="Times New Roman"/>
          <w:b/>
          <w:color w:val="auto"/>
          <w:sz w:val="52"/>
          <w:szCs w:val="24"/>
          <w:lang w:val="en-US" w:eastAsia="zh-CN"/>
        </w:rPr>
      </w:pPr>
    </w:p>
    <w:p w14:paraId="270B7751">
      <w:pPr>
        <w:pStyle w:val="98"/>
        <w:rPr>
          <w:rFonts w:hint="default" w:ascii="Times New Roman" w:hAnsi="Times New Roman" w:cs="Times New Roman"/>
          <w:color w:val="auto"/>
        </w:rPr>
      </w:pPr>
    </w:p>
    <w:p w14:paraId="32646AB8">
      <w:pPr>
        <w:widowControl w:val="0"/>
        <w:autoSpaceDE w:val="0"/>
        <w:autoSpaceDN w:val="0"/>
        <w:adjustRightInd w:val="0"/>
        <w:ind w:firstLine="1084" w:firstLineChars="300"/>
        <w:rPr>
          <w:rFonts w:hint="default" w:ascii="Times New Roman" w:hAnsi="Times New Roman" w:eastAsia="宋体" w:cs="Times New Roman"/>
          <w:b/>
          <w:color w:val="auto"/>
          <w:sz w:val="36"/>
          <w:szCs w:val="36"/>
          <w:lang w:val="en-US" w:eastAsia="zh-CN"/>
        </w:rPr>
      </w:pPr>
      <w:r>
        <w:rPr>
          <w:rFonts w:hint="default" w:ascii="Times New Roman" w:hAnsi="Times New Roman" w:eastAsia="宋体" w:cs="Times New Roman"/>
          <w:b/>
          <w:color w:val="auto"/>
          <w:sz w:val="36"/>
          <w:szCs w:val="36"/>
          <w:lang w:val="en-US" w:eastAsia="zh-CN"/>
        </w:rPr>
        <w:t>投标人（企业电子签章）：</w:t>
      </w:r>
    </w:p>
    <w:p w14:paraId="631390A7">
      <w:pPr>
        <w:pStyle w:val="166"/>
        <w:ind w:firstLine="0"/>
        <w:rPr>
          <w:rFonts w:hint="default" w:ascii="Times New Roman" w:hAnsi="Times New Roman" w:eastAsia="宋体" w:cs="Times New Roman"/>
          <w:color w:val="auto"/>
          <w:sz w:val="36"/>
          <w:szCs w:val="36"/>
          <w:lang w:val="en-US" w:eastAsia="zh-CN"/>
        </w:rPr>
      </w:pPr>
    </w:p>
    <w:p w14:paraId="24D6E34D">
      <w:pPr>
        <w:pStyle w:val="166"/>
        <w:ind w:firstLine="0"/>
        <w:rPr>
          <w:rFonts w:hint="default" w:ascii="Times New Roman" w:hAnsi="Times New Roman" w:eastAsia="宋体" w:cs="Times New Roman"/>
          <w:color w:val="auto"/>
          <w:lang w:eastAsia="zh-CN"/>
        </w:rPr>
      </w:pPr>
    </w:p>
    <w:p w14:paraId="57F3C853">
      <w:pPr>
        <w:pStyle w:val="197"/>
        <w:spacing w:line="360" w:lineRule="auto"/>
        <w:jc w:val="center"/>
        <w:rPr>
          <w:rFonts w:hint="default" w:ascii="Times New Roman" w:hAnsi="Times New Roman" w:eastAsia="仿宋_GB2312" w:cs="Times New Roman"/>
          <w:b/>
          <w:bCs/>
          <w:color w:val="auto"/>
          <w:sz w:val="32"/>
          <w:szCs w:val="32"/>
        </w:rPr>
      </w:pPr>
      <w:bookmarkStart w:id="463" w:name="_Toc1363473509_WPSOffice_Level2"/>
      <w:r>
        <w:rPr>
          <w:rFonts w:hint="default" w:ascii="Times New Roman" w:hAnsi="Times New Roman" w:eastAsia="仿宋_GB2312" w:cs="Times New Roman"/>
          <w:b/>
          <w:bCs/>
          <w:color w:val="auto"/>
          <w:sz w:val="32"/>
          <w:szCs w:val="32"/>
        </w:rPr>
        <w:br w:type="page"/>
      </w:r>
      <w:r>
        <w:rPr>
          <w:rFonts w:hint="default" w:ascii="Times New Roman" w:hAnsi="Times New Roman" w:eastAsia="仿宋_GB2312" w:cs="Times New Roman"/>
          <w:b/>
          <w:bCs/>
          <w:color w:val="auto"/>
          <w:sz w:val="32"/>
          <w:szCs w:val="32"/>
        </w:rPr>
        <w:t>目  录</w:t>
      </w:r>
      <w:bookmarkEnd w:id="463"/>
    </w:p>
    <w:p w14:paraId="473882ED">
      <w:pPr>
        <w:pStyle w:val="197"/>
        <w:spacing w:line="360" w:lineRule="auto"/>
        <w:rPr>
          <w:rFonts w:hint="default" w:ascii="Times New Roman" w:hAnsi="Times New Roman" w:eastAsia="仿宋_GB2312" w:cs="Times New Roman"/>
          <w:color w:val="auto"/>
          <w:sz w:val="28"/>
          <w:szCs w:val="28"/>
          <w:lang w:val="zh-TW"/>
        </w:rPr>
      </w:pPr>
    </w:p>
    <w:p w14:paraId="6CAC18C2">
      <w:pPr>
        <w:pStyle w:val="197"/>
        <w:spacing w:line="360" w:lineRule="auto"/>
        <w:rPr>
          <w:rFonts w:hint="default" w:ascii="Times New Roman" w:hAnsi="Times New Roman" w:eastAsia="仿宋_GB2312" w:cs="Times New Roman"/>
          <w:color w:val="auto"/>
          <w:sz w:val="28"/>
          <w:szCs w:val="28"/>
          <w:lang w:val="zh-TW"/>
        </w:rPr>
      </w:pPr>
      <w:bookmarkStart w:id="464" w:name="_Toc1369473062_WPSOffice_Level2"/>
      <w:r>
        <w:rPr>
          <w:rFonts w:hint="default" w:ascii="Times New Roman" w:hAnsi="Times New Roman" w:eastAsia="仿宋_GB2312" w:cs="Times New Roman"/>
          <w:color w:val="auto"/>
          <w:sz w:val="28"/>
          <w:szCs w:val="28"/>
          <w:lang w:val="zh-TW"/>
        </w:rPr>
        <w:t>一、投标函</w:t>
      </w:r>
      <w:bookmarkEnd w:id="464"/>
    </w:p>
    <w:p w14:paraId="7CED1D32">
      <w:pPr>
        <w:pStyle w:val="197"/>
        <w:spacing w:line="360" w:lineRule="auto"/>
        <w:rPr>
          <w:rFonts w:hint="default" w:ascii="Times New Roman" w:hAnsi="Times New Roman" w:eastAsia="仿宋_GB2312" w:cs="Times New Roman"/>
          <w:color w:val="auto"/>
          <w:sz w:val="28"/>
          <w:szCs w:val="28"/>
          <w:lang w:val="zh-TW"/>
        </w:rPr>
      </w:pPr>
      <w:bookmarkStart w:id="465" w:name="_Toc463745896_WPSOffice_Level2"/>
      <w:r>
        <w:rPr>
          <w:rFonts w:hint="default" w:ascii="Times New Roman" w:hAnsi="Times New Roman" w:eastAsia="仿宋_GB2312" w:cs="Times New Roman"/>
          <w:color w:val="auto"/>
          <w:sz w:val="28"/>
          <w:szCs w:val="28"/>
          <w:lang w:val="zh-TW"/>
        </w:rPr>
        <w:t>二、法定代表人身份证明书</w:t>
      </w:r>
      <w:bookmarkEnd w:id="465"/>
    </w:p>
    <w:p w14:paraId="5D1F5398">
      <w:pPr>
        <w:pStyle w:val="197"/>
        <w:spacing w:line="360" w:lineRule="auto"/>
        <w:rPr>
          <w:rFonts w:hint="default" w:ascii="Times New Roman" w:hAnsi="Times New Roman" w:eastAsia="仿宋_GB2312" w:cs="Times New Roman"/>
          <w:color w:val="auto"/>
          <w:sz w:val="28"/>
          <w:szCs w:val="28"/>
          <w:lang w:val="zh-TW"/>
        </w:rPr>
      </w:pPr>
      <w:bookmarkStart w:id="466" w:name="_Toc1855119639_WPSOffice_Level2"/>
      <w:r>
        <w:rPr>
          <w:rFonts w:hint="default" w:ascii="Times New Roman" w:hAnsi="Times New Roman" w:eastAsia="仿宋_GB2312" w:cs="Times New Roman"/>
          <w:color w:val="auto"/>
          <w:sz w:val="28"/>
          <w:szCs w:val="28"/>
          <w:lang w:val="zh-TW"/>
        </w:rPr>
        <w:t>三、</w:t>
      </w:r>
      <w:bookmarkEnd w:id="466"/>
      <w:bookmarkStart w:id="467" w:name="_Toc1414587926_WPSOffice_Level2"/>
      <w:r>
        <w:rPr>
          <w:rFonts w:hint="default" w:ascii="Times New Roman" w:hAnsi="Times New Roman" w:eastAsia="仿宋_GB2312" w:cs="Times New Roman"/>
          <w:color w:val="auto"/>
          <w:sz w:val="28"/>
          <w:szCs w:val="28"/>
          <w:lang w:val="zh-TW"/>
        </w:rPr>
        <w:t>投标报价表格</w:t>
      </w:r>
      <w:bookmarkEnd w:id="467"/>
    </w:p>
    <w:p w14:paraId="5A201957">
      <w:pPr>
        <w:pStyle w:val="197"/>
        <w:spacing w:line="360" w:lineRule="auto"/>
        <w:rPr>
          <w:rFonts w:hint="default" w:ascii="Times New Roman" w:hAnsi="Times New Roman" w:eastAsia="仿宋_GB2312" w:cs="Times New Roman"/>
          <w:color w:val="auto"/>
          <w:sz w:val="28"/>
          <w:szCs w:val="28"/>
          <w:lang w:val="zh-TW"/>
        </w:rPr>
      </w:pPr>
      <w:bookmarkStart w:id="468" w:name="_Toc1975960056_WPSOffice_Level2"/>
      <w:r>
        <w:rPr>
          <w:rFonts w:hint="default" w:ascii="Times New Roman" w:hAnsi="Times New Roman" w:eastAsia="仿宋_GB2312" w:cs="Times New Roman"/>
          <w:color w:val="auto"/>
          <w:sz w:val="28"/>
          <w:szCs w:val="28"/>
          <w:lang w:val="zh-TW" w:eastAsia="zh-CN"/>
        </w:rPr>
        <w:t>四</w:t>
      </w:r>
      <w:r>
        <w:rPr>
          <w:rFonts w:hint="default" w:ascii="Times New Roman" w:hAnsi="Times New Roman" w:eastAsia="仿宋_GB2312" w:cs="Times New Roman"/>
          <w:color w:val="auto"/>
          <w:sz w:val="28"/>
          <w:szCs w:val="28"/>
          <w:lang w:val="zh-TW"/>
        </w:rPr>
        <w:t>、企业声明函</w:t>
      </w:r>
    </w:p>
    <w:p w14:paraId="45B79870">
      <w:pPr>
        <w:pStyle w:val="197"/>
        <w:spacing w:line="360" w:lineRule="auto"/>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eastAsia="zh-CN"/>
        </w:rPr>
        <w:t>五</w:t>
      </w:r>
      <w:r>
        <w:rPr>
          <w:rFonts w:hint="default" w:ascii="Times New Roman" w:hAnsi="Times New Roman" w:eastAsia="仿宋_GB2312" w:cs="Times New Roman"/>
          <w:color w:val="auto"/>
          <w:sz w:val="28"/>
          <w:szCs w:val="28"/>
          <w:lang w:val="zh-TW"/>
        </w:rPr>
        <w:t>、综合证明文件</w:t>
      </w:r>
      <w:bookmarkEnd w:id="468"/>
    </w:p>
    <w:p w14:paraId="24B6C2D6">
      <w:pPr>
        <w:pStyle w:val="197"/>
        <w:spacing w:line="360" w:lineRule="auto"/>
        <w:rPr>
          <w:rFonts w:hint="default" w:ascii="Times New Roman" w:hAnsi="Times New Roman" w:eastAsia="仿宋_GB2312" w:cs="Times New Roman"/>
          <w:color w:val="auto"/>
          <w:sz w:val="28"/>
          <w:szCs w:val="28"/>
          <w:lang w:val="zh-TW"/>
        </w:rPr>
      </w:pPr>
      <w:bookmarkStart w:id="469" w:name="_Toc1775003324_WPSOffice_Level2"/>
      <w:r>
        <w:rPr>
          <w:rFonts w:hint="default" w:ascii="Times New Roman" w:hAnsi="Times New Roman" w:eastAsia="仿宋_GB2312" w:cs="Times New Roman"/>
          <w:color w:val="auto"/>
          <w:sz w:val="28"/>
          <w:szCs w:val="28"/>
          <w:lang w:val="zh-TW" w:eastAsia="zh-CN"/>
        </w:rPr>
        <w:t>六</w:t>
      </w:r>
      <w:r>
        <w:rPr>
          <w:rFonts w:hint="default" w:ascii="Times New Roman" w:hAnsi="Times New Roman" w:eastAsia="仿宋_GB2312" w:cs="Times New Roman"/>
          <w:color w:val="auto"/>
          <w:sz w:val="28"/>
          <w:szCs w:val="28"/>
          <w:lang w:val="zh-TW"/>
        </w:rPr>
        <w:t>、服务方案</w:t>
      </w:r>
      <w:bookmarkEnd w:id="469"/>
    </w:p>
    <w:p w14:paraId="22955CB6">
      <w:pPr>
        <w:pStyle w:val="197"/>
        <w:spacing w:line="360" w:lineRule="auto"/>
        <w:rPr>
          <w:rFonts w:hint="default" w:ascii="Times New Roman" w:hAnsi="Times New Roman" w:eastAsia="仿宋_GB2312" w:cs="Times New Roman"/>
          <w:color w:val="auto"/>
          <w:sz w:val="28"/>
          <w:szCs w:val="28"/>
          <w:lang w:val="zh-TW"/>
        </w:rPr>
      </w:pPr>
      <w:bookmarkStart w:id="470" w:name="_Toc1501347018_WPSOffice_Level2"/>
      <w:r>
        <w:rPr>
          <w:rFonts w:hint="default" w:ascii="Times New Roman" w:hAnsi="Times New Roman" w:eastAsia="仿宋_GB2312" w:cs="Times New Roman"/>
          <w:color w:val="auto"/>
          <w:sz w:val="28"/>
          <w:szCs w:val="28"/>
          <w:lang w:val="zh-TW" w:eastAsia="zh-CN"/>
        </w:rPr>
        <w:t>七</w:t>
      </w:r>
      <w:r>
        <w:rPr>
          <w:rFonts w:hint="default" w:ascii="Times New Roman" w:hAnsi="Times New Roman" w:eastAsia="仿宋_GB2312" w:cs="Times New Roman"/>
          <w:color w:val="auto"/>
          <w:sz w:val="28"/>
          <w:szCs w:val="28"/>
          <w:lang w:val="zh-TW"/>
        </w:rPr>
        <w:t>、其他文件</w:t>
      </w:r>
      <w:bookmarkEnd w:id="470"/>
    </w:p>
    <w:p w14:paraId="2EB03AAB">
      <w:pPr>
        <w:pStyle w:val="197"/>
        <w:spacing w:line="360" w:lineRule="auto"/>
        <w:rPr>
          <w:rFonts w:hint="default" w:ascii="Times New Roman" w:hAnsi="Times New Roman" w:eastAsia="仿宋_GB2312" w:cs="Times New Roman"/>
          <w:color w:val="auto"/>
          <w:sz w:val="28"/>
          <w:szCs w:val="28"/>
          <w:lang w:val="zh-TW"/>
        </w:rPr>
      </w:pPr>
    </w:p>
    <w:p w14:paraId="519310BB">
      <w:pPr>
        <w:pStyle w:val="3"/>
        <w:spacing w:before="0" w:after="0" w:line="360" w:lineRule="auto"/>
        <w:jc w:val="center"/>
        <w:rPr>
          <w:rFonts w:hint="default" w:ascii="Times New Roman" w:hAnsi="Times New Roman" w:eastAsia="方正小标宋_GBK" w:cs="Times New Roman"/>
          <w:b w:val="0"/>
          <w:color w:val="auto"/>
          <w:sz w:val="30"/>
          <w:szCs w:val="30"/>
          <w:lang w:val="en-US" w:eastAsia="zh-CN"/>
        </w:rPr>
      </w:pPr>
      <w:r>
        <w:rPr>
          <w:rFonts w:hint="default" w:ascii="Times New Roman" w:hAnsi="Times New Roman" w:cs="Times New Roman"/>
          <w:color w:val="auto"/>
          <w:lang w:eastAsia="zh-CN"/>
        </w:rPr>
        <w:br w:type="page"/>
      </w:r>
      <w:bookmarkStart w:id="471" w:name="_Toc522876556"/>
      <w:bookmarkStart w:id="472" w:name="_Toc653176911"/>
      <w:bookmarkStart w:id="473" w:name="_Toc1619011783"/>
      <w:bookmarkStart w:id="474" w:name="_Toc110196896"/>
      <w:bookmarkStart w:id="475" w:name="_Toc796765497"/>
      <w:bookmarkStart w:id="476" w:name="_Toc131708317"/>
      <w:bookmarkStart w:id="477" w:name="_Toc1418429380_WPSOffice_Level2"/>
      <w:bookmarkStart w:id="478" w:name="_Toc520566279"/>
      <w:bookmarkStart w:id="479" w:name="_Toc343930138"/>
      <w:bookmarkStart w:id="480" w:name="_Toc1004533822"/>
      <w:bookmarkStart w:id="481" w:name="_Toc1383476989"/>
      <w:bookmarkStart w:id="482" w:name="_Toc1032668283"/>
      <w:r>
        <w:rPr>
          <w:rFonts w:hint="default" w:ascii="Times New Roman" w:hAnsi="Times New Roman" w:eastAsia="方正小标宋_GBK" w:cs="Times New Roman"/>
          <w:b w:val="0"/>
          <w:color w:val="auto"/>
          <w:sz w:val="30"/>
          <w:szCs w:val="30"/>
          <w:lang w:val="en-US" w:eastAsia="zh-CN"/>
        </w:rPr>
        <w:t>一、</w:t>
      </w:r>
      <w:r>
        <w:rPr>
          <w:rFonts w:hint="default" w:ascii="Times New Roman" w:hAnsi="Times New Roman" w:eastAsia="方正小标宋_GBK" w:cs="Times New Roman"/>
          <w:b w:val="0"/>
          <w:color w:val="auto"/>
          <w:sz w:val="30"/>
          <w:szCs w:val="30"/>
          <w:lang w:eastAsia="zh-CN"/>
        </w:rPr>
        <w:t>投标函</w:t>
      </w:r>
      <w:bookmarkEnd w:id="471"/>
      <w:bookmarkEnd w:id="472"/>
      <w:bookmarkEnd w:id="473"/>
      <w:bookmarkEnd w:id="474"/>
      <w:bookmarkEnd w:id="475"/>
      <w:bookmarkEnd w:id="476"/>
      <w:bookmarkEnd w:id="477"/>
      <w:bookmarkEnd w:id="478"/>
      <w:bookmarkEnd w:id="479"/>
      <w:bookmarkEnd w:id="480"/>
      <w:bookmarkEnd w:id="481"/>
      <w:bookmarkEnd w:id="482"/>
    </w:p>
    <w:p w14:paraId="0335E9E9">
      <w:pPr>
        <w:spacing w:line="360" w:lineRule="auto"/>
        <w:ind w:firstLine="480"/>
        <w:rPr>
          <w:rFonts w:hint="default" w:ascii="Times New Roman" w:hAnsi="Times New Roman" w:eastAsia="仿宋_GB2312" w:cs="Times New Roman"/>
          <w:color w:val="auto"/>
          <w:sz w:val="28"/>
          <w:szCs w:val="28"/>
          <w:lang w:eastAsia="zh-CN"/>
        </w:rPr>
      </w:pPr>
    </w:p>
    <w:p w14:paraId="60A8E2E9">
      <w:pPr>
        <w:spacing w:line="360" w:lineRule="auto"/>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US" w:eastAsia="zh-CN"/>
        </w:rPr>
        <w:t xml:space="preserve"> 河南工业和信息化职业学院</w:t>
      </w:r>
      <w:r>
        <w:rPr>
          <w:rFonts w:hint="default" w:ascii="Times New Roman" w:hAnsi="Times New Roman" w:eastAsia="仿宋_GB2312" w:cs="Times New Roman"/>
          <w:color w:val="auto"/>
          <w:sz w:val="28"/>
          <w:szCs w:val="28"/>
          <w:u w:val="single"/>
          <w:lang w:eastAsia="zh-CN"/>
        </w:rPr>
        <w:t xml:space="preserve"> </w:t>
      </w:r>
    </w:p>
    <w:p w14:paraId="3542FF1F">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我们收到了采购编号为</w:t>
      </w:r>
      <w:r>
        <w:rPr>
          <w:rFonts w:hint="default" w:ascii="Times New Roman" w:hAnsi="Times New Roman" w:eastAsia="仿宋_GB2312" w:cs="Times New Roman"/>
          <w:color w:val="auto"/>
          <w:sz w:val="28"/>
          <w:szCs w:val="28"/>
          <w:u w:val="single"/>
          <w:lang w:eastAsia="zh-CN"/>
        </w:rPr>
        <w:t xml:space="preserve"> </w:t>
      </w:r>
      <w:r>
        <w:rPr>
          <w:rFonts w:hint="default" w:ascii="Times New Roman" w:hAnsi="Times New Roman" w:eastAsia="仿宋_GB2312" w:cs="Times New Roman"/>
          <w:color w:val="auto"/>
          <w:sz w:val="28"/>
          <w:szCs w:val="28"/>
          <w:u w:val="single"/>
          <w:lang w:val="en" w:eastAsia="zh-CN"/>
        </w:rPr>
        <w:t>豫财招标采购-2025-791</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的</w:t>
      </w:r>
      <w:r>
        <w:rPr>
          <w:rFonts w:hint="default" w:ascii="Times New Roman" w:hAnsi="Times New Roman" w:eastAsia="仿宋_GB2312" w:cs="Times New Roman"/>
          <w:color w:val="auto"/>
          <w:sz w:val="28"/>
          <w:szCs w:val="28"/>
          <w:u w:val="single"/>
          <w:lang w:eastAsia="zh-CN"/>
        </w:rPr>
        <w:t xml:space="preserve"> </w:t>
      </w:r>
      <w:r>
        <w:rPr>
          <w:rFonts w:hint="default" w:ascii="Times New Roman" w:hAnsi="Times New Roman" w:eastAsia="仿宋_GB2312" w:cs="Times New Roman"/>
          <w:color w:val="auto"/>
          <w:sz w:val="28"/>
          <w:szCs w:val="28"/>
          <w:u w:val="single"/>
          <w:lang w:val="en" w:eastAsia="zh-CN"/>
        </w:rPr>
        <w:t>河南工业和信息化职业学院2025年-2028年物业服务项目</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采购文件，经详细研究，我们决定参加该项目的投标活动并按要求提交投标文件。我们郑重声明以下诸点并负法律责任</w:t>
      </w:r>
      <w:r>
        <w:rPr>
          <w:rFonts w:hint="default" w:ascii="Times New Roman" w:hAnsi="Times New Roman" w:eastAsia="仿宋_GB2312" w:cs="Times New Roman"/>
          <w:color w:val="auto"/>
          <w:sz w:val="28"/>
          <w:szCs w:val="28"/>
          <w:lang w:val="en-US" w:eastAsia="zh-CN"/>
        </w:rPr>
        <w:t>:</w:t>
      </w:r>
    </w:p>
    <w:p w14:paraId="22D99996">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(1) </w:t>
      </w:r>
      <w:r>
        <w:rPr>
          <w:rFonts w:hint="default" w:ascii="Times New Roman" w:hAnsi="Times New Roman" w:eastAsia="仿宋_GB2312" w:cs="Times New Roman"/>
          <w:color w:val="auto"/>
          <w:sz w:val="28"/>
          <w:szCs w:val="28"/>
          <w:lang w:eastAsia="zh-CN"/>
        </w:rPr>
        <w:t>愿按照采购文件中规定的条款和要求，提供完成采购文件规定的全部工作，投标总报价为（大写）</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元人民币，（小写）￥：</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元），服务期限为</w:t>
      </w:r>
      <w:r>
        <w:rPr>
          <w:rFonts w:hint="default" w:ascii="Times New Roman" w:hAnsi="Times New Roman" w:eastAsia="仿宋_GB2312" w:cs="Times New Roman"/>
          <w:color w:val="auto"/>
          <w:sz w:val="28"/>
          <w:szCs w:val="28"/>
          <w:u w:val="single"/>
          <w:lang w:val="en-US" w:eastAsia="zh-CN"/>
        </w:rPr>
        <w:t xml:space="preserve"> 3</w:t>
      </w:r>
      <w:r>
        <w:rPr>
          <w:rFonts w:hint="default" w:ascii="Times New Roman" w:hAnsi="Times New Roman" w:eastAsia="仿宋_GB2312" w:cs="Times New Roman"/>
          <w:color w:val="auto"/>
          <w:sz w:val="28"/>
          <w:szCs w:val="28"/>
          <w:u w:val="none"/>
          <w:lang w:val="en-US" w:eastAsia="zh-CN"/>
        </w:rPr>
        <w:t>年</w:t>
      </w:r>
      <w:r>
        <w:rPr>
          <w:rFonts w:hint="default" w:ascii="Times New Roman" w:hAnsi="Times New Roman" w:eastAsia="仿宋_GB2312" w:cs="Times New Roman"/>
          <w:color w:val="auto"/>
          <w:sz w:val="28"/>
          <w:szCs w:val="28"/>
          <w:lang w:eastAsia="zh-CN"/>
        </w:rPr>
        <w:t>，投标有效期</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u w:val="single"/>
          <w:lang w:eastAsia="zh-CN"/>
        </w:rPr>
        <w:t>60</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val="en-US" w:eastAsia="zh-CN"/>
        </w:rPr>
        <w:t>天</w:t>
      </w:r>
      <w:r>
        <w:rPr>
          <w:rFonts w:hint="default" w:ascii="Times New Roman" w:hAnsi="Times New Roman" w:eastAsia="仿宋_GB2312" w:cs="Times New Roman"/>
          <w:color w:val="auto"/>
          <w:sz w:val="28"/>
          <w:szCs w:val="28"/>
          <w:lang w:eastAsia="zh-CN"/>
        </w:rPr>
        <w:t>。</w:t>
      </w:r>
    </w:p>
    <w:p w14:paraId="0DB7E448">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如果我们的投标文件被接受，我们将履行招标文件中规定的各项要求。</w:t>
      </w:r>
    </w:p>
    <w:p w14:paraId="1F059A94">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我们同意本招标文件中有关投标有效期的规定。如果中标，有效期延长至合同终止日止。</w:t>
      </w:r>
    </w:p>
    <w:p w14:paraId="3C3C2722">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我们愿提供招标文件中要求的所有文件资料。</w:t>
      </w:r>
    </w:p>
    <w:p w14:paraId="2B95073D">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我们已经详细审核了全部采购文件，如有需要澄清的问题，我们同意按采购文件规定的时间向采购人提出。逾期不提，我公司同意放弃对这方面有不明及误解的权利。</w:t>
      </w:r>
    </w:p>
    <w:p w14:paraId="445B2601">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我们承诺，与采购人聘请的为此项目提供咨询服务及任何附属机构均无关联，非采购人的附属机构。</w:t>
      </w:r>
    </w:p>
    <w:p w14:paraId="269A4FA4">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我公司同意提供按照采购人可能要求的与其投标有关的一切数据或资料，完全理解采购人不一定接受最低价的投标或收到的任何投标。</w:t>
      </w:r>
    </w:p>
    <w:p w14:paraId="64C7096C">
      <w:pPr>
        <w:spacing w:line="360" w:lineRule="auto"/>
        <w:ind w:firstLine="48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lang w:eastAsia="zh-CN"/>
        </w:rPr>
        <w:t>如果我们的投标文件被接受，我们将按招标文件的规定签订并严格履行合同中的责任和义务。</w:t>
      </w:r>
    </w:p>
    <w:p w14:paraId="40CFC235">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9</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我公司公平竞争参加本次招标活动。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5ECFCBB1">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color w:val="auto"/>
          <w:sz w:val="28"/>
          <w:szCs w:val="28"/>
          <w:lang w:eastAsia="zh-CN"/>
        </w:rPr>
        <w:t>我公司独立参加投标，未组成联合体参加投标。</w:t>
      </w:r>
    </w:p>
    <w:p w14:paraId="470C66B6">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除不可抗力外，我公司如果发生以下行为，将在行为发生的10个工作日内，向贵方支付本招标文件公布的最高限价的2%作为违约赔偿金。</w:t>
      </w:r>
    </w:p>
    <w:p w14:paraId="2D377827">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1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①</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在招标文件规定的投标有效期内实质上修改或撤回投标；</w:t>
      </w:r>
    </w:p>
    <w:p w14:paraId="038F93DB">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2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②</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中标后不依法与采购人签订合同；</w:t>
      </w:r>
    </w:p>
    <w:p w14:paraId="501D87E8">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3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③</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在投标文件中提供虚假材料。</w:t>
      </w:r>
    </w:p>
    <w:p w14:paraId="6AF8B6C7">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US" w:eastAsia="zh-CN"/>
        </w:rPr>
        <w:t xml:space="preserve">2) </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（其他补充说明）。</w:t>
      </w:r>
    </w:p>
    <w:p w14:paraId="6906F2EE">
      <w:pPr>
        <w:spacing w:line="360" w:lineRule="auto"/>
        <w:ind w:firstLine="560"/>
        <w:rPr>
          <w:rFonts w:hint="default" w:ascii="Times New Roman" w:hAnsi="Times New Roman" w:eastAsia="仿宋_GB2312" w:cs="Times New Roman"/>
          <w:color w:val="auto"/>
          <w:sz w:val="28"/>
          <w:szCs w:val="28"/>
          <w:lang w:eastAsia="zh-CN"/>
        </w:rPr>
      </w:pPr>
    </w:p>
    <w:p w14:paraId="5D06D26A">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与本投标有关的正式通讯地址：</w:t>
      </w:r>
    </w:p>
    <w:p w14:paraId="399C1C18">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地  址：                             邮  编：</w:t>
      </w:r>
    </w:p>
    <w:p w14:paraId="1B22236B">
      <w:pPr>
        <w:spacing w:line="360" w:lineRule="auto"/>
        <w:ind w:firstLine="465"/>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电  话：                             传  真：</w:t>
      </w:r>
    </w:p>
    <w:p w14:paraId="4CD20ED9">
      <w:pPr>
        <w:spacing w:line="360" w:lineRule="auto"/>
        <w:ind w:firstLine="465"/>
        <w:rPr>
          <w:rFonts w:hint="default" w:ascii="Times New Roman" w:hAnsi="Times New Roman" w:eastAsia="仿宋_GB2312" w:cs="Times New Roman"/>
          <w:color w:val="auto"/>
          <w:sz w:val="28"/>
          <w:szCs w:val="28"/>
          <w:lang w:eastAsia="zh-CN"/>
        </w:rPr>
      </w:pPr>
    </w:p>
    <w:p w14:paraId="62AB13E1">
      <w:pPr>
        <w:spacing w:line="360" w:lineRule="auto"/>
        <w:ind w:firstLine="465"/>
        <w:rPr>
          <w:rFonts w:hint="default" w:ascii="Times New Roman" w:hAnsi="Times New Roman" w:eastAsia="仿宋_GB2312" w:cs="Times New Roman"/>
          <w:color w:val="auto"/>
          <w:sz w:val="28"/>
          <w:szCs w:val="28"/>
          <w:lang w:eastAsia="zh-CN"/>
        </w:rPr>
      </w:pPr>
    </w:p>
    <w:p w14:paraId="00332C5E">
      <w:pPr>
        <w:spacing w:line="480" w:lineRule="auto"/>
        <w:ind w:firstLine="465"/>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投标人（企业电子签章）：</w:t>
      </w:r>
    </w:p>
    <w:p w14:paraId="398DA3DB">
      <w:pPr>
        <w:spacing w:line="400" w:lineRule="exact"/>
        <w:ind w:firstLine="465"/>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 xml:space="preserve">法定代表人（个人电子签章）：       </w:t>
      </w:r>
    </w:p>
    <w:p w14:paraId="69EE63E4">
      <w:pPr>
        <w:pStyle w:val="228"/>
        <w:rPr>
          <w:rFonts w:hint="default" w:ascii="Times New Roman" w:hAnsi="Times New Roman" w:cs="Times New Roman"/>
          <w:color w:val="auto"/>
        </w:rPr>
      </w:pPr>
    </w:p>
    <w:p w14:paraId="0D53D30A">
      <w:pPr>
        <w:pStyle w:val="228"/>
        <w:rPr>
          <w:rFonts w:hint="default" w:ascii="Times New Roman" w:hAnsi="Times New Roman" w:cs="Times New Roman"/>
          <w:color w:val="auto"/>
        </w:rPr>
      </w:pPr>
    </w:p>
    <w:p w14:paraId="68D63B47">
      <w:pPr>
        <w:spacing w:line="400" w:lineRule="exact"/>
        <w:ind w:firstLine="465"/>
        <w:jc w:val="righ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日期：    年  月  日</w:t>
      </w:r>
    </w:p>
    <w:p w14:paraId="1F9E030D">
      <w:pPr>
        <w:pStyle w:val="3"/>
        <w:spacing w:before="0" w:after="0" w:line="360" w:lineRule="auto"/>
        <w:jc w:val="center"/>
        <w:rPr>
          <w:rFonts w:hint="default" w:ascii="Times New Roman" w:hAnsi="Times New Roman" w:eastAsia="方正小标宋_GBK" w:cs="Times New Roman"/>
          <w:b w:val="0"/>
          <w:color w:val="auto"/>
          <w:sz w:val="30"/>
          <w:szCs w:val="30"/>
          <w:lang w:val="en-US" w:eastAsia="zh-CN"/>
        </w:rPr>
      </w:pPr>
      <w:bookmarkStart w:id="483" w:name="_Toc20897"/>
      <w:bookmarkStart w:id="484" w:name="_Toc532473507"/>
      <w:bookmarkStart w:id="485" w:name="_Toc74240237"/>
      <w:bookmarkStart w:id="486" w:name="_Toc1881"/>
      <w:bookmarkStart w:id="487" w:name="_Toc515647818"/>
      <w:bookmarkStart w:id="488" w:name="_Toc2582321"/>
      <w:r>
        <w:rPr>
          <w:rFonts w:hint="default" w:ascii="Times New Roman" w:hAnsi="Times New Roman" w:eastAsia="黑体" w:cs="Times New Roman"/>
          <w:color w:val="auto"/>
          <w:sz w:val="28"/>
          <w:szCs w:val="28"/>
          <w:highlight w:val="green"/>
          <w:lang w:val="en-US" w:eastAsia="zh-CN"/>
        </w:rPr>
        <w:br w:type="page"/>
      </w:r>
      <w:bookmarkStart w:id="489" w:name="_Toc942115178"/>
      <w:bookmarkStart w:id="490" w:name="_Toc1320028818_WPSOffice_Level2"/>
      <w:bookmarkStart w:id="491" w:name="_Toc1552610899"/>
      <w:bookmarkStart w:id="492" w:name="_Toc1194597873"/>
      <w:bookmarkStart w:id="493" w:name="_Toc953796897"/>
      <w:bookmarkStart w:id="494" w:name="_Toc1601753856"/>
      <w:bookmarkStart w:id="495" w:name="_Toc1454903178"/>
      <w:bookmarkStart w:id="496" w:name="_Toc1472753336"/>
      <w:r>
        <w:rPr>
          <w:rFonts w:hint="default" w:ascii="Times New Roman" w:hAnsi="Times New Roman" w:eastAsia="方正小标宋_GBK" w:cs="Times New Roman"/>
          <w:b w:val="0"/>
          <w:color w:val="auto"/>
          <w:sz w:val="30"/>
          <w:szCs w:val="30"/>
          <w:lang w:val="en-US" w:eastAsia="zh-CN"/>
        </w:rPr>
        <w:t>二、</w:t>
      </w:r>
      <w:r>
        <w:rPr>
          <w:rFonts w:hint="default" w:ascii="Times New Roman" w:hAnsi="Times New Roman" w:eastAsia="方正小标宋_GBK" w:cs="Times New Roman"/>
          <w:b w:val="0"/>
          <w:color w:val="auto"/>
          <w:sz w:val="30"/>
          <w:szCs w:val="30"/>
          <w:lang w:eastAsia="zh-CN"/>
        </w:rPr>
        <w:t>法定代表人身份证明书</w:t>
      </w:r>
      <w:bookmarkEnd w:id="489"/>
      <w:bookmarkEnd w:id="490"/>
      <w:bookmarkEnd w:id="491"/>
      <w:bookmarkEnd w:id="492"/>
      <w:bookmarkEnd w:id="493"/>
      <w:bookmarkEnd w:id="494"/>
      <w:bookmarkEnd w:id="495"/>
      <w:bookmarkEnd w:id="496"/>
    </w:p>
    <w:p w14:paraId="36EF50B2">
      <w:pPr>
        <w:spacing w:line="360" w:lineRule="auto"/>
        <w:rPr>
          <w:rFonts w:hint="default" w:ascii="Times New Roman" w:hAnsi="Times New Roman" w:eastAsia="宋体" w:cs="Times New Roman"/>
          <w:color w:val="auto"/>
          <w:sz w:val="28"/>
          <w:szCs w:val="28"/>
          <w:lang w:val="en-US" w:eastAsia="zh-CN"/>
        </w:rPr>
      </w:pPr>
    </w:p>
    <w:p w14:paraId="44EEE87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u w:val="single"/>
          <w:lang w:eastAsia="zh-CN"/>
        </w:rPr>
        <w:t xml:space="preserve"> </w:t>
      </w:r>
      <w:r>
        <w:rPr>
          <w:rFonts w:hint="default" w:ascii="Times New Roman" w:hAnsi="Times New Roman" w:eastAsia="仿宋_GB2312" w:cs="Times New Roman"/>
          <w:color w:val="auto"/>
          <w:sz w:val="28"/>
          <w:szCs w:val="28"/>
          <w:u w:val="single"/>
          <w:lang w:val="en-US" w:eastAsia="zh-CN"/>
        </w:rPr>
        <w:t>河南工业和信息化职业学院</w:t>
      </w:r>
      <w:r>
        <w:rPr>
          <w:rFonts w:hint="default" w:ascii="Times New Roman" w:hAnsi="Times New Roman" w:eastAsia="仿宋_GB2312" w:cs="Times New Roman"/>
          <w:color w:val="auto"/>
          <w:sz w:val="28"/>
          <w:szCs w:val="28"/>
          <w:u w:val="single"/>
          <w:lang w:eastAsia="zh-CN"/>
        </w:rPr>
        <w:t xml:space="preserve"> </w:t>
      </w:r>
    </w:p>
    <w:p w14:paraId="70C95D56">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（姓名、性别、年龄、身份证号码）在我单位任</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（董事长、总经理等）职务，是我单位的法定代表人。</w:t>
      </w:r>
    </w:p>
    <w:p w14:paraId="13D86206">
      <w:pPr>
        <w:spacing w:line="360" w:lineRule="auto"/>
        <w:ind w:firstLine="480"/>
        <w:rPr>
          <w:rFonts w:hint="default" w:ascii="Times New Roman" w:hAnsi="Times New Roman" w:eastAsia="仿宋_GB2312" w:cs="Times New Roman"/>
          <w:color w:val="auto"/>
          <w:sz w:val="28"/>
          <w:szCs w:val="28"/>
          <w:lang w:val="en-US" w:eastAsia="zh-CN"/>
        </w:rPr>
      </w:pPr>
    </w:p>
    <w:p w14:paraId="30B270EE">
      <w:pPr>
        <w:spacing w:line="360" w:lineRule="auto"/>
        <w:ind w:firstLine="480"/>
        <w:rPr>
          <w:rFonts w:hint="default" w:ascii="Times New Roman" w:hAnsi="Times New Roman" w:eastAsia="仿宋_GB2312" w:cs="Times New Roman"/>
          <w:color w:val="auto"/>
          <w:sz w:val="28"/>
          <w:szCs w:val="28"/>
          <w:lang w:val="en-US" w:eastAsia="zh-CN"/>
        </w:rPr>
      </w:pPr>
    </w:p>
    <w:p w14:paraId="0207AA67">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特此证明。</w:t>
      </w:r>
    </w:p>
    <w:p w14:paraId="511236CC">
      <w:pPr>
        <w:spacing w:line="360" w:lineRule="auto"/>
        <w:ind w:firstLine="480"/>
        <w:rPr>
          <w:rFonts w:hint="default" w:ascii="Times New Roman" w:hAnsi="Times New Roman" w:eastAsia="仿宋_GB2312" w:cs="Times New Roman"/>
          <w:color w:val="auto"/>
          <w:sz w:val="28"/>
          <w:szCs w:val="28"/>
          <w:lang w:val="en-US" w:eastAsia="zh-CN"/>
        </w:rPr>
      </w:pPr>
    </w:p>
    <w:p w14:paraId="6744AB71">
      <w:pPr>
        <w:spacing w:line="360" w:lineRule="auto"/>
        <w:ind w:firstLine="480"/>
        <w:rPr>
          <w:rFonts w:hint="default" w:ascii="Times New Roman" w:hAnsi="Times New Roman" w:eastAsia="仿宋_GB2312" w:cs="Times New Roman"/>
          <w:color w:val="auto"/>
          <w:sz w:val="28"/>
          <w:szCs w:val="28"/>
          <w:lang w:val="en-US" w:eastAsia="zh-CN"/>
        </w:rPr>
      </w:pPr>
    </w:p>
    <w:p w14:paraId="42F9B2C7">
      <w:pPr>
        <w:pStyle w:val="197"/>
        <w:tabs>
          <w:tab w:val="left" w:pos="5580"/>
        </w:tabs>
        <w:spacing w:line="360" w:lineRule="auto"/>
        <w:ind w:firstLine="3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zh-TW"/>
        </w:rPr>
        <w:t>投标人（企业电子签章）：</w:t>
      </w:r>
      <w:r>
        <w:rPr>
          <w:rFonts w:hint="default" w:ascii="Times New Roman" w:hAnsi="Times New Roman" w:eastAsia="仿宋_GB2312" w:cs="Times New Roman"/>
          <w:color w:val="auto"/>
          <w:sz w:val="28"/>
          <w:szCs w:val="28"/>
          <w:u w:val="single"/>
        </w:rPr>
        <w:t xml:space="preserve">                             </w:t>
      </w:r>
    </w:p>
    <w:p w14:paraId="31D0D54A">
      <w:pPr>
        <w:pStyle w:val="197"/>
        <w:tabs>
          <w:tab w:val="left" w:pos="5580"/>
        </w:tabs>
        <w:spacing w:line="360" w:lineRule="auto"/>
        <w:ind w:left="269" w:firstLine="12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zh-TW"/>
        </w:rPr>
        <w:t>详细通讯地址：</w:t>
      </w:r>
      <w:r>
        <w:rPr>
          <w:rFonts w:hint="default" w:ascii="Times New Roman" w:hAnsi="Times New Roman" w:eastAsia="仿宋_GB2312" w:cs="Times New Roman"/>
          <w:color w:val="auto"/>
          <w:sz w:val="28"/>
          <w:szCs w:val="28"/>
          <w:u w:val="single"/>
        </w:rPr>
        <w:t xml:space="preserve">                                </w:t>
      </w:r>
    </w:p>
    <w:p w14:paraId="6153081C">
      <w:pPr>
        <w:pStyle w:val="197"/>
        <w:tabs>
          <w:tab w:val="left" w:pos="5580"/>
        </w:tabs>
        <w:spacing w:line="360" w:lineRule="auto"/>
        <w:ind w:firstLine="3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zh-TW"/>
        </w:rPr>
        <w:t>邮 政 编 码 ：</w:t>
      </w:r>
      <w:r>
        <w:rPr>
          <w:rFonts w:hint="default" w:ascii="Times New Roman" w:hAnsi="Times New Roman" w:eastAsia="仿宋_GB2312" w:cs="Times New Roman"/>
          <w:color w:val="auto"/>
          <w:sz w:val="28"/>
          <w:szCs w:val="28"/>
          <w:u w:val="single"/>
        </w:rPr>
        <w:t xml:space="preserve">                                </w:t>
      </w:r>
    </w:p>
    <w:p w14:paraId="59B15841">
      <w:pPr>
        <w:pStyle w:val="197"/>
        <w:tabs>
          <w:tab w:val="left" w:pos="5580"/>
        </w:tabs>
        <w:spacing w:line="360" w:lineRule="auto"/>
        <w:ind w:firstLine="3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zh-TW"/>
        </w:rPr>
        <w:t>传　　　　真：</w:t>
      </w:r>
      <w:r>
        <w:rPr>
          <w:rFonts w:hint="default" w:ascii="Times New Roman" w:hAnsi="Times New Roman" w:eastAsia="仿宋_GB2312" w:cs="Times New Roman"/>
          <w:color w:val="auto"/>
          <w:sz w:val="28"/>
          <w:szCs w:val="28"/>
          <w:u w:val="single"/>
        </w:rPr>
        <w:t xml:space="preserve">                                </w:t>
      </w:r>
    </w:p>
    <w:p w14:paraId="2220BDF3">
      <w:pPr>
        <w:pStyle w:val="197"/>
        <w:tabs>
          <w:tab w:val="left" w:pos="5580"/>
        </w:tabs>
        <w:spacing w:line="360" w:lineRule="auto"/>
        <w:ind w:firstLine="360"/>
        <w:rPr>
          <w:rFonts w:hint="default" w:ascii="Times New Roman" w:hAnsi="Times New Roman" w:eastAsia="仿宋_GB2312" w:cs="Times New Roman"/>
          <w:color w:val="auto"/>
          <w:sz w:val="28"/>
          <w:szCs w:val="28"/>
          <w:u w:val="single"/>
        </w:rPr>
      </w:pPr>
      <w:r>
        <w:rPr>
          <w:rFonts w:hint="default" w:ascii="Times New Roman" w:hAnsi="Times New Roman" w:eastAsia="仿宋_GB2312" w:cs="Times New Roman"/>
          <w:color w:val="auto"/>
          <w:sz w:val="28"/>
          <w:szCs w:val="28"/>
          <w:lang w:val="zh-TW"/>
        </w:rPr>
        <w:t>电　　　　话：</w:t>
      </w:r>
      <w:r>
        <w:rPr>
          <w:rFonts w:hint="default" w:ascii="Times New Roman" w:hAnsi="Times New Roman" w:eastAsia="仿宋_GB2312" w:cs="Times New Roman"/>
          <w:color w:val="auto"/>
          <w:sz w:val="28"/>
          <w:szCs w:val="28"/>
          <w:u w:val="single"/>
        </w:rPr>
        <w:t xml:space="preserve">                                </w:t>
      </w:r>
    </w:p>
    <w:p w14:paraId="568C707E">
      <w:pPr>
        <w:pStyle w:val="197"/>
        <w:tabs>
          <w:tab w:val="left" w:pos="5580"/>
        </w:tabs>
        <w:spacing w:line="360" w:lineRule="auto"/>
        <w:ind w:firstLine="360"/>
        <w:rPr>
          <w:rFonts w:hint="default" w:ascii="Times New Roman" w:hAnsi="Times New Roman" w:eastAsia="仿宋_GB2312" w:cs="Times New Roman"/>
          <w:color w:val="auto"/>
          <w:sz w:val="28"/>
          <w:szCs w:val="28"/>
          <w:u w:val="single"/>
        </w:rPr>
      </w:pPr>
    </w:p>
    <w:tbl>
      <w:tblPr>
        <w:tblStyle w:val="52"/>
        <w:tblW w:w="8969"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4484"/>
        <w:gridCol w:w="4485"/>
      </w:tblGrid>
      <w:tr w14:paraId="06A807C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486" w:hRule="atLeast"/>
          <w:jc w:val="center"/>
        </w:trPr>
        <w:tc>
          <w:tcPr>
            <w:tcW w:w="4484" w:type="dxa"/>
            <w:tcBorders>
              <w:top w:val="single" w:color="000000" w:sz="4" w:space="0"/>
              <w:left w:val="single" w:color="000000" w:sz="4" w:space="0"/>
              <w:bottom w:val="single" w:color="000000" w:sz="4" w:space="0"/>
              <w:right w:val="single" w:color="000000" w:sz="4" w:space="0"/>
            </w:tcBorders>
            <w:shd w:val="clear" w:color="auto" w:fill="CED7E7"/>
            <w:noWrap w:val="0"/>
            <w:tcMar>
              <w:top w:w="80" w:type="dxa"/>
              <w:left w:w="80" w:type="dxa"/>
              <w:bottom w:w="80" w:type="dxa"/>
              <w:right w:w="80" w:type="dxa"/>
            </w:tcMar>
            <w:vAlign w:val="center"/>
          </w:tcPr>
          <w:p w14:paraId="495F38CF">
            <w:pPr>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法定代表人身份证（人像面）</w:t>
            </w:r>
          </w:p>
        </w:tc>
        <w:tc>
          <w:tcPr>
            <w:tcW w:w="4485" w:type="dxa"/>
            <w:tcBorders>
              <w:top w:val="single" w:color="000000" w:sz="4" w:space="0"/>
              <w:left w:val="single" w:color="000000" w:sz="4" w:space="0"/>
              <w:bottom w:val="single" w:color="000000" w:sz="4" w:space="0"/>
              <w:right w:val="single" w:color="000000" w:sz="4" w:space="0"/>
            </w:tcBorders>
            <w:shd w:val="clear" w:color="auto" w:fill="CED7E7"/>
            <w:noWrap w:val="0"/>
            <w:tcMar>
              <w:top w:w="80" w:type="dxa"/>
              <w:left w:w="80" w:type="dxa"/>
              <w:bottom w:w="80" w:type="dxa"/>
              <w:right w:w="80" w:type="dxa"/>
            </w:tcMar>
            <w:vAlign w:val="center"/>
          </w:tcPr>
          <w:p w14:paraId="209F3AB2">
            <w:pPr>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法定代表人身份证（国徽面）</w:t>
            </w:r>
          </w:p>
        </w:tc>
      </w:tr>
    </w:tbl>
    <w:p w14:paraId="1F731080">
      <w:pPr>
        <w:spacing w:line="360" w:lineRule="auto"/>
        <w:ind w:firstLine="480"/>
        <w:rPr>
          <w:rFonts w:hint="default" w:ascii="Times New Roman" w:hAnsi="Times New Roman" w:eastAsia="仿宋_GB2312" w:cs="Times New Roman"/>
          <w:color w:val="auto"/>
          <w:sz w:val="28"/>
          <w:szCs w:val="28"/>
          <w:lang w:val="en-US" w:eastAsia="zh-CN"/>
        </w:rPr>
      </w:pPr>
    </w:p>
    <w:p w14:paraId="6F71F9FB">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注：自然人投标的无需提供。</w:t>
      </w:r>
    </w:p>
    <w:p w14:paraId="20A163C5">
      <w:pPr>
        <w:rPr>
          <w:rFonts w:hint="default" w:ascii="Times New Roman" w:hAnsi="Times New Roman" w:cs="Times New Roman"/>
          <w:color w:val="auto"/>
          <w:lang w:eastAsia="zh-CN"/>
        </w:rPr>
      </w:pPr>
    </w:p>
    <w:p w14:paraId="4F17062B">
      <w:pPr>
        <w:pStyle w:val="17"/>
        <w:rPr>
          <w:rFonts w:hint="default" w:ascii="Times New Roman" w:hAnsi="Times New Roman" w:cs="Times New Roman"/>
          <w:color w:val="auto"/>
          <w:lang w:eastAsia="zh-CN"/>
        </w:rPr>
      </w:pPr>
    </w:p>
    <w:p w14:paraId="78B9EA24">
      <w:pPr>
        <w:pStyle w:val="39"/>
        <w:ind w:left="840" w:hanging="420"/>
        <w:rPr>
          <w:rFonts w:hint="default" w:ascii="Times New Roman" w:hAnsi="Times New Roman" w:cs="Times New Roman"/>
          <w:color w:val="auto"/>
          <w:lang w:eastAsia="zh-CN"/>
        </w:rPr>
        <w:sectPr>
          <w:headerReference r:id="rId4" w:type="default"/>
          <w:pgSz w:w="11906" w:h="16838"/>
          <w:pgMar w:top="1440" w:right="1797" w:bottom="1440" w:left="1797" w:header="851" w:footer="992" w:gutter="0"/>
          <w:cols w:space="720" w:num="1"/>
          <w:docGrid w:linePitch="312" w:charSpace="0"/>
        </w:sectPr>
      </w:pPr>
    </w:p>
    <w:p w14:paraId="1A7C7337">
      <w:pPr>
        <w:pStyle w:val="3"/>
        <w:spacing w:before="0" w:after="0" w:line="360" w:lineRule="auto"/>
        <w:jc w:val="center"/>
        <w:rPr>
          <w:rFonts w:hint="default" w:ascii="Times New Roman" w:hAnsi="Times New Roman" w:eastAsia="方正小标宋_GBK" w:cs="Times New Roman"/>
          <w:b w:val="0"/>
          <w:color w:val="auto"/>
          <w:sz w:val="30"/>
          <w:szCs w:val="30"/>
          <w:lang w:eastAsia="zh-CN"/>
        </w:rPr>
      </w:pPr>
      <w:bookmarkStart w:id="497" w:name="_Toc881536663"/>
      <w:bookmarkStart w:id="498" w:name="_Toc2129612794"/>
      <w:bookmarkStart w:id="499" w:name="_Toc95209368"/>
      <w:bookmarkStart w:id="500" w:name="_Toc1255393211"/>
      <w:bookmarkStart w:id="501" w:name="_Toc1881793082_WPSOffice_Level2"/>
      <w:bookmarkStart w:id="502" w:name="_Toc860628901"/>
      <w:bookmarkStart w:id="503" w:name="_Toc1046173163"/>
      <w:bookmarkStart w:id="504" w:name="_Toc320103337"/>
      <w:r>
        <w:rPr>
          <w:rFonts w:hint="default" w:ascii="Times New Roman" w:hAnsi="Times New Roman" w:eastAsia="方正小标宋_GBK" w:cs="Times New Roman"/>
          <w:b w:val="0"/>
          <w:color w:val="auto"/>
          <w:sz w:val="30"/>
          <w:szCs w:val="30"/>
          <w:lang w:val="en-US" w:eastAsia="zh-CN"/>
        </w:rPr>
        <w:t>三</w:t>
      </w:r>
      <w:r>
        <w:rPr>
          <w:rFonts w:hint="default" w:ascii="Times New Roman" w:hAnsi="Times New Roman" w:eastAsia="方正小标宋_GBK" w:cs="Times New Roman"/>
          <w:b w:val="0"/>
          <w:color w:val="auto"/>
          <w:sz w:val="30"/>
          <w:szCs w:val="30"/>
          <w:lang w:eastAsia="zh-CN"/>
        </w:rPr>
        <w:t>、投标报价表格</w:t>
      </w:r>
      <w:bookmarkEnd w:id="497"/>
      <w:bookmarkEnd w:id="498"/>
      <w:bookmarkEnd w:id="499"/>
      <w:bookmarkEnd w:id="500"/>
      <w:bookmarkEnd w:id="501"/>
      <w:bookmarkEnd w:id="502"/>
      <w:bookmarkEnd w:id="503"/>
      <w:bookmarkEnd w:id="504"/>
    </w:p>
    <w:p w14:paraId="1327661E">
      <w:pPr>
        <w:spacing w:line="480" w:lineRule="auto"/>
        <w:jc w:val="center"/>
        <w:outlineLvl w:val="2"/>
        <w:rPr>
          <w:rFonts w:hint="default" w:ascii="Times New Roman" w:hAnsi="Times New Roman" w:eastAsia="黑体" w:cs="Times New Roman"/>
          <w:color w:val="auto"/>
          <w:sz w:val="28"/>
          <w:szCs w:val="28"/>
          <w:lang w:eastAsia="zh-CN"/>
        </w:rPr>
      </w:pPr>
      <w:bookmarkStart w:id="505" w:name="_Toc1289935819"/>
      <w:bookmarkStart w:id="506" w:name="_Toc55824951"/>
      <w:bookmarkStart w:id="507" w:name="_Toc326650802_WPSOffice_Level3"/>
      <w:bookmarkStart w:id="508" w:name="_Toc562840553"/>
      <w:r>
        <w:rPr>
          <w:rFonts w:hint="default" w:ascii="Times New Roman" w:hAnsi="Times New Roman" w:eastAsia="黑体" w:cs="Times New Roman"/>
          <w:color w:val="auto"/>
          <w:sz w:val="28"/>
          <w:szCs w:val="28"/>
          <w:lang w:eastAsia="zh-CN"/>
        </w:rPr>
        <w:t>1</w:t>
      </w:r>
      <w:r>
        <w:rPr>
          <w:rFonts w:hint="default" w:ascii="Times New Roman" w:hAnsi="Times New Roman" w:eastAsia="黑体" w:cs="Times New Roman"/>
          <w:color w:val="auto"/>
          <w:sz w:val="28"/>
          <w:szCs w:val="28"/>
          <w:lang w:val="en-US" w:eastAsia="zh-CN"/>
        </w:rPr>
        <w:t>.</w:t>
      </w:r>
      <w:r>
        <w:rPr>
          <w:rFonts w:hint="default" w:ascii="Times New Roman" w:hAnsi="Times New Roman" w:eastAsia="黑体" w:cs="Times New Roman"/>
          <w:color w:val="auto"/>
          <w:sz w:val="28"/>
          <w:szCs w:val="28"/>
          <w:lang w:eastAsia="zh-CN"/>
        </w:rPr>
        <w:t>投标主要内容汇总表</w:t>
      </w:r>
      <w:bookmarkEnd w:id="505"/>
      <w:bookmarkEnd w:id="506"/>
      <w:bookmarkEnd w:id="507"/>
      <w:bookmarkEnd w:id="508"/>
    </w:p>
    <w:p w14:paraId="7853B400">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采购编号：</w:t>
      </w:r>
      <w:r>
        <w:rPr>
          <w:rFonts w:hint="default" w:ascii="Times New Roman" w:hAnsi="Times New Roman" w:eastAsia="仿宋_GB2312" w:cs="Times New Roman"/>
          <w:color w:val="auto"/>
          <w:sz w:val="28"/>
          <w:szCs w:val="28"/>
          <w:lang w:val="en" w:eastAsia="zh-CN"/>
        </w:rPr>
        <w:t>豫财招标采购-2025-791</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金额单位：元人民币</w:t>
      </w:r>
    </w:p>
    <w:tbl>
      <w:tblPr>
        <w:tblStyle w:val="52"/>
        <w:tblW w:w="9137"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940"/>
        <w:gridCol w:w="7197"/>
      </w:tblGrid>
      <w:tr w14:paraId="0FBF257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71BDB5D9">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采购项目</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6FCACA9D">
            <w:pPr>
              <w:ind w:left="105" w:leftChars="50"/>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 w:eastAsia="zh-CN"/>
              </w:rPr>
              <w:t>河南工业和信息化职业学院2025年-2028年物业服务项目</w:t>
            </w:r>
          </w:p>
        </w:tc>
      </w:tr>
      <w:tr w14:paraId="42EF375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02ED141E">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投标人名称</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4B04228">
            <w:pPr>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 xml:space="preserve"> </w:t>
            </w:r>
          </w:p>
        </w:tc>
      </w:tr>
      <w:tr w14:paraId="4D2F5EC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62C0BAA0">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投标总报价（大写）</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F345564">
            <w:pPr>
              <w:rPr>
                <w:rFonts w:hint="default" w:ascii="Times New Roman" w:hAnsi="Times New Roman" w:eastAsia="仿宋_GB2312" w:cs="Times New Roman"/>
                <w:color w:val="auto"/>
                <w:kern w:val="0"/>
                <w:sz w:val="28"/>
                <w:szCs w:val="28"/>
              </w:rPr>
            </w:pPr>
          </w:p>
        </w:tc>
      </w:tr>
      <w:tr w14:paraId="39A0A0E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4029A9B9">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投标总报价（小写）</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2521750A">
            <w:pPr>
              <w:rPr>
                <w:rFonts w:hint="default" w:ascii="Times New Roman" w:hAnsi="Times New Roman" w:eastAsia="仿宋_GB2312" w:cs="Times New Roman"/>
                <w:color w:val="auto"/>
                <w:kern w:val="0"/>
                <w:sz w:val="28"/>
                <w:szCs w:val="28"/>
              </w:rPr>
            </w:pPr>
          </w:p>
        </w:tc>
      </w:tr>
      <w:tr w14:paraId="29AAAE6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CB41087">
            <w:pPr>
              <w:jc w:val="center"/>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服务期限</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4130799C">
            <w:pPr>
              <w:ind w:left="105" w:leftChars="50" w:firstLine="140" w:firstLineChars="50"/>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3年</w:t>
            </w:r>
          </w:p>
        </w:tc>
      </w:tr>
      <w:tr w14:paraId="7FFEDEC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37211EBD">
            <w:pPr>
              <w:jc w:val="center"/>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服务地点</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8AD3A0A">
            <w:pPr>
              <w:ind w:left="105" w:leftChars="50"/>
              <w:rPr>
                <w:rFonts w:hint="default" w:ascii="Times New Roman" w:hAnsi="Times New Roman" w:eastAsia="Arial Unicode MS" w:cs="Times New Roman"/>
                <w:color w:val="auto"/>
                <w:kern w:val="0"/>
                <w:sz w:val="28"/>
                <w:szCs w:val="28"/>
                <w:lang w:val="en-US" w:eastAsia="zh-CN"/>
              </w:rPr>
            </w:pPr>
            <w:r>
              <w:rPr>
                <w:rFonts w:hint="default" w:ascii="Times New Roman" w:hAnsi="Times New Roman" w:eastAsia="仿宋_GB2312" w:cs="Times New Roman"/>
                <w:color w:val="auto"/>
                <w:sz w:val="28"/>
                <w:szCs w:val="28"/>
                <w:lang w:val="en" w:eastAsia="zh-CN"/>
              </w:rPr>
              <w:t>河南工业和信息化职业学院新校区（河南省焦作市新区碧莲路801号）</w:t>
            </w:r>
          </w:p>
        </w:tc>
      </w:tr>
      <w:tr w14:paraId="609E45C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4F6D69AF">
            <w:pPr>
              <w:jc w:val="center"/>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服务质量</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F3C6C47">
            <w:pPr>
              <w:ind w:left="105" w:leftChars="5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满足采购人要求</w:t>
            </w:r>
          </w:p>
        </w:tc>
      </w:tr>
      <w:tr w14:paraId="22DC79F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62A2D8E">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投标有效期</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EF6E963">
            <w:pPr>
              <w:ind w:left="105" w:leftChars="5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从投标截止之日起60</w:t>
            </w:r>
            <w:r>
              <w:rPr>
                <w:rFonts w:hint="default" w:ascii="Times New Roman" w:hAnsi="Times New Roman" w:eastAsia="仿宋_GB2312" w:cs="Times New Roman"/>
                <w:color w:val="auto"/>
                <w:kern w:val="0"/>
                <w:sz w:val="28"/>
                <w:szCs w:val="28"/>
                <w:lang w:val="en-US" w:eastAsia="zh-CN"/>
              </w:rPr>
              <w:t>天</w:t>
            </w:r>
          </w:p>
        </w:tc>
      </w:tr>
      <w:tr w14:paraId="3AF2DAA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72CB7C9F">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付款方式</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38045F95">
            <w:pPr>
              <w:ind w:left="105" w:leftChars="5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满足招标文件需求</w:t>
            </w:r>
          </w:p>
        </w:tc>
      </w:tr>
      <w:tr w14:paraId="03A41CC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2A34EACF">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合同条款</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4332492">
            <w:pPr>
              <w:ind w:left="105" w:leftChars="5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满足招标文件需求</w:t>
            </w:r>
          </w:p>
        </w:tc>
      </w:tr>
      <w:tr w14:paraId="6C9171B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F41CF3A">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其他声明</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1779A4F">
            <w:pPr>
              <w:rPr>
                <w:rFonts w:hint="default" w:ascii="Times New Roman" w:hAnsi="Times New Roman" w:eastAsia="仿宋_GB2312" w:cs="Times New Roman"/>
                <w:color w:val="auto"/>
                <w:kern w:val="0"/>
                <w:sz w:val="28"/>
                <w:szCs w:val="28"/>
              </w:rPr>
            </w:pPr>
          </w:p>
        </w:tc>
      </w:tr>
    </w:tbl>
    <w:p w14:paraId="73559833">
      <w:pPr>
        <w:widowControl w:val="0"/>
        <w:jc w:val="center"/>
        <w:rPr>
          <w:rFonts w:hint="default" w:ascii="Times New Roman" w:hAnsi="Times New Roman" w:eastAsia="仿宋_GB2312" w:cs="Times New Roman"/>
          <w:color w:val="auto"/>
          <w:sz w:val="28"/>
          <w:szCs w:val="28"/>
        </w:rPr>
      </w:pPr>
    </w:p>
    <w:p w14:paraId="558F8A25">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投标人（企业电子签章）：</w:t>
      </w:r>
    </w:p>
    <w:p w14:paraId="394C81BE">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法定代表人（个人电子签章）：</w:t>
      </w:r>
      <w:bookmarkEnd w:id="483"/>
      <w:bookmarkEnd w:id="484"/>
      <w:bookmarkEnd w:id="485"/>
      <w:bookmarkEnd w:id="486"/>
      <w:bookmarkEnd w:id="487"/>
      <w:bookmarkEnd w:id="488"/>
      <w:bookmarkStart w:id="509" w:name="_Toc585133884"/>
      <w:bookmarkStart w:id="510" w:name="_Toc643738620"/>
      <w:bookmarkStart w:id="511" w:name="_Toc2582323"/>
      <w:bookmarkStart w:id="512" w:name="_Toc893708091"/>
      <w:bookmarkStart w:id="513" w:name="_Toc1973880807"/>
      <w:bookmarkStart w:id="514" w:name="_Toc74240239"/>
      <w:bookmarkStart w:id="515" w:name="_Toc299604904"/>
    </w:p>
    <w:p w14:paraId="363F12EE">
      <w:pPr>
        <w:pStyle w:val="98"/>
        <w:rPr>
          <w:rFonts w:hint="default" w:ascii="Times New Roman" w:hAnsi="Times New Roman" w:eastAsia="仿宋_GB2312" w:cs="Times New Roman"/>
          <w:color w:val="auto"/>
          <w:sz w:val="28"/>
          <w:szCs w:val="28"/>
        </w:rPr>
      </w:pPr>
    </w:p>
    <w:p w14:paraId="7BE76B5F">
      <w:pPr>
        <w:numPr>
          <w:ilvl w:val="0"/>
          <w:numId w:val="3"/>
        </w:numPr>
        <w:spacing w:line="480" w:lineRule="auto"/>
        <w:jc w:val="center"/>
        <w:outlineLvl w:val="2"/>
        <w:rPr>
          <w:rFonts w:hint="default" w:ascii="Times New Roman" w:hAnsi="Times New Roman" w:eastAsia="黑体" w:cs="Times New Roman"/>
          <w:b/>
          <w:bCs/>
          <w:color w:val="auto"/>
          <w:sz w:val="28"/>
          <w:szCs w:val="28"/>
          <w:lang w:val="en-US" w:eastAsia="zh-CN"/>
        </w:rPr>
      </w:pPr>
      <w:r>
        <w:rPr>
          <w:rFonts w:hint="default" w:ascii="Times New Roman" w:hAnsi="Times New Roman" w:eastAsia="黑体" w:cs="Times New Roman"/>
          <w:b/>
          <w:bCs/>
          <w:color w:val="auto"/>
          <w:sz w:val="28"/>
          <w:szCs w:val="28"/>
          <w:lang w:eastAsia="zh-CN"/>
        </w:rPr>
        <w:br w:type="page"/>
      </w:r>
      <w:bookmarkStart w:id="516" w:name="_Toc2051642436_WPSOffice_Level3"/>
      <w:r>
        <w:rPr>
          <w:rFonts w:hint="default" w:ascii="Times New Roman" w:hAnsi="Times New Roman" w:eastAsia="黑体" w:cs="Times New Roman"/>
          <w:b/>
          <w:bCs/>
          <w:color w:val="auto"/>
          <w:sz w:val="28"/>
          <w:szCs w:val="28"/>
          <w:lang w:val="en-US" w:eastAsia="zh-CN"/>
        </w:rPr>
        <w:t>分项报价一览表及有关说明</w:t>
      </w:r>
      <w:bookmarkEnd w:id="516"/>
    </w:p>
    <w:p w14:paraId="705862A6">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采购编号：</w:t>
      </w:r>
      <w:r>
        <w:rPr>
          <w:rFonts w:hint="default" w:ascii="Times New Roman" w:hAnsi="Times New Roman" w:eastAsia="仿宋_GB2312" w:cs="Times New Roman"/>
          <w:color w:val="auto"/>
          <w:sz w:val="28"/>
          <w:szCs w:val="28"/>
          <w:lang w:val="en" w:eastAsia="zh-CN"/>
        </w:rPr>
        <w:t>豫财招标采购-2025-791</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金额单位：元人民币</w:t>
      </w:r>
    </w:p>
    <w:p w14:paraId="541B60BB">
      <w:pPr>
        <w:pStyle w:val="228"/>
        <w:rPr>
          <w:rFonts w:hint="default" w:ascii="Times New Roman" w:hAnsi="Times New Roman" w:eastAsia="仿宋_GB2312" w:cs="Times New Roman"/>
          <w:color w:val="auto"/>
          <w:sz w:val="2"/>
          <w:szCs w:val="2"/>
        </w:rPr>
      </w:pPr>
    </w:p>
    <w:tbl>
      <w:tblPr>
        <w:tblStyle w:val="52"/>
        <w:tblW w:w="8858" w:type="dxa"/>
        <w:tblInd w:w="-116"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2634"/>
        <w:gridCol w:w="1018"/>
        <w:gridCol w:w="1134"/>
        <w:gridCol w:w="1134"/>
        <w:gridCol w:w="1559"/>
        <w:gridCol w:w="1379"/>
      </w:tblGrid>
      <w:tr w14:paraId="36C82867">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5704D9">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b/>
                <w:color w:val="auto"/>
                <w:sz w:val="24"/>
                <w:szCs w:val="24"/>
              </w:rPr>
              <w:t>名称</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17C8922">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数量</w:t>
            </w: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8A707E7">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月费用</w:t>
            </w: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5AD3F7A">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年费用</w:t>
            </w: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201C698">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服务期费用</w:t>
            </w: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1F44B9D6">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备注说明</w:t>
            </w:r>
          </w:p>
        </w:tc>
      </w:tr>
      <w:tr w14:paraId="3FB06B54">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03C6A31">
            <w:pPr>
              <w:autoSpaceDN w:val="0"/>
              <w:spacing w:line="400" w:lineRule="exact"/>
              <w:jc w:val="center"/>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岗位人员工资</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B092B8D">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FD40EF7">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FFB5DA1">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054CE23">
            <w:pPr>
              <w:autoSpaceDN w:val="0"/>
              <w:spacing w:line="400" w:lineRule="exact"/>
              <w:jc w:val="center"/>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03D13AFC">
            <w:pPr>
              <w:autoSpaceDN w:val="0"/>
              <w:spacing w:line="400" w:lineRule="exact"/>
              <w:jc w:val="center"/>
              <w:rPr>
                <w:rFonts w:hint="default" w:ascii="Times New Roman" w:hAnsi="Times New Roman" w:eastAsia="仿宋_GB2312" w:cs="Times New Roman"/>
                <w:color w:val="auto"/>
                <w:sz w:val="24"/>
                <w:szCs w:val="24"/>
              </w:rPr>
            </w:pPr>
          </w:p>
        </w:tc>
      </w:tr>
      <w:tr w14:paraId="69B7D40D">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7DB5F0A">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DB3C4BA">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B49538F">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E723DF2">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C66E75D">
            <w:pPr>
              <w:autoSpaceDN w:val="0"/>
              <w:spacing w:line="400" w:lineRule="exact"/>
              <w:jc w:val="center"/>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45FEC64F">
            <w:pPr>
              <w:autoSpaceDN w:val="0"/>
              <w:spacing w:line="400" w:lineRule="exact"/>
              <w:jc w:val="center"/>
              <w:rPr>
                <w:rFonts w:hint="default" w:ascii="Times New Roman" w:hAnsi="Times New Roman" w:eastAsia="仿宋_GB2312" w:cs="Times New Roman"/>
                <w:color w:val="auto"/>
                <w:sz w:val="24"/>
                <w:szCs w:val="24"/>
              </w:rPr>
            </w:pPr>
          </w:p>
        </w:tc>
      </w:tr>
      <w:tr w14:paraId="79EF8196">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8"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2BD1177">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532DFA">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460C9D">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3536B8">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F8F280B">
            <w:pPr>
              <w:autoSpaceDN w:val="0"/>
              <w:spacing w:line="400" w:lineRule="exact"/>
              <w:jc w:val="center"/>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56548864">
            <w:pPr>
              <w:autoSpaceDN w:val="0"/>
              <w:spacing w:line="400" w:lineRule="exact"/>
              <w:jc w:val="center"/>
              <w:rPr>
                <w:rFonts w:hint="default" w:ascii="Times New Roman" w:hAnsi="Times New Roman" w:eastAsia="仿宋_GB2312" w:cs="Times New Roman"/>
                <w:color w:val="auto"/>
                <w:sz w:val="24"/>
                <w:szCs w:val="24"/>
              </w:rPr>
            </w:pPr>
          </w:p>
        </w:tc>
      </w:tr>
      <w:tr w14:paraId="6623ABD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6CFD888">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社会保险</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3AAD4AB">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A354C40">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D101BA3">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37DFDDA">
            <w:pPr>
              <w:autoSpaceDN w:val="0"/>
              <w:spacing w:line="400" w:lineRule="exact"/>
              <w:jc w:val="center"/>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1123EDD0">
            <w:pPr>
              <w:autoSpaceDN w:val="0"/>
              <w:spacing w:line="400" w:lineRule="exact"/>
              <w:jc w:val="center"/>
              <w:rPr>
                <w:rFonts w:hint="default" w:ascii="Times New Roman" w:hAnsi="Times New Roman" w:eastAsia="仿宋_GB2312" w:cs="Times New Roman"/>
                <w:color w:val="auto"/>
                <w:sz w:val="24"/>
                <w:szCs w:val="24"/>
              </w:rPr>
            </w:pPr>
          </w:p>
        </w:tc>
      </w:tr>
      <w:tr w14:paraId="0EB1F064">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C000B1">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7E2E52B">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148A6E3">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A053BD8">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604FE92">
            <w:pPr>
              <w:autoSpaceDN w:val="0"/>
              <w:spacing w:line="400" w:lineRule="exact"/>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7476BE66">
            <w:pPr>
              <w:autoSpaceDN w:val="0"/>
              <w:spacing w:line="400" w:lineRule="exact"/>
              <w:jc w:val="center"/>
              <w:rPr>
                <w:rFonts w:hint="default" w:ascii="Times New Roman" w:hAnsi="Times New Roman" w:eastAsia="仿宋_GB2312" w:cs="Times New Roman"/>
                <w:color w:val="auto"/>
                <w:sz w:val="24"/>
                <w:szCs w:val="24"/>
              </w:rPr>
            </w:pPr>
          </w:p>
        </w:tc>
      </w:tr>
      <w:tr w14:paraId="70884175">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9379B49">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4B0EE76">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4C68937">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63F4E4F">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5C9A306">
            <w:pPr>
              <w:autoSpaceDN w:val="0"/>
              <w:spacing w:line="400" w:lineRule="exact"/>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4CBEA9C6">
            <w:pPr>
              <w:autoSpaceDN w:val="0"/>
              <w:spacing w:line="400" w:lineRule="exact"/>
              <w:jc w:val="center"/>
              <w:rPr>
                <w:rFonts w:hint="default" w:ascii="Times New Roman" w:hAnsi="Times New Roman" w:eastAsia="仿宋_GB2312" w:cs="Times New Roman"/>
                <w:color w:val="auto"/>
                <w:sz w:val="24"/>
                <w:szCs w:val="24"/>
              </w:rPr>
            </w:pPr>
          </w:p>
        </w:tc>
      </w:tr>
      <w:tr w14:paraId="44192F64">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2553F4">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其他</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B683546">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58E5DB">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9CA973">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5FA2FFC">
            <w:pPr>
              <w:autoSpaceDN w:val="0"/>
              <w:spacing w:line="400" w:lineRule="exact"/>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2B8BAED0">
            <w:pPr>
              <w:autoSpaceDN w:val="0"/>
              <w:spacing w:line="400" w:lineRule="exact"/>
              <w:jc w:val="center"/>
              <w:rPr>
                <w:rFonts w:hint="default" w:ascii="Times New Roman" w:hAnsi="Times New Roman" w:eastAsia="仿宋_GB2312" w:cs="Times New Roman"/>
                <w:color w:val="auto"/>
                <w:sz w:val="24"/>
                <w:szCs w:val="24"/>
              </w:rPr>
            </w:pPr>
          </w:p>
        </w:tc>
      </w:tr>
      <w:tr w14:paraId="20A32069">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98267AF">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96DC791">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BF53B41">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130BFD">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6C02D64">
            <w:pPr>
              <w:autoSpaceDN w:val="0"/>
              <w:spacing w:line="400" w:lineRule="exact"/>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6F83C927">
            <w:pPr>
              <w:autoSpaceDN w:val="0"/>
              <w:spacing w:line="400" w:lineRule="exact"/>
              <w:jc w:val="center"/>
              <w:rPr>
                <w:rFonts w:hint="default" w:ascii="Times New Roman" w:hAnsi="Times New Roman" w:eastAsia="仿宋_GB2312" w:cs="Times New Roman"/>
                <w:color w:val="auto"/>
                <w:sz w:val="24"/>
                <w:szCs w:val="24"/>
              </w:rPr>
            </w:pPr>
          </w:p>
        </w:tc>
      </w:tr>
      <w:tr w14:paraId="5359952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8EF1D95">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3765A30">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1432140">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848DEC1">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083C37">
            <w:pPr>
              <w:autoSpaceDN w:val="0"/>
              <w:spacing w:line="400" w:lineRule="exact"/>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6E3A998F">
            <w:pPr>
              <w:autoSpaceDN w:val="0"/>
              <w:spacing w:line="400" w:lineRule="exact"/>
              <w:jc w:val="center"/>
              <w:rPr>
                <w:rFonts w:hint="default" w:ascii="Times New Roman" w:hAnsi="Times New Roman" w:eastAsia="仿宋_GB2312" w:cs="Times New Roman"/>
                <w:color w:val="auto"/>
                <w:sz w:val="24"/>
                <w:szCs w:val="24"/>
              </w:rPr>
            </w:pPr>
          </w:p>
        </w:tc>
      </w:tr>
      <w:tr w14:paraId="69765DC8">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71554D">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税金</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43BDAF5">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7023D23">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7A7EDAE">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60AA4AF">
            <w:pPr>
              <w:autoSpaceDN w:val="0"/>
              <w:spacing w:line="400" w:lineRule="exact"/>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6D325926">
            <w:pPr>
              <w:autoSpaceDN w:val="0"/>
              <w:spacing w:line="400" w:lineRule="exact"/>
              <w:jc w:val="center"/>
              <w:rPr>
                <w:rFonts w:hint="default" w:ascii="Times New Roman" w:hAnsi="Times New Roman" w:eastAsia="仿宋_GB2312" w:cs="Times New Roman"/>
                <w:color w:val="auto"/>
                <w:sz w:val="24"/>
                <w:szCs w:val="24"/>
              </w:rPr>
            </w:pPr>
          </w:p>
        </w:tc>
      </w:tr>
      <w:tr w14:paraId="324CECB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553AE0E">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10F9DEB">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230738A">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836E759">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3D4B5F">
            <w:pPr>
              <w:autoSpaceDN w:val="0"/>
              <w:spacing w:line="400" w:lineRule="exact"/>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6D7E2891">
            <w:pPr>
              <w:autoSpaceDN w:val="0"/>
              <w:spacing w:line="400" w:lineRule="exact"/>
              <w:jc w:val="center"/>
              <w:rPr>
                <w:rFonts w:hint="default" w:ascii="Times New Roman" w:hAnsi="Times New Roman" w:eastAsia="仿宋_GB2312" w:cs="Times New Roman"/>
                <w:color w:val="auto"/>
                <w:sz w:val="24"/>
                <w:szCs w:val="24"/>
              </w:rPr>
            </w:pPr>
          </w:p>
        </w:tc>
      </w:tr>
      <w:tr w14:paraId="0CBBC53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37747AB">
            <w:pPr>
              <w:autoSpaceDN w:val="0"/>
              <w:spacing w:line="400" w:lineRule="exact"/>
              <w:ind w:firstLine="938"/>
              <w:rPr>
                <w:rFonts w:hint="default" w:ascii="Times New Roman" w:hAnsi="Times New Roman" w:eastAsia="仿宋_GB2312" w:cs="Times New Roman"/>
                <w:color w:val="auto"/>
                <w:sz w:val="24"/>
                <w:szCs w:val="24"/>
              </w:rPr>
            </w:pPr>
            <w:r>
              <w:rPr>
                <w:rFonts w:hint="default" w:ascii="Times New Roman" w:hAnsi="Times New Roman" w:eastAsia="仿宋_GB2312" w:cs="Times New Roman"/>
                <w:b/>
                <w:color w:val="auto"/>
                <w:sz w:val="24"/>
                <w:szCs w:val="24"/>
              </w:rPr>
              <w:t>总计</w:t>
            </w:r>
          </w:p>
        </w:tc>
        <w:tc>
          <w:tcPr>
            <w:tcW w:w="6224" w:type="dxa"/>
            <w:gridSpan w:val="5"/>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1B8FE6C7">
            <w:pPr>
              <w:autoSpaceDN w:val="0"/>
              <w:spacing w:line="400" w:lineRule="exac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w:t>
            </w:r>
          </w:p>
        </w:tc>
      </w:tr>
    </w:tbl>
    <w:p w14:paraId="72DD0946">
      <w:pPr>
        <w:pStyle w:val="98"/>
        <w:rPr>
          <w:rFonts w:hint="default" w:ascii="Times New Roman" w:hAnsi="Times New Roman" w:eastAsia="PMingLiU" w:cs="Times New Roman"/>
          <w:color w:val="auto"/>
          <w:lang w:val="zh-TW" w:eastAsia="zh-TW"/>
        </w:rPr>
      </w:pPr>
    </w:p>
    <w:p w14:paraId="1069E03B">
      <w:pPr>
        <w:spacing w:line="360" w:lineRule="auto"/>
        <w:ind w:firstLine="240" w:firstLineChars="100"/>
        <w:rPr>
          <w:rFonts w:hint="default" w:ascii="Times New Roman" w:hAnsi="Times New Roman" w:eastAsia="仿宋_GB2312" w:cs="Times New Roman"/>
          <w:bCs/>
          <w:color w:val="auto"/>
          <w:sz w:val="24"/>
          <w:szCs w:val="24"/>
          <w:lang w:eastAsia="zh-CN"/>
        </w:rPr>
      </w:pPr>
      <w:r>
        <w:rPr>
          <w:rFonts w:hint="default" w:ascii="Times New Roman" w:hAnsi="Times New Roman" w:eastAsia="仿宋_GB2312" w:cs="Times New Roman"/>
          <w:color w:val="auto"/>
          <w:sz w:val="24"/>
          <w:szCs w:val="24"/>
          <w:lang w:eastAsia="zh-CN"/>
        </w:rPr>
        <w:t>投标人（企业电子签章）：</w:t>
      </w:r>
      <w:r>
        <w:rPr>
          <w:rFonts w:hint="default" w:ascii="Times New Roman" w:hAnsi="Times New Roman" w:eastAsia="仿宋_GB2312" w:cs="Times New Roman"/>
          <w:bCs/>
          <w:color w:val="auto"/>
          <w:sz w:val="24"/>
          <w:szCs w:val="24"/>
          <w:u w:val="single"/>
          <w:lang w:eastAsia="zh-CN"/>
        </w:rPr>
        <w:t xml:space="preserve">                </w:t>
      </w:r>
    </w:p>
    <w:p w14:paraId="1B19A644">
      <w:pPr>
        <w:spacing w:line="360" w:lineRule="auto"/>
        <w:ind w:firstLine="240" w:firstLineChars="100"/>
        <w:rPr>
          <w:rFonts w:hint="default" w:ascii="Times New Roman" w:hAnsi="Times New Roman" w:eastAsia="仿宋_GB2312" w:cs="Times New Roman"/>
          <w:bCs/>
          <w:color w:val="auto"/>
          <w:sz w:val="24"/>
          <w:szCs w:val="24"/>
          <w:u w:val="single"/>
          <w:lang w:eastAsia="zh-CN"/>
        </w:rPr>
      </w:pPr>
      <w:r>
        <w:rPr>
          <w:rFonts w:hint="default" w:ascii="Times New Roman" w:hAnsi="Times New Roman" w:eastAsia="仿宋_GB2312" w:cs="Times New Roman"/>
          <w:color w:val="auto"/>
          <w:sz w:val="24"/>
          <w:szCs w:val="24"/>
          <w:lang w:eastAsia="zh-CN"/>
        </w:rPr>
        <w:t>法定代表人（个人电子签章）：</w:t>
      </w:r>
      <w:r>
        <w:rPr>
          <w:rFonts w:hint="default" w:ascii="Times New Roman" w:hAnsi="Times New Roman" w:eastAsia="仿宋_GB2312" w:cs="Times New Roman"/>
          <w:bCs/>
          <w:color w:val="auto"/>
          <w:sz w:val="24"/>
          <w:szCs w:val="24"/>
          <w:u w:val="single"/>
          <w:lang w:eastAsia="zh-CN"/>
        </w:rPr>
        <w:t xml:space="preserve">            </w:t>
      </w:r>
    </w:p>
    <w:p w14:paraId="680543CE">
      <w:pPr>
        <w:spacing w:line="360" w:lineRule="auto"/>
        <w:ind w:firstLine="240" w:firstLineChars="100"/>
        <w:rPr>
          <w:rFonts w:hint="default" w:ascii="Times New Roman" w:hAnsi="Times New Roman" w:eastAsia="仿宋_GB2312" w:cs="Times New Roman"/>
          <w:color w:val="auto"/>
          <w:sz w:val="24"/>
          <w:szCs w:val="24"/>
          <w:lang w:eastAsia="zh-CN"/>
        </w:rPr>
      </w:pPr>
    </w:p>
    <w:p w14:paraId="53BA5E56">
      <w:pPr>
        <w:spacing w:line="360" w:lineRule="auto"/>
        <w:ind w:firstLine="240" w:firstLineChars="100"/>
        <w:jc w:val="right"/>
        <w:rPr>
          <w:rFonts w:hint="default" w:ascii="Times New Roman" w:hAnsi="Times New Roman" w:eastAsia="仿宋_GB2312" w:cs="Times New Roman"/>
          <w:b/>
          <w:color w:val="auto"/>
          <w:sz w:val="24"/>
          <w:szCs w:val="24"/>
          <w:lang w:eastAsia="zh-CN"/>
        </w:rPr>
      </w:pPr>
      <w:r>
        <w:rPr>
          <w:rFonts w:hint="default" w:ascii="Times New Roman" w:hAnsi="Times New Roman" w:eastAsia="仿宋_GB2312" w:cs="Times New Roman"/>
          <w:bCs/>
          <w:color w:val="auto"/>
          <w:sz w:val="24"/>
          <w:szCs w:val="24"/>
          <w:lang w:eastAsia="zh-CN"/>
        </w:rPr>
        <w:t>日期：</w:t>
      </w:r>
      <w:r>
        <w:rPr>
          <w:rFonts w:hint="default" w:ascii="Times New Roman" w:hAnsi="Times New Roman" w:eastAsia="仿宋_GB2312" w:cs="Times New Roman"/>
          <w:bCs/>
          <w:color w:val="auto"/>
          <w:sz w:val="24"/>
          <w:szCs w:val="24"/>
          <w:u w:val="single"/>
          <w:lang w:eastAsia="zh-CN"/>
        </w:rPr>
        <w:t xml:space="preserve">      </w:t>
      </w:r>
      <w:r>
        <w:rPr>
          <w:rFonts w:hint="default" w:ascii="Times New Roman" w:hAnsi="Times New Roman" w:eastAsia="仿宋_GB2312" w:cs="Times New Roman"/>
          <w:bCs/>
          <w:color w:val="auto"/>
          <w:sz w:val="24"/>
          <w:szCs w:val="24"/>
          <w:lang w:eastAsia="zh-CN"/>
        </w:rPr>
        <w:t>年</w:t>
      </w:r>
      <w:r>
        <w:rPr>
          <w:rFonts w:hint="default" w:ascii="Times New Roman" w:hAnsi="Times New Roman" w:eastAsia="仿宋_GB2312" w:cs="Times New Roman"/>
          <w:bCs/>
          <w:color w:val="auto"/>
          <w:sz w:val="24"/>
          <w:szCs w:val="24"/>
          <w:u w:val="single"/>
          <w:lang w:eastAsia="zh-CN"/>
        </w:rPr>
        <w:t xml:space="preserve">   </w:t>
      </w:r>
      <w:r>
        <w:rPr>
          <w:rFonts w:hint="default" w:ascii="Times New Roman" w:hAnsi="Times New Roman" w:eastAsia="仿宋_GB2312" w:cs="Times New Roman"/>
          <w:bCs/>
          <w:color w:val="auto"/>
          <w:sz w:val="24"/>
          <w:szCs w:val="24"/>
          <w:lang w:eastAsia="zh-CN"/>
        </w:rPr>
        <w:t>月</w:t>
      </w:r>
      <w:r>
        <w:rPr>
          <w:rFonts w:hint="default" w:ascii="Times New Roman" w:hAnsi="Times New Roman" w:eastAsia="仿宋_GB2312" w:cs="Times New Roman"/>
          <w:bCs/>
          <w:color w:val="auto"/>
          <w:sz w:val="24"/>
          <w:szCs w:val="24"/>
          <w:u w:val="single"/>
          <w:lang w:eastAsia="zh-CN"/>
        </w:rPr>
        <w:t xml:space="preserve">   </w:t>
      </w:r>
      <w:r>
        <w:rPr>
          <w:rFonts w:hint="default" w:ascii="Times New Roman" w:hAnsi="Times New Roman" w:eastAsia="仿宋_GB2312" w:cs="Times New Roman"/>
          <w:bCs/>
          <w:color w:val="auto"/>
          <w:sz w:val="24"/>
          <w:szCs w:val="24"/>
          <w:lang w:eastAsia="zh-CN"/>
        </w:rPr>
        <w:t>日</w:t>
      </w:r>
    </w:p>
    <w:p w14:paraId="10847ADD">
      <w:pPr>
        <w:pStyle w:val="17"/>
        <w:spacing w:line="240" w:lineRule="auto"/>
        <w:rPr>
          <w:rFonts w:hint="default" w:ascii="Times New Roman" w:hAnsi="Times New Roman" w:cs="Times New Roman"/>
          <w:b/>
          <w:color w:val="auto"/>
          <w:lang w:eastAsia="zh-CN"/>
        </w:rPr>
      </w:pPr>
      <w:bookmarkStart w:id="517" w:name="_Toc483428099_WPSOffice_Level3"/>
      <w:r>
        <w:rPr>
          <w:rFonts w:hint="default" w:ascii="Times New Roman" w:hAnsi="Times New Roman" w:cs="Times New Roman"/>
          <w:b/>
          <w:color w:val="auto"/>
          <w:lang w:eastAsia="zh-CN"/>
        </w:rPr>
        <w:t>备注：</w:t>
      </w:r>
      <w:bookmarkEnd w:id="517"/>
    </w:p>
    <w:p w14:paraId="4FEA13F8">
      <w:pPr>
        <w:pStyle w:val="17"/>
        <w:spacing w:line="240" w:lineRule="auto"/>
        <w:rPr>
          <w:rFonts w:hint="default" w:ascii="Times New Roman" w:hAnsi="Times New Roman" w:cs="Times New Roman"/>
          <w:b/>
          <w:color w:val="auto"/>
          <w:lang w:eastAsia="zh-CN"/>
        </w:rPr>
      </w:pPr>
      <w:r>
        <w:rPr>
          <w:rFonts w:hint="default" w:ascii="Times New Roman" w:hAnsi="Times New Roman" w:cs="Times New Roman"/>
          <w:b/>
          <w:color w:val="auto"/>
          <w:lang w:eastAsia="zh-CN"/>
        </w:rPr>
        <w:t>1、最低工资标准按</w:t>
      </w:r>
      <w:r>
        <w:rPr>
          <w:rFonts w:hint="default" w:ascii="Times New Roman" w:hAnsi="Times New Roman" w:cs="Times New Roman"/>
          <w:b/>
          <w:color w:val="auto"/>
          <w:lang w:val="en-US" w:eastAsia="zh-CN"/>
        </w:rPr>
        <w:t>最新</w:t>
      </w:r>
      <w:r>
        <w:rPr>
          <w:rFonts w:hint="default" w:ascii="Times New Roman" w:hAnsi="Times New Roman" w:cs="Times New Roman"/>
          <w:b/>
          <w:color w:val="auto"/>
          <w:lang w:eastAsia="zh-CN"/>
        </w:rPr>
        <w:t>《河南省人民政府关于调整河南省最低工资标准的通知》执行。</w:t>
      </w:r>
    </w:p>
    <w:p w14:paraId="175FEDCD">
      <w:pPr>
        <w:pStyle w:val="17"/>
        <w:spacing w:line="240" w:lineRule="auto"/>
        <w:rPr>
          <w:rFonts w:hint="default" w:ascii="Times New Roman" w:hAnsi="Times New Roman" w:cs="Times New Roman"/>
          <w:b/>
          <w:color w:val="auto"/>
          <w:lang w:eastAsia="zh-CN"/>
        </w:rPr>
      </w:pPr>
      <w:r>
        <w:rPr>
          <w:rFonts w:hint="default" w:ascii="Times New Roman" w:hAnsi="Times New Roman" w:cs="Times New Roman"/>
          <w:b/>
          <w:color w:val="auto"/>
          <w:lang w:eastAsia="zh-CN"/>
        </w:rPr>
        <w:t>2、岗位人员工资、社会保险费、税金取费不得低于国家规定的最低标准。</w:t>
      </w:r>
    </w:p>
    <w:p w14:paraId="5C8C50C0">
      <w:pPr>
        <w:pStyle w:val="17"/>
        <w:spacing w:line="240" w:lineRule="auto"/>
        <w:rPr>
          <w:rFonts w:hint="default" w:ascii="Times New Roman" w:hAnsi="Times New Roman" w:cs="Times New Roman"/>
          <w:b/>
          <w:color w:val="auto"/>
          <w:lang w:eastAsia="zh-CN"/>
        </w:rPr>
      </w:pPr>
      <w:r>
        <w:rPr>
          <w:rFonts w:hint="default" w:ascii="Times New Roman" w:hAnsi="Times New Roman" w:cs="Times New Roman"/>
          <w:b/>
          <w:color w:val="auto"/>
          <w:lang w:eastAsia="zh-CN"/>
        </w:rPr>
        <w:t>3、若有特殊情况，请予以备注说明并提供相关证明材料。</w:t>
      </w:r>
    </w:p>
    <w:p w14:paraId="009483AB">
      <w:pPr>
        <w:pStyle w:val="17"/>
        <w:spacing w:line="240" w:lineRule="auto"/>
        <w:rPr>
          <w:rFonts w:hint="default" w:ascii="Times New Roman" w:hAnsi="Times New Roman" w:eastAsia="仿宋_GB2312" w:cs="Times New Roman"/>
          <w:color w:val="auto"/>
          <w:sz w:val="28"/>
          <w:szCs w:val="28"/>
          <w:lang w:eastAsia="zh-CN"/>
        </w:rPr>
      </w:pPr>
      <w:r>
        <w:rPr>
          <w:rFonts w:hint="default" w:ascii="Times New Roman" w:hAnsi="Times New Roman" w:cs="Times New Roman"/>
          <w:b/>
          <w:color w:val="auto"/>
          <w:lang w:eastAsia="zh-CN"/>
        </w:rPr>
        <w:t>4、格式供参考，不做统一规定，可由投标人自行设计。</w:t>
      </w:r>
    </w:p>
    <w:p w14:paraId="5DC87A2E">
      <w:pPr>
        <w:pStyle w:val="39"/>
        <w:ind w:left="840" w:hanging="420"/>
        <w:rPr>
          <w:rFonts w:hint="default" w:ascii="Times New Roman" w:hAnsi="Times New Roman" w:cs="Times New Roman"/>
          <w:color w:val="auto"/>
          <w:lang w:val="en-US" w:eastAsia="zh-CN"/>
        </w:rPr>
        <w:sectPr>
          <w:headerReference r:id="rId5" w:type="default"/>
          <w:footerReference r:id="rId6" w:type="default"/>
          <w:pgSz w:w="11900" w:h="16840"/>
          <w:pgMar w:top="1440" w:right="1800" w:bottom="1440" w:left="1800" w:header="851" w:footer="992" w:gutter="0"/>
          <w:cols w:space="720" w:num="1"/>
        </w:sectPr>
      </w:pPr>
    </w:p>
    <w:p w14:paraId="00E9663D">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518" w:name="_Toc821511257"/>
      <w:bookmarkStart w:id="519" w:name="_Toc1251267079"/>
      <w:bookmarkStart w:id="520" w:name="_Toc131578556"/>
      <w:bookmarkStart w:id="521" w:name="_Toc441969721_WPSOffice_Level2"/>
      <w:bookmarkStart w:id="522" w:name="_Toc300470794"/>
      <w:bookmarkStart w:id="523" w:name="_Toc314692236"/>
      <w:r>
        <w:rPr>
          <w:rFonts w:hint="default" w:ascii="Times New Roman" w:hAnsi="Times New Roman" w:eastAsia="方正小标宋_GBK" w:cs="Times New Roman"/>
          <w:color w:val="auto"/>
          <w:sz w:val="30"/>
          <w:szCs w:val="30"/>
          <w:lang w:val="en-US" w:eastAsia="zh-CN"/>
        </w:rPr>
        <w:t>四、</w:t>
      </w:r>
      <w:bookmarkEnd w:id="509"/>
      <w:bookmarkEnd w:id="510"/>
      <w:bookmarkEnd w:id="511"/>
      <w:bookmarkEnd w:id="512"/>
      <w:bookmarkEnd w:id="513"/>
      <w:bookmarkEnd w:id="514"/>
      <w:bookmarkEnd w:id="518"/>
      <w:bookmarkEnd w:id="519"/>
      <w:bookmarkEnd w:id="520"/>
      <w:r>
        <w:rPr>
          <w:rFonts w:hint="default" w:ascii="Times New Roman" w:hAnsi="Times New Roman" w:eastAsia="方正小标宋_GBK" w:cs="Times New Roman"/>
          <w:bCs/>
          <w:color w:val="auto"/>
          <w:kern w:val="0"/>
          <w:sz w:val="30"/>
          <w:szCs w:val="30"/>
          <w:lang w:val="en-US" w:eastAsia="zh-CN"/>
        </w:rPr>
        <w:t>企业声明函</w:t>
      </w:r>
    </w:p>
    <w:p w14:paraId="29143D59">
      <w:pPr>
        <w:jc w:val="center"/>
        <w:rPr>
          <w:rFonts w:hint="default" w:ascii="Times New Roman" w:hAnsi="Times New Roman" w:eastAsia="CESI楷体-GB2312" w:cs="Times New Roman"/>
          <w:b/>
          <w:bCs/>
          <w:color w:val="auto"/>
          <w:sz w:val="32"/>
          <w:szCs w:val="32"/>
          <w:lang w:val="en-US" w:eastAsia="zh-CN"/>
        </w:rPr>
      </w:pPr>
      <w:bookmarkStart w:id="524" w:name="_Toc1299793528_WPSOffice_Level2"/>
      <w:r>
        <w:rPr>
          <w:rFonts w:hint="default" w:ascii="Times New Roman" w:hAnsi="Times New Roman" w:eastAsia="CESI楷体-GB2312" w:cs="Times New Roman"/>
          <w:b/>
          <w:bCs/>
          <w:color w:val="auto"/>
          <w:sz w:val="32"/>
          <w:szCs w:val="32"/>
          <w:lang w:val="en-US" w:eastAsia="zh-CN"/>
        </w:rPr>
        <w:t>中小企业声明函（工程、服务）</w:t>
      </w:r>
      <w:bookmarkEnd w:id="524"/>
    </w:p>
    <w:p w14:paraId="394BEEC0">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（投标人属于小型、微型企业的填写，不属于的无需填写或不提供此项内容）</w:t>
      </w:r>
    </w:p>
    <w:p w14:paraId="567EBF96">
      <w:pPr>
        <w:spacing w:line="46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本公司（联合体）郑重声明，根据《政府采购促进中小企业发展管理办法》（财库﹝2020﹞46 号）的规定，本公司（联合体）参加</w:t>
      </w:r>
      <w:r>
        <w:rPr>
          <w:rFonts w:hint="default" w:ascii="Times New Roman" w:hAnsi="Times New Roman" w:eastAsia="仿宋_GB2312" w:cs="Times New Roman"/>
          <w:color w:val="auto"/>
          <w:sz w:val="28"/>
          <w:szCs w:val="28"/>
          <w:u w:val="single"/>
          <w:lang w:val="en-US" w:eastAsia="zh-CN"/>
        </w:rPr>
        <w:t>河南工业和信息化职业学院</w:t>
      </w:r>
      <w:r>
        <w:rPr>
          <w:rFonts w:hint="default" w:ascii="Times New Roman" w:hAnsi="Times New Roman" w:eastAsia="仿宋_GB2312" w:cs="Times New Roman"/>
          <w:color w:val="auto"/>
          <w:sz w:val="28"/>
          <w:szCs w:val="28"/>
          <w:lang w:eastAsia="zh-CN"/>
        </w:rPr>
        <w:t>的</w:t>
      </w:r>
      <w:r>
        <w:rPr>
          <w:rFonts w:hint="default" w:ascii="Times New Roman" w:hAnsi="Times New Roman" w:eastAsia="仿宋_GB2312" w:cs="Times New Roman"/>
          <w:color w:val="auto"/>
          <w:sz w:val="28"/>
          <w:szCs w:val="28"/>
          <w:u w:val="single"/>
          <w:lang w:val="en" w:eastAsia="zh-CN"/>
        </w:rPr>
        <w:t>河南工业和信息化职业学院2025年-2028年物业服务项目</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采购活动，服务全部由符合政策要求的中小企业承接（或者：工程的施工单位全部为符合政策要求的中小企业）。相关企业（含联合体中的中小企业、签订分包意向协议的中小企业）的具体情况如下：</w:t>
      </w:r>
    </w:p>
    <w:p w14:paraId="6C4EF6C5">
      <w:pPr>
        <w:spacing w:line="46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 xml:space="preserve">1. </w:t>
      </w:r>
      <w:r>
        <w:rPr>
          <w:rFonts w:hint="default" w:ascii="Times New Roman" w:hAnsi="Times New Roman" w:eastAsia="仿宋_GB2312" w:cs="Times New Roman"/>
          <w:i/>
          <w:iCs/>
          <w:color w:val="auto"/>
          <w:sz w:val="28"/>
          <w:szCs w:val="28"/>
          <w:u w:val="single"/>
          <w:lang w:eastAsia="zh-CN"/>
        </w:rPr>
        <w:t>（标的名称）</w:t>
      </w:r>
      <w:r>
        <w:rPr>
          <w:rFonts w:hint="default" w:ascii="Times New Roman" w:hAnsi="Times New Roman" w:eastAsia="仿宋_GB2312" w:cs="Times New Roman"/>
          <w:color w:val="auto"/>
          <w:sz w:val="28"/>
          <w:szCs w:val="28"/>
          <w:lang w:eastAsia="zh-CN"/>
        </w:rPr>
        <w:t>，属于</w:t>
      </w:r>
      <w:r>
        <w:rPr>
          <w:rFonts w:hint="default" w:ascii="Times New Roman" w:hAnsi="Times New Roman" w:eastAsia="仿宋_GB2312" w:cs="Times New Roman"/>
          <w:i/>
          <w:iCs/>
          <w:color w:val="auto"/>
          <w:sz w:val="28"/>
          <w:szCs w:val="28"/>
          <w:u w:val="single"/>
          <w:lang w:eastAsia="zh-CN"/>
        </w:rPr>
        <w:t>（采购文件中明确的所属行业）</w:t>
      </w:r>
      <w:r>
        <w:rPr>
          <w:rFonts w:hint="default" w:ascii="Times New Roman" w:hAnsi="Times New Roman" w:eastAsia="仿宋_GB2312" w:cs="Times New Roman"/>
          <w:color w:val="auto"/>
          <w:sz w:val="28"/>
          <w:szCs w:val="28"/>
          <w:lang w:eastAsia="zh-CN"/>
        </w:rPr>
        <w:t>； 承建（承接）企业为</w:t>
      </w:r>
      <w:r>
        <w:rPr>
          <w:rFonts w:hint="default" w:ascii="Times New Roman" w:hAnsi="Times New Roman" w:eastAsia="仿宋_GB2312" w:cs="Times New Roman"/>
          <w:i/>
          <w:iCs/>
          <w:color w:val="auto"/>
          <w:sz w:val="28"/>
          <w:szCs w:val="28"/>
          <w:u w:val="single"/>
          <w:lang w:eastAsia="zh-CN"/>
        </w:rPr>
        <w:t>（企业名称）</w:t>
      </w:r>
      <w:r>
        <w:rPr>
          <w:rFonts w:hint="default" w:ascii="Times New Roman" w:hAnsi="Times New Roman" w:eastAsia="仿宋_GB2312" w:cs="Times New Roman"/>
          <w:color w:val="auto"/>
          <w:sz w:val="28"/>
          <w:szCs w:val="28"/>
          <w:lang w:eastAsia="zh-CN"/>
        </w:rPr>
        <w:t>，从业人员</w:t>
      </w:r>
      <w:r>
        <w:rPr>
          <w:rFonts w:hint="default" w:ascii="Times New Roman" w:hAnsi="Times New Roman" w:eastAsia="仿宋_GB2312" w:cs="Times New Roman"/>
          <w:color w:val="auto"/>
          <w:sz w:val="28"/>
          <w:szCs w:val="28"/>
          <w:u w:val="single"/>
          <w:lang w:eastAsia="zh-CN"/>
        </w:rPr>
        <w:t xml:space="preserve">         </w:t>
      </w:r>
      <w:r>
        <w:rPr>
          <w:rFonts w:hint="default" w:ascii="Times New Roman" w:hAnsi="Times New Roman" w:eastAsia="仿宋_GB2312" w:cs="Times New Roman"/>
          <w:color w:val="auto"/>
          <w:sz w:val="28"/>
          <w:szCs w:val="28"/>
          <w:lang w:eastAsia="zh-CN"/>
        </w:rPr>
        <w:t>人，营业收入为</w:t>
      </w:r>
      <w:r>
        <w:rPr>
          <w:rFonts w:hint="default" w:ascii="Times New Roman" w:hAnsi="Times New Roman" w:eastAsia="仿宋_GB2312" w:cs="Times New Roman"/>
          <w:color w:val="auto"/>
          <w:sz w:val="28"/>
          <w:szCs w:val="28"/>
          <w:u w:val="single"/>
          <w:lang w:eastAsia="zh-CN"/>
        </w:rPr>
        <w:t xml:space="preserve">        </w:t>
      </w:r>
      <w:r>
        <w:rPr>
          <w:rFonts w:hint="default" w:ascii="Times New Roman" w:hAnsi="Times New Roman" w:eastAsia="仿宋_GB2312" w:cs="Times New Roman"/>
          <w:color w:val="auto"/>
          <w:sz w:val="28"/>
          <w:szCs w:val="28"/>
          <w:lang w:eastAsia="zh-CN"/>
        </w:rPr>
        <w:t>万元，资产总额为</w:t>
      </w:r>
      <w:r>
        <w:rPr>
          <w:rFonts w:hint="default" w:ascii="Times New Roman" w:hAnsi="Times New Roman" w:eastAsia="仿宋_GB2312" w:cs="Times New Roman"/>
          <w:color w:val="auto"/>
          <w:sz w:val="28"/>
          <w:szCs w:val="28"/>
          <w:u w:val="single"/>
          <w:lang w:eastAsia="zh-CN"/>
        </w:rPr>
        <w:t xml:space="preserve">        </w:t>
      </w:r>
      <w:r>
        <w:rPr>
          <w:rFonts w:hint="default" w:ascii="Times New Roman" w:hAnsi="Times New Roman" w:eastAsia="仿宋_GB2312" w:cs="Times New Roman"/>
          <w:color w:val="auto"/>
          <w:sz w:val="28"/>
          <w:szCs w:val="28"/>
          <w:lang w:eastAsia="zh-CN"/>
        </w:rPr>
        <w:t>万元，属于</w:t>
      </w:r>
      <w:r>
        <w:rPr>
          <w:rFonts w:hint="default" w:ascii="Times New Roman" w:hAnsi="Times New Roman" w:eastAsia="仿宋_GB2312" w:cs="Times New Roman"/>
          <w:i/>
          <w:iCs/>
          <w:color w:val="auto"/>
          <w:sz w:val="28"/>
          <w:szCs w:val="28"/>
          <w:u w:val="single"/>
          <w:lang w:eastAsia="zh-CN"/>
        </w:rPr>
        <w:t>（中型企业、小型企业、微型企业）</w:t>
      </w:r>
      <w:r>
        <w:rPr>
          <w:rFonts w:hint="default" w:ascii="Times New Roman" w:hAnsi="Times New Roman" w:eastAsia="仿宋_GB2312" w:cs="Times New Roman"/>
          <w:color w:val="auto"/>
          <w:sz w:val="28"/>
          <w:szCs w:val="28"/>
          <w:lang w:eastAsia="zh-CN"/>
        </w:rPr>
        <w:t>；</w:t>
      </w:r>
    </w:p>
    <w:p w14:paraId="59AD318E">
      <w:pPr>
        <w:spacing w:line="46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 xml:space="preserve">2. </w:t>
      </w:r>
      <w:r>
        <w:rPr>
          <w:rFonts w:hint="default" w:ascii="Times New Roman" w:hAnsi="Times New Roman" w:eastAsia="仿宋_GB2312" w:cs="Times New Roman"/>
          <w:i/>
          <w:iCs/>
          <w:color w:val="auto"/>
          <w:sz w:val="28"/>
          <w:szCs w:val="28"/>
          <w:u w:val="single"/>
          <w:lang w:eastAsia="zh-CN"/>
        </w:rPr>
        <w:t>（标的名称）</w:t>
      </w:r>
      <w:r>
        <w:rPr>
          <w:rFonts w:hint="default" w:ascii="Times New Roman" w:hAnsi="Times New Roman" w:eastAsia="仿宋_GB2312" w:cs="Times New Roman"/>
          <w:color w:val="auto"/>
          <w:sz w:val="28"/>
          <w:szCs w:val="28"/>
          <w:lang w:eastAsia="zh-CN"/>
        </w:rPr>
        <w:t>，属于</w:t>
      </w:r>
      <w:r>
        <w:rPr>
          <w:rFonts w:hint="default" w:ascii="Times New Roman" w:hAnsi="Times New Roman" w:eastAsia="仿宋_GB2312" w:cs="Times New Roman"/>
          <w:i/>
          <w:iCs/>
          <w:color w:val="auto"/>
          <w:sz w:val="28"/>
          <w:szCs w:val="28"/>
          <w:u w:val="single"/>
          <w:lang w:eastAsia="zh-CN"/>
        </w:rPr>
        <w:t>（采购文件中明确的所属行业）</w:t>
      </w:r>
      <w:r>
        <w:rPr>
          <w:rFonts w:hint="default" w:ascii="Times New Roman" w:hAnsi="Times New Roman" w:eastAsia="仿宋_GB2312" w:cs="Times New Roman"/>
          <w:color w:val="auto"/>
          <w:sz w:val="28"/>
          <w:szCs w:val="28"/>
          <w:lang w:eastAsia="zh-CN"/>
        </w:rPr>
        <w:t>； 承建（承接）企业为</w:t>
      </w:r>
      <w:r>
        <w:rPr>
          <w:rFonts w:hint="default" w:ascii="Times New Roman" w:hAnsi="Times New Roman" w:eastAsia="仿宋_GB2312" w:cs="Times New Roman"/>
          <w:i/>
          <w:iCs/>
          <w:color w:val="auto"/>
          <w:sz w:val="28"/>
          <w:szCs w:val="28"/>
          <w:u w:val="single"/>
          <w:lang w:eastAsia="zh-CN"/>
        </w:rPr>
        <w:t>（企业名称）</w:t>
      </w:r>
      <w:r>
        <w:rPr>
          <w:rFonts w:hint="default" w:ascii="Times New Roman" w:hAnsi="Times New Roman" w:eastAsia="仿宋_GB2312" w:cs="Times New Roman"/>
          <w:color w:val="auto"/>
          <w:sz w:val="28"/>
          <w:szCs w:val="28"/>
          <w:lang w:eastAsia="zh-CN"/>
        </w:rPr>
        <w:t>，从业人员</w:t>
      </w:r>
      <w:r>
        <w:rPr>
          <w:rFonts w:hint="default" w:ascii="Times New Roman" w:hAnsi="Times New Roman" w:eastAsia="仿宋_GB2312" w:cs="Times New Roman"/>
          <w:color w:val="auto"/>
          <w:sz w:val="28"/>
          <w:szCs w:val="28"/>
          <w:u w:val="single"/>
          <w:lang w:eastAsia="zh-CN"/>
        </w:rPr>
        <w:t xml:space="preserve">       </w:t>
      </w:r>
      <w:r>
        <w:rPr>
          <w:rFonts w:hint="default" w:ascii="Times New Roman" w:hAnsi="Times New Roman" w:eastAsia="仿宋_GB2312" w:cs="Times New Roman"/>
          <w:color w:val="auto"/>
          <w:sz w:val="28"/>
          <w:szCs w:val="28"/>
          <w:lang w:eastAsia="zh-CN"/>
        </w:rPr>
        <w:t>人，营业收入为</w:t>
      </w:r>
      <w:r>
        <w:rPr>
          <w:rFonts w:hint="default" w:ascii="Times New Roman" w:hAnsi="Times New Roman" w:eastAsia="仿宋_GB2312" w:cs="Times New Roman"/>
          <w:color w:val="auto"/>
          <w:sz w:val="28"/>
          <w:szCs w:val="28"/>
          <w:u w:val="single"/>
          <w:lang w:eastAsia="zh-CN"/>
        </w:rPr>
        <w:t xml:space="preserve">      </w:t>
      </w:r>
      <w:r>
        <w:rPr>
          <w:rFonts w:hint="default" w:ascii="Times New Roman" w:hAnsi="Times New Roman" w:eastAsia="仿宋_GB2312" w:cs="Times New Roman"/>
          <w:color w:val="auto"/>
          <w:sz w:val="28"/>
          <w:szCs w:val="28"/>
          <w:lang w:eastAsia="zh-CN"/>
        </w:rPr>
        <w:t>万元，资产总额为</w:t>
      </w:r>
      <w:r>
        <w:rPr>
          <w:rFonts w:hint="default" w:ascii="Times New Roman" w:hAnsi="Times New Roman" w:eastAsia="仿宋_GB2312" w:cs="Times New Roman"/>
          <w:color w:val="auto"/>
          <w:sz w:val="28"/>
          <w:szCs w:val="28"/>
          <w:u w:val="single"/>
          <w:lang w:eastAsia="zh-CN"/>
        </w:rPr>
        <w:t xml:space="preserve">      </w:t>
      </w:r>
      <w:r>
        <w:rPr>
          <w:rFonts w:hint="default" w:ascii="Times New Roman" w:hAnsi="Times New Roman" w:eastAsia="仿宋_GB2312" w:cs="Times New Roman"/>
          <w:color w:val="auto"/>
          <w:sz w:val="28"/>
          <w:szCs w:val="28"/>
          <w:lang w:eastAsia="zh-CN"/>
        </w:rPr>
        <w:t>万元，属于</w:t>
      </w:r>
      <w:r>
        <w:rPr>
          <w:rFonts w:hint="default" w:ascii="Times New Roman" w:hAnsi="Times New Roman" w:eastAsia="仿宋_GB2312" w:cs="Times New Roman"/>
          <w:i/>
          <w:iCs/>
          <w:color w:val="auto"/>
          <w:sz w:val="28"/>
          <w:szCs w:val="28"/>
          <w:u w:val="single"/>
          <w:lang w:eastAsia="zh-CN"/>
        </w:rPr>
        <w:t>（中型企业、 小型企业、微型企业）</w:t>
      </w:r>
      <w:r>
        <w:rPr>
          <w:rFonts w:hint="default" w:ascii="Times New Roman" w:hAnsi="Times New Roman" w:eastAsia="仿宋_GB2312" w:cs="Times New Roman"/>
          <w:color w:val="auto"/>
          <w:sz w:val="28"/>
          <w:szCs w:val="28"/>
          <w:lang w:eastAsia="zh-CN"/>
        </w:rPr>
        <w:t>；</w:t>
      </w:r>
    </w:p>
    <w:p w14:paraId="746E9315">
      <w:pPr>
        <w:spacing w:line="46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 xml:space="preserve">…… </w:t>
      </w:r>
    </w:p>
    <w:p w14:paraId="63711692">
      <w:pPr>
        <w:spacing w:line="46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以上企业，不属于大企业的分支机构，不存在控股股东为大企业的情形，也不存在与大企业的负责人为同一人的情形。</w:t>
      </w:r>
    </w:p>
    <w:p w14:paraId="027FDB39">
      <w:pPr>
        <w:spacing w:line="46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本企业对上述声明内容的真实性负责。如有虚假，将依法承担相应责任。</w:t>
      </w:r>
    </w:p>
    <w:p w14:paraId="3FA051DF">
      <w:pPr>
        <w:spacing w:before="100" w:after="100" w:line="460" w:lineRule="exact"/>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23328530">
      <w:pPr>
        <w:spacing w:before="100" w:after="100" w:line="460" w:lineRule="exact"/>
        <w:ind w:firstLine="3720"/>
        <w:jc w:val="left"/>
        <w:rPr>
          <w:rFonts w:hint="default" w:ascii="Times New Roman" w:hAnsi="Times New Roman" w:eastAsia="仿宋_GB2312" w:cs="Times New Roman"/>
          <w:color w:val="auto"/>
          <w:kern w:val="0"/>
          <w:sz w:val="28"/>
          <w:szCs w:val="28"/>
          <w:u w:val="single"/>
          <w:lang w:val="en-US" w:eastAsia="zh-CN"/>
        </w:rPr>
      </w:pPr>
      <w:r>
        <w:rPr>
          <w:rFonts w:hint="default" w:ascii="Times New Roman" w:hAnsi="Times New Roman" w:eastAsia="仿宋_GB2312" w:cs="Times New Roman"/>
          <w:color w:val="auto"/>
          <w:kern w:val="0"/>
          <w:sz w:val="28"/>
          <w:szCs w:val="28"/>
          <w:lang w:eastAsia="zh-CN"/>
        </w:rPr>
        <w:t>　日　期：</w:t>
      </w:r>
      <w:r>
        <w:rPr>
          <w:rFonts w:hint="default" w:ascii="Times New Roman" w:hAnsi="Times New Roman" w:eastAsia="仿宋_GB2312" w:cs="Times New Roman"/>
          <w:color w:val="auto"/>
          <w:kern w:val="0"/>
          <w:sz w:val="28"/>
          <w:szCs w:val="28"/>
          <w:u w:val="single"/>
          <w:lang w:val="en-US" w:eastAsia="zh-CN"/>
        </w:rPr>
        <w:t xml:space="preserve">             </w:t>
      </w:r>
    </w:p>
    <w:p w14:paraId="2A7161EB">
      <w:pPr>
        <w:pStyle w:val="228"/>
        <w:pBdr>
          <w:bottom w:val="double" w:color="auto" w:sz="4" w:space="0"/>
        </w:pBdr>
        <w:rPr>
          <w:rFonts w:hint="default" w:ascii="Times New Roman" w:hAnsi="Times New Roman" w:eastAsia="仿宋_GB2312" w:cs="Times New Roman"/>
          <w:color w:val="auto"/>
          <w:kern w:val="0"/>
          <w:sz w:val="28"/>
          <w:szCs w:val="28"/>
          <w:u w:val="single"/>
        </w:rPr>
      </w:pPr>
    </w:p>
    <w:p w14:paraId="4F7457BA">
      <w:pPr>
        <w:widowControl w:val="0"/>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说明：</w:t>
      </w:r>
    </w:p>
    <w:p w14:paraId="66B3934C">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（1）从业人员、营业收入、资产总额填报上一年度数据，无上一年度数据的新成立企业可不填报。</w:t>
      </w:r>
    </w:p>
    <w:p w14:paraId="39F1B9E9">
      <w:pPr>
        <w:widowControl w:val="0"/>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中小企业划型标准见文件末附件。</w:t>
      </w:r>
    </w:p>
    <w:p w14:paraId="60BD048D">
      <w:pPr>
        <w:pStyle w:val="4"/>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br w:type="page"/>
      </w:r>
      <w:bookmarkStart w:id="525" w:name="_Toc71543331"/>
      <w:bookmarkStart w:id="526" w:name="_Toc1376471950"/>
      <w:bookmarkStart w:id="527" w:name="_Toc430357775"/>
      <w:bookmarkStart w:id="528" w:name="_Toc596959550"/>
      <w:bookmarkStart w:id="529" w:name="_Toc709139859_WPSOffice_Level2"/>
      <w:bookmarkStart w:id="530" w:name="_Toc1555514676"/>
      <w:bookmarkStart w:id="531" w:name="_Toc64259737_WPSOffice_Level3"/>
      <w:r>
        <w:rPr>
          <w:rFonts w:hint="default" w:ascii="Times New Roman" w:hAnsi="Times New Roman" w:eastAsia="宋体" w:cs="Times New Roman"/>
          <w:color w:val="auto"/>
          <w:sz w:val="28"/>
          <w:szCs w:val="28"/>
          <w:lang w:eastAsia="zh-CN"/>
        </w:rPr>
        <w:t>投标人监狱企业声明函</w:t>
      </w:r>
      <w:bookmarkEnd w:id="525"/>
      <w:bookmarkEnd w:id="526"/>
      <w:bookmarkEnd w:id="527"/>
      <w:bookmarkEnd w:id="528"/>
      <w:bookmarkEnd w:id="529"/>
      <w:bookmarkEnd w:id="530"/>
      <w:bookmarkEnd w:id="531"/>
    </w:p>
    <w:p w14:paraId="2043BD50">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（投标人属于监狱企业的填写，不属于的无需填写或不提供此项内容）</w:t>
      </w:r>
    </w:p>
    <w:p w14:paraId="1C921056">
      <w:pPr>
        <w:pStyle w:val="98"/>
        <w:rPr>
          <w:rFonts w:hint="default" w:ascii="Times New Roman" w:hAnsi="Times New Roman" w:cs="Times New Roman"/>
          <w:color w:val="auto"/>
        </w:rPr>
      </w:pPr>
    </w:p>
    <w:p w14:paraId="1FCD6194">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本企业（单位）郑重声明下列事项（按照实际情况勾选或填空）：</w:t>
      </w:r>
    </w:p>
    <w:p w14:paraId="6ADE02FA">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本企业（单位）为直接投标人，提供本企业（单位）服务。本企业（单位）</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eastAsia="zh-CN"/>
        </w:rPr>
        <w:t>（请填写：是、不是）监狱企业。后附省级以上监狱管理局、戒毒管理局（含新疆生产建设兵团）出具的属于监狱企业的证明文件。</w:t>
      </w:r>
    </w:p>
    <w:p w14:paraId="15DC20C0">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本企业（单位）对上述声明的真实性负责。如有虚假，将依法承担相应责任。</w:t>
      </w:r>
    </w:p>
    <w:p w14:paraId="55AEB10C">
      <w:pPr>
        <w:spacing w:before="100" w:after="100" w:line="360" w:lineRule="auto"/>
        <w:jc w:val="left"/>
        <w:rPr>
          <w:rFonts w:hint="default" w:ascii="Times New Roman" w:hAnsi="Times New Roman" w:eastAsia="仿宋_GB2312" w:cs="Times New Roman"/>
          <w:color w:val="auto"/>
          <w:kern w:val="0"/>
          <w:sz w:val="28"/>
          <w:szCs w:val="28"/>
          <w:lang w:val="en-US" w:eastAsia="zh-CN"/>
        </w:rPr>
      </w:pPr>
    </w:p>
    <w:p w14:paraId="623676C3">
      <w:pPr>
        <w:spacing w:before="100" w:after="100" w:line="360" w:lineRule="auto"/>
        <w:jc w:val="left"/>
        <w:rPr>
          <w:rFonts w:hint="default" w:ascii="Times New Roman" w:hAnsi="Times New Roman" w:eastAsia="仿宋_GB2312" w:cs="Times New Roman"/>
          <w:color w:val="auto"/>
          <w:kern w:val="0"/>
          <w:sz w:val="28"/>
          <w:szCs w:val="28"/>
          <w:lang w:val="en-US" w:eastAsia="zh-CN"/>
        </w:rPr>
      </w:pPr>
    </w:p>
    <w:p w14:paraId="47B18454">
      <w:pPr>
        <w:spacing w:line="360" w:lineRule="auto"/>
        <w:rPr>
          <w:rFonts w:hint="default" w:ascii="Times New Roman" w:hAnsi="Times New Roman" w:eastAsia="仿宋_GB2312" w:cs="Times New Roman"/>
          <w:b/>
          <w:bCs/>
          <w:color w:val="auto"/>
          <w:sz w:val="28"/>
          <w:szCs w:val="28"/>
          <w:lang w:val="en-US" w:eastAsia="zh-CN"/>
        </w:rPr>
      </w:pPr>
    </w:p>
    <w:p w14:paraId="2D457F2B">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13E13D7B">
      <w:pPr>
        <w:spacing w:before="100" w:after="100" w:line="360" w:lineRule="auto"/>
        <w:ind w:firstLine="372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　日　期：</w:t>
      </w:r>
      <w:r>
        <w:rPr>
          <w:rFonts w:hint="default" w:ascii="Times New Roman" w:hAnsi="Times New Roman" w:eastAsia="仿宋_GB2312" w:cs="Times New Roman"/>
          <w:color w:val="auto"/>
          <w:kern w:val="0"/>
          <w:sz w:val="28"/>
          <w:szCs w:val="28"/>
          <w:u w:val="single"/>
          <w:lang w:val="en-US" w:eastAsia="zh-CN"/>
        </w:rPr>
        <w:t xml:space="preserve">             </w:t>
      </w:r>
    </w:p>
    <w:p w14:paraId="00888FC8">
      <w:pPr>
        <w:pStyle w:val="4"/>
        <w:jc w:val="center"/>
        <w:rPr>
          <w:rFonts w:hint="default" w:ascii="Times New Roman" w:hAnsi="Times New Roman" w:cs="Times New Roman"/>
          <w:color w:val="auto"/>
          <w:lang w:eastAsia="zh-CN"/>
        </w:rPr>
      </w:pPr>
      <w:r>
        <w:rPr>
          <w:rFonts w:hint="default" w:ascii="Times New Roman" w:hAnsi="Times New Roman" w:cs="Times New Roman"/>
          <w:color w:val="auto"/>
          <w:highlight w:val="green"/>
          <w:lang w:eastAsia="zh-CN"/>
        </w:rPr>
        <w:br w:type="page"/>
      </w:r>
      <w:bookmarkStart w:id="532" w:name="_Toc364095986"/>
      <w:bookmarkStart w:id="533" w:name="_Toc1632685049"/>
      <w:bookmarkStart w:id="534" w:name="_Toc894210698_WPSOffice_Level2"/>
      <w:bookmarkStart w:id="535" w:name="_Toc415104894_WPSOffice_Level3"/>
      <w:bookmarkStart w:id="536" w:name="_Toc728679071"/>
      <w:r>
        <w:rPr>
          <w:rFonts w:hint="default" w:ascii="Times New Roman" w:hAnsi="Times New Roman" w:eastAsia="宋体" w:cs="Times New Roman"/>
          <w:color w:val="auto"/>
          <w:sz w:val="28"/>
          <w:szCs w:val="28"/>
          <w:lang w:eastAsia="zh-CN"/>
        </w:rPr>
        <w:t>残疾人福利性单位声明函</w:t>
      </w:r>
      <w:bookmarkEnd w:id="532"/>
      <w:bookmarkEnd w:id="533"/>
      <w:bookmarkEnd w:id="534"/>
      <w:bookmarkEnd w:id="535"/>
      <w:bookmarkEnd w:id="536"/>
    </w:p>
    <w:p w14:paraId="27A357DB">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（投标人属于残疾人福利性单位的填写，不属于的无需填写或不提供此项内容）</w:t>
      </w:r>
    </w:p>
    <w:p w14:paraId="2E45AD40">
      <w:pPr>
        <w:pStyle w:val="98"/>
        <w:rPr>
          <w:rFonts w:hint="default" w:ascii="Times New Roman" w:hAnsi="Times New Roman" w:cs="Times New Roman"/>
          <w:color w:val="auto"/>
        </w:rPr>
      </w:pPr>
    </w:p>
    <w:p w14:paraId="7518956D">
      <w:pPr>
        <w:spacing w:line="360" w:lineRule="auto"/>
        <w:ind w:firstLine="567"/>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本单位郑重声明，根据《财政部 民政部 中国残疾人联合会关于促进残疾人就业政府采购政策的通知》（财库〔</w:t>
      </w:r>
      <w:r>
        <w:rPr>
          <w:rFonts w:hint="default" w:ascii="Times New Roman" w:hAnsi="Times New Roman" w:eastAsia="仿宋_GB2312" w:cs="Times New Roman"/>
          <w:color w:val="auto"/>
          <w:kern w:val="0"/>
          <w:sz w:val="28"/>
          <w:szCs w:val="28"/>
          <w:lang w:val="en-US" w:eastAsia="zh-CN"/>
        </w:rPr>
        <w:t>2017</w:t>
      </w:r>
      <w:r>
        <w:rPr>
          <w:rFonts w:hint="default" w:ascii="Times New Roman" w:hAnsi="Times New Roman" w:eastAsia="仿宋_GB2312" w:cs="Times New Roman"/>
          <w:color w:val="auto"/>
          <w:kern w:val="0"/>
          <w:sz w:val="28"/>
          <w:szCs w:val="28"/>
          <w:lang w:eastAsia="zh-CN"/>
        </w:rPr>
        <w:t>〕</w:t>
      </w:r>
      <w:r>
        <w:rPr>
          <w:rFonts w:hint="default" w:ascii="Times New Roman" w:hAnsi="Times New Roman" w:eastAsia="仿宋_GB2312" w:cs="Times New Roman"/>
          <w:color w:val="auto"/>
          <w:kern w:val="0"/>
          <w:sz w:val="28"/>
          <w:szCs w:val="28"/>
          <w:lang w:val="en-US" w:eastAsia="zh-CN"/>
        </w:rPr>
        <w:t>141</w:t>
      </w:r>
      <w:r>
        <w:rPr>
          <w:rFonts w:hint="default" w:ascii="Times New Roman" w:hAnsi="Times New Roman" w:eastAsia="仿宋_GB2312" w:cs="Times New Roman"/>
          <w:color w:val="auto"/>
          <w:kern w:val="0"/>
          <w:sz w:val="28"/>
          <w:szCs w:val="28"/>
          <w:lang w:eastAsia="zh-CN"/>
        </w:rPr>
        <w:t>号）的规定，本单位为符合条件的残疾人福利性单位，且本单位参加</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eastAsia="zh-CN"/>
        </w:rPr>
        <w:t>单位的</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eastAsia="zh-CN"/>
        </w:rPr>
        <w:t>项目采购活动提供本单位制造的货物（由本单位承担工程</w:t>
      </w:r>
      <w:r>
        <w:rPr>
          <w:rFonts w:hint="default" w:ascii="Times New Roman" w:hAnsi="Times New Roman" w:eastAsia="仿宋_GB2312" w:cs="Times New Roman"/>
          <w:color w:val="auto"/>
          <w:kern w:val="0"/>
          <w:sz w:val="28"/>
          <w:szCs w:val="28"/>
          <w:lang w:val="en-US" w:eastAsia="zh-CN"/>
        </w:rPr>
        <w:t>/</w:t>
      </w:r>
      <w:r>
        <w:rPr>
          <w:rFonts w:hint="default" w:ascii="Times New Roman" w:hAnsi="Times New Roman" w:eastAsia="仿宋_GB2312" w:cs="Times New Roman"/>
          <w:color w:val="auto"/>
          <w:kern w:val="0"/>
          <w:sz w:val="28"/>
          <w:szCs w:val="28"/>
          <w:lang w:eastAsia="zh-CN"/>
        </w:rPr>
        <w:t>提供服务），或者提供其他残疾人福利性单位制造的货物（不包括使用非残疾人福利性单位注册商标的货物）。</w:t>
      </w:r>
    </w:p>
    <w:p w14:paraId="287039A9">
      <w:pPr>
        <w:spacing w:line="360" w:lineRule="auto"/>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 xml:space="preserve">    </w:t>
      </w:r>
      <w:r>
        <w:rPr>
          <w:rFonts w:hint="default" w:ascii="Times New Roman" w:hAnsi="Times New Roman" w:eastAsia="仿宋_GB2312" w:cs="Times New Roman"/>
          <w:color w:val="auto"/>
          <w:kern w:val="0"/>
          <w:sz w:val="28"/>
          <w:szCs w:val="28"/>
          <w:lang w:eastAsia="zh-CN"/>
        </w:rPr>
        <w:t>本单位对上述声明的真实性负责。如有虚假，将依法承担相应责任。</w:t>
      </w:r>
    </w:p>
    <w:p w14:paraId="005B012F">
      <w:pPr>
        <w:spacing w:line="360" w:lineRule="auto"/>
        <w:ind w:left="1080" w:hanging="540"/>
        <w:jc w:val="center"/>
        <w:rPr>
          <w:rFonts w:hint="default" w:ascii="Times New Roman" w:hAnsi="Times New Roman" w:eastAsia="宋体" w:cs="Times New Roman"/>
          <w:color w:val="auto"/>
          <w:kern w:val="0"/>
          <w:sz w:val="24"/>
          <w:szCs w:val="24"/>
          <w:lang w:val="en-US" w:eastAsia="zh-CN"/>
        </w:rPr>
      </w:pPr>
    </w:p>
    <w:p w14:paraId="0C0096FB">
      <w:pPr>
        <w:spacing w:line="360" w:lineRule="auto"/>
        <w:ind w:left="1080" w:hanging="540"/>
        <w:jc w:val="center"/>
        <w:rPr>
          <w:rFonts w:hint="default" w:ascii="Times New Roman" w:hAnsi="Times New Roman" w:eastAsia="宋体" w:cs="Times New Roman"/>
          <w:color w:val="auto"/>
          <w:kern w:val="0"/>
          <w:sz w:val="24"/>
          <w:szCs w:val="24"/>
          <w:lang w:val="en-US" w:eastAsia="zh-CN"/>
        </w:rPr>
      </w:pPr>
    </w:p>
    <w:p w14:paraId="3C22B1D0">
      <w:pPr>
        <w:spacing w:line="360" w:lineRule="auto"/>
        <w:ind w:left="645" w:firstLine="2640"/>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宋体" w:cs="Times New Roman"/>
          <w:color w:val="auto"/>
          <w:kern w:val="0"/>
          <w:sz w:val="24"/>
          <w:szCs w:val="24"/>
          <w:lang w:eastAsia="zh-CN"/>
        </w:rPr>
        <w:t xml:space="preserve">   </w:t>
      </w:r>
      <w:r>
        <w:rPr>
          <w:rFonts w:hint="default" w:ascii="Times New Roman" w:hAnsi="Times New Roman" w:eastAsia="仿宋_GB2312" w:cs="Times New Roman"/>
          <w:color w:val="auto"/>
          <w:kern w:val="0"/>
          <w:sz w:val="28"/>
          <w:szCs w:val="28"/>
          <w:lang w:val="en-US" w:eastAsia="zh-CN"/>
        </w:rPr>
        <w:t xml:space="preserve">投标人（企业电子签章）：             </w:t>
      </w:r>
    </w:p>
    <w:p w14:paraId="0B820903">
      <w:pPr>
        <w:spacing w:line="360" w:lineRule="auto"/>
        <w:ind w:left="645" w:firstLine="2640"/>
        <w:rPr>
          <w:rFonts w:hint="default" w:ascii="Times New Roman" w:hAnsi="Times New Roman" w:eastAsia="仿宋_GB2312" w:cs="Times New Roman"/>
          <w:color w:val="auto"/>
          <w:kern w:val="0"/>
          <w:sz w:val="28"/>
          <w:szCs w:val="28"/>
          <w:u w:val="single"/>
          <w:lang w:val="en-US" w:eastAsia="zh-CN"/>
        </w:rPr>
      </w:pPr>
      <w:r>
        <w:rPr>
          <w:rFonts w:hint="default" w:ascii="Times New Roman" w:hAnsi="Times New Roman" w:eastAsia="仿宋_GB2312" w:cs="Times New Roman"/>
          <w:color w:val="auto"/>
          <w:kern w:val="0"/>
          <w:sz w:val="28"/>
          <w:szCs w:val="28"/>
          <w:lang w:val="en-US" w:eastAsia="zh-CN"/>
        </w:rPr>
        <w:t>　日　期：</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 xml:space="preserve">             </w:t>
      </w:r>
    </w:p>
    <w:p w14:paraId="7F0F7E00">
      <w:pPr>
        <w:pStyle w:val="3"/>
        <w:jc w:val="center"/>
        <w:rPr>
          <w:rFonts w:hint="default" w:ascii="Times New Roman" w:hAnsi="Times New Roman" w:eastAsia="方正小标宋_GBK" w:cs="Times New Roman"/>
          <w:b w:val="0"/>
          <w:color w:val="auto"/>
          <w:sz w:val="30"/>
          <w:szCs w:val="30"/>
          <w:lang w:eastAsia="zh-CN"/>
        </w:rPr>
      </w:pPr>
      <w:r>
        <w:rPr>
          <w:rFonts w:hint="default" w:ascii="Times New Roman" w:hAnsi="Times New Roman" w:eastAsia="黑体" w:cs="Times New Roman"/>
          <w:color w:val="auto"/>
          <w:kern w:val="2"/>
          <w:sz w:val="28"/>
          <w:szCs w:val="28"/>
          <w:lang w:val="en-US" w:eastAsia="zh-CN"/>
        </w:rPr>
        <w:br w:type="page"/>
      </w:r>
      <w:r>
        <w:rPr>
          <w:rFonts w:hint="default" w:ascii="Times New Roman" w:hAnsi="Times New Roman" w:eastAsia="黑体" w:cs="Times New Roman"/>
          <w:color w:val="auto"/>
          <w:kern w:val="2"/>
          <w:sz w:val="28"/>
          <w:szCs w:val="28"/>
          <w:lang w:val="en-US" w:eastAsia="zh-CN"/>
        </w:rPr>
        <w:t>五</w:t>
      </w:r>
      <w:r>
        <w:rPr>
          <w:rFonts w:hint="default" w:ascii="Times New Roman" w:hAnsi="Times New Roman" w:eastAsia="方正小标宋_GBK" w:cs="Times New Roman"/>
          <w:b w:val="0"/>
          <w:color w:val="auto"/>
          <w:sz w:val="30"/>
          <w:szCs w:val="30"/>
          <w:lang w:val="en-US" w:eastAsia="zh-CN"/>
        </w:rPr>
        <w:t>、</w:t>
      </w:r>
      <w:r>
        <w:rPr>
          <w:rFonts w:hint="default" w:ascii="Times New Roman" w:hAnsi="Times New Roman" w:eastAsia="方正小标宋_GBK" w:cs="Times New Roman"/>
          <w:b w:val="0"/>
          <w:color w:val="auto"/>
          <w:sz w:val="30"/>
          <w:szCs w:val="30"/>
          <w:lang w:eastAsia="zh-CN"/>
        </w:rPr>
        <w:t>综合证明文件</w:t>
      </w:r>
      <w:bookmarkEnd w:id="521"/>
      <w:bookmarkEnd w:id="522"/>
      <w:bookmarkEnd w:id="523"/>
    </w:p>
    <w:p w14:paraId="2BB5B63A">
      <w:pPr>
        <w:pStyle w:val="5"/>
        <w:rPr>
          <w:rFonts w:hint="default" w:ascii="Times New Roman" w:hAnsi="Times New Roman" w:cs="Times New Roman"/>
          <w:b w:val="0"/>
          <w:color w:val="auto"/>
          <w:szCs w:val="28"/>
          <w:lang w:eastAsia="zh-CN"/>
        </w:rPr>
      </w:pPr>
      <w:bookmarkStart w:id="537" w:name="_Toc766822801"/>
      <w:bookmarkStart w:id="538" w:name="_Toc126373309_WPSOffice_Level3"/>
      <w:r>
        <w:rPr>
          <w:rFonts w:hint="default" w:ascii="Times New Roman" w:hAnsi="Times New Roman" w:cs="Times New Roman"/>
          <w:b w:val="0"/>
          <w:color w:val="auto"/>
          <w:szCs w:val="28"/>
          <w:lang w:val="en-US" w:eastAsia="zh-CN"/>
        </w:rPr>
        <w:t>1.</w:t>
      </w:r>
      <w:r>
        <w:rPr>
          <w:rFonts w:hint="default" w:ascii="Times New Roman" w:hAnsi="Times New Roman" w:cs="Times New Roman"/>
          <w:b w:val="0"/>
          <w:color w:val="auto"/>
          <w:szCs w:val="28"/>
          <w:lang w:eastAsia="zh-CN"/>
        </w:rPr>
        <w:t>综合实力及履约保障</w:t>
      </w:r>
      <w:bookmarkEnd w:id="537"/>
      <w:bookmarkEnd w:id="538"/>
    </w:p>
    <w:p w14:paraId="7A9A36D7">
      <w:pPr>
        <w:spacing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根据招标文件要求，提供投标人认证等证书。（提供认证</w:t>
      </w:r>
      <w:r>
        <w:rPr>
          <w:rFonts w:hint="default" w:ascii="Times New Roman" w:hAnsi="Times New Roman" w:eastAsia="仿宋_GB2312" w:cs="Times New Roman"/>
          <w:color w:val="auto"/>
          <w:kern w:val="0"/>
          <w:sz w:val="28"/>
          <w:szCs w:val="28"/>
          <w:lang w:val="en-US" w:eastAsia="zh-CN"/>
        </w:rPr>
        <w:t>证书</w:t>
      </w:r>
      <w:r>
        <w:rPr>
          <w:rFonts w:hint="default" w:ascii="Times New Roman" w:hAnsi="Times New Roman" w:eastAsia="仿宋_GB2312" w:cs="Times New Roman"/>
          <w:color w:val="auto"/>
          <w:kern w:val="0"/>
          <w:sz w:val="28"/>
          <w:szCs w:val="28"/>
          <w:lang w:eastAsia="zh-CN"/>
        </w:rPr>
        <w:t>扫描件，扫描不清晰的不得分，招标文件未要求的不需要提供）</w:t>
      </w:r>
    </w:p>
    <w:p w14:paraId="2ED71B6E">
      <w:pPr>
        <w:spacing w:line="360" w:lineRule="auto"/>
        <w:ind w:firstLine="480"/>
        <w:jc w:val="left"/>
        <w:rPr>
          <w:rFonts w:hint="default" w:ascii="Times New Roman" w:hAnsi="Times New Roman" w:cs="Times New Roman"/>
          <w:color w:val="auto"/>
          <w:lang w:eastAsia="zh-CN"/>
        </w:rPr>
      </w:pPr>
    </w:p>
    <w:p w14:paraId="077B452D">
      <w:pPr>
        <w:pStyle w:val="5"/>
        <w:rPr>
          <w:rFonts w:hint="default" w:ascii="Times New Roman" w:hAnsi="Times New Roman" w:cs="Times New Roman"/>
          <w:b w:val="0"/>
          <w:color w:val="auto"/>
          <w:lang w:eastAsia="zh-CN"/>
        </w:rPr>
      </w:pPr>
      <w:bookmarkStart w:id="539" w:name="_Toc854016709_WPSOffice_Level3"/>
      <w:bookmarkStart w:id="540" w:name="_Toc554354734"/>
      <w:r>
        <w:rPr>
          <w:rFonts w:hint="default" w:ascii="Times New Roman" w:hAnsi="Times New Roman" w:cs="Times New Roman"/>
          <w:b w:val="0"/>
          <w:color w:val="auto"/>
          <w:lang w:val="en-US" w:eastAsia="zh-CN"/>
        </w:rPr>
        <w:t>2.</w:t>
      </w:r>
      <w:r>
        <w:rPr>
          <w:rFonts w:hint="default" w:ascii="Times New Roman" w:hAnsi="Times New Roman" w:cs="Times New Roman"/>
          <w:b w:val="0"/>
          <w:color w:val="auto"/>
          <w:lang w:eastAsia="zh-CN"/>
        </w:rPr>
        <w:t>类似项目业绩</w:t>
      </w:r>
      <w:bookmarkEnd w:id="539"/>
      <w:bookmarkEnd w:id="540"/>
    </w:p>
    <w:p w14:paraId="5E5FB129">
      <w:pPr>
        <w:spacing w:line="360" w:lineRule="auto"/>
        <w:jc w:val="center"/>
        <w:rPr>
          <w:rFonts w:hint="default" w:ascii="Times New Roman" w:hAnsi="Times New Roman" w:eastAsia="仿宋_GB2312" w:cs="Times New Roman"/>
          <w:color w:val="auto"/>
          <w:sz w:val="32"/>
          <w:szCs w:val="32"/>
          <w:lang w:eastAsia="zh-CN"/>
        </w:rPr>
      </w:pPr>
      <w:bookmarkStart w:id="541" w:name="_Toc939678011_WPSOffice_Level3"/>
      <w:r>
        <w:rPr>
          <w:rFonts w:hint="default" w:ascii="Times New Roman" w:hAnsi="Times New Roman" w:eastAsia="仿宋_GB2312" w:cs="Times New Roman"/>
          <w:color w:val="auto"/>
          <w:sz w:val="32"/>
          <w:szCs w:val="32"/>
          <w:lang w:eastAsia="zh-CN"/>
        </w:rPr>
        <w:t>类似业绩一览表</w:t>
      </w:r>
      <w:bookmarkEnd w:id="541"/>
    </w:p>
    <w:tbl>
      <w:tblPr>
        <w:tblStyle w:val="52"/>
        <w:tblW w:w="8931"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2206"/>
        <w:gridCol w:w="2104"/>
        <w:gridCol w:w="1590"/>
        <w:gridCol w:w="1494"/>
        <w:gridCol w:w="1537"/>
      </w:tblGrid>
      <w:tr w14:paraId="3B6993F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93" w:hRule="atLeast"/>
          <w:jc w:val="center"/>
        </w:trPr>
        <w:tc>
          <w:tcPr>
            <w:tcW w:w="2206"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center"/>
          </w:tcPr>
          <w:p w14:paraId="17EAFA4D">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项目名称</w:t>
            </w:r>
          </w:p>
        </w:tc>
        <w:tc>
          <w:tcPr>
            <w:tcW w:w="210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center"/>
          </w:tcPr>
          <w:p w14:paraId="515B33DF">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简要描述</w:t>
            </w:r>
          </w:p>
        </w:tc>
        <w:tc>
          <w:tcPr>
            <w:tcW w:w="1590"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center"/>
          </w:tcPr>
          <w:p w14:paraId="4CA67F45">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项目金额</w:t>
            </w:r>
          </w:p>
          <w:p w14:paraId="02889D77">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（万元）</w:t>
            </w:r>
          </w:p>
        </w:tc>
        <w:tc>
          <w:tcPr>
            <w:tcW w:w="149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center"/>
          </w:tcPr>
          <w:p w14:paraId="25A9DA1D">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服务期限</w:t>
            </w:r>
          </w:p>
        </w:tc>
        <w:tc>
          <w:tcPr>
            <w:tcW w:w="1537"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center"/>
          </w:tcPr>
          <w:p w14:paraId="70D8A4E7">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项目单位联系电话</w:t>
            </w:r>
          </w:p>
        </w:tc>
      </w:tr>
      <w:tr w14:paraId="78712CD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6" w:hRule="atLeast"/>
          <w:jc w:val="center"/>
        </w:trPr>
        <w:tc>
          <w:tcPr>
            <w:tcW w:w="2206"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6F7585A7">
            <w:pPr>
              <w:rPr>
                <w:rFonts w:hint="default" w:ascii="Times New Roman" w:hAnsi="Times New Roman" w:eastAsia="仿宋_GB2312" w:cs="Times New Roman"/>
                <w:color w:val="auto"/>
                <w:kern w:val="0"/>
                <w:sz w:val="28"/>
                <w:szCs w:val="28"/>
              </w:rPr>
            </w:pPr>
          </w:p>
        </w:tc>
        <w:tc>
          <w:tcPr>
            <w:tcW w:w="210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11ECE8EB">
            <w:pPr>
              <w:rPr>
                <w:rFonts w:hint="default" w:ascii="Times New Roman" w:hAnsi="Times New Roman" w:eastAsia="仿宋_GB2312" w:cs="Times New Roman"/>
                <w:color w:val="auto"/>
                <w:kern w:val="0"/>
                <w:sz w:val="28"/>
                <w:szCs w:val="28"/>
              </w:rPr>
            </w:pPr>
          </w:p>
        </w:tc>
        <w:tc>
          <w:tcPr>
            <w:tcW w:w="1590"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5EC5C3F3">
            <w:pPr>
              <w:rPr>
                <w:rFonts w:hint="default" w:ascii="Times New Roman" w:hAnsi="Times New Roman" w:eastAsia="仿宋_GB2312" w:cs="Times New Roman"/>
                <w:color w:val="auto"/>
                <w:kern w:val="0"/>
                <w:sz w:val="28"/>
                <w:szCs w:val="28"/>
              </w:rPr>
            </w:pPr>
          </w:p>
        </w:tc>
        <w:tc>
          <w:tcPr>
            <w:tcW w:w="149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402332A9">
            <w:pPr>
              <w:rPr>
                <w:rFonts w:hint="default" w:ascii="Times New Roman" w:hAnsi="Times New Roman" w:eastAsia="仿宋_GB2312" w:cs="Times New Roman"/>
                <w:color w:val="auto"/>
                <w:kern w:val="0"/>
                <w:sz w:val="28"/>
                <w:szCs w:val="28"/>
              </w:rPr>
            </w:pPr>
          </w:p>
        </w:tc>
        <w:tc>
          <w:tcPr>
            <w:tcW w:w="1537"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3F0AE3E7">
            <w:pPr>
              <w:rPr>
                <w:rFonts w:hint="default" w:ascii="Times New Roman" w:hAnsi="Times New Roman" w:eastAsia="仿宋_GB2312" w:cs="Times New Roman"/>
                <w:color w:val="auto"/>
                <w:kern w:val="0"/>
                <w:sz w:val="28"/>
                <w:szCs w:val="28"/>
              </w:rPr>
            </w:pPr>
          </w:p>
        </w:tc>
      </w:tr>
      <w:tr w14:paraId="6805920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33" w:hRule="atLeast"/>
          <w:jc w:val="center"/>
        </w:trPr>
        <w:tc>
          <w:tcPr>
            <w:tcW w:w="2206"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5A538A56">
            <w:pPr>
              <w:rPr>
                <w:rFonts w:hint="default" w:ascii="Times New Roman" w:hAnsi="Times New Roman" w:eastAsia="仿宋_GB2312" w:cs="Times New Roman"/>
                <w:color w:val="auto"/>
                <w:kern w:val="0"/>
                <w:sz w:val="28"/>
                <w:szCs w:val="28"/>
              </w:rPr>
            </w:pPr>
          </w:p>
        </w:tc>
        <w:tc>
          <w:tcPr>
            <w:tcW w:w="210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63A514D5">
            <w:pPr>
              <w:rPr>
                <w:rFonts w:hint="default" w:ascii="Times New Roman" w:hAnsi="Times New Roman" w:eastAsia="仿宋_GB2312" w:cs="Times New Roman"/>
                <w:color w:val="auto"/>
                <w:kern w:val="0"/>
                <w:sz w:val="28"/>
                <w:szCs w:val="28"/>
              </w:rPr>
            </w:pPr>
          </w:p>
        </w:tc>
        <w:tc>
          <w:tcPr>
            <w:tcW w:w="1590"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1E62D97E">
            <w:pPr>
              <w:rPr>
                <w:rFonts w:hint="default" w:ascii="Times New Roman" w:hAnsi="Times New Roman" w:eastAsia="仿宋_GB2312" w:cs="Times New Roman"/>
                <w:color w:val="auto"/>
                <w:kern w:val="0"/>
                <w:sz w:val="28"/>
                <w:szCs w:val="28"/>
              </w:rPr>
            </w:pPr>
          </w:p>
        </w:tc>
        <w:tc>
          <w:tcPr>
            <w:tcW w:w="149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55314BAF">
            <w:pPr>
              <w:rPr>
                <w:rFonts w:hint="default" w:ascii="Times New Roman" w:hAnsi="Times New Roman" w:eastAsia="仿宋_GB2312" w:cs="Times New Roman"/>
                <w:color w:val="auto"/>
                <w:kern w:val="0"/>
                <w:sz w:val="28"/>
                <w:szCs w:val="28"/>
              </w:rPr>
            </w:pPr>
          </w:p>
        </w:tc>
        <w:tc>
          <w:tcPr>
            <w:tcW w:w="1537"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457E4801">
            <w:pPr>
              <w:rPr>
                <w:rFonts w:hint="default" w:ascii="Times New Roman" w:hAnsi="Times New Roman" w:eastAsia="仿宋_GB2312" w:cs="Times New Roman"/>
                <w:color w:val="auto"/>
                <w:kern w:val="0"/>
                <w:sz w:val="28"/>
                <w:szCs w:val="28"/>
              </w:rPr>
            </w:pPr>
          </w:p>
        </w:tc>
      </w:tr>
      <w:tr w14:paraId="1293E09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41" w:hRule="atLeast"/>
          <w:jc w:val="center"/>
        </w:trPr>
        <w:tc>
          <w:tcPr>
            <w:tcW w:w="2206"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641A6D8A">
            <w:pPr>
              <w:rPr>
                <w:rFonts w:hint="default" w:ascii="Times New Roman" w:hAnsi="Times New Roman" w:eastAsia="仿宋_GB2312" w:cs="Times New Roman"/>
                <w:color w:val="auto"/>
                <w:kern w:val="0"/>
                <w:sz w:val="28"/>
                <w:szCs w:val="28"/>
              </w:rPr>
            </w:pPr>
          </w:p>
        </w:tc>
        <w:tc>
          <w:tcPr>
            <w:tcW w:w="210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4EA2FD7D">
            <w:pPr>
              <w:rPr>
                <w:rFonts w:hint="default" w:ascii="Times New Roman" w:hAnsi="Times New Roman" w:eastAsia="仿宋_GB2312" w:cs="Times New Roman"/>
                <w:color w:val="auto"/>
                <w:kern w:val="0"/>
                <w:sz w:val="28"/>
                <w:szCs w:val="28"/>
              </w:rPr>
            </w:pPr>
          </w:p>
        </w:tc>
        <w:tc>
          <w:tcPr>
            <w:tcW w:w="1590"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1787579C">
            <w:pPr>
              <w:rPr>
                <w:rFonts w:hint="default" w:ascii="Times New Roman" w:hAnsi="Times New Roman" w:eastAsia="仿宋_GB2312" w:cs="Times New Roman"/>
                <w:color w:val="auto"/>
                <w:kern w:val="0"/>
                <w:sz w:val="28"/>
                <w:szCs w:val="28"/>
              </w:rPr>
            </w:pPr>
          </w:p>
        </w:tc>
        <w:tc>
          <w:tcPr>
            <w:tcW w:w="149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31482754">
            <w:pPr>
              <w:rPr>
                <w:rFonts w:hint="default" w:ascii="Times New Roman" w:hAnsi="Times New Roman" w:eastAsia="仿宋_GB2312" w:cs="Times New Roman"/>
                <w:color w:val="auto"/>
                <w:kern w:val="0"/>
                <w:sz w:val="28"/>
                <w:szCs w:val="28"/>
              </w:rPr>
            </w:pPr>
          </w:p>
        </w:tc>
        <w:tc>
          <w:tcPr>
            <w:tcW w:w="1537"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631D7C74">
            <w:pPr>
              <w:rPr>
                <w:rFonts w:hint="default" w:ascii="Times New Roman" w:hAnsi="Times New Roman" w:eastAsia="仿宋_GB2312" w:cs="Times New Roman"/>
                <w:color w:val="auto"/>
                <w:kern w:val="0"/>
                <w:sz w:val="28"/>
                <w:szCs w:val="28"/>
              </w:rPr>
            </w:pPr>
          </w:p>
        </w:tc>
      </w:tr>
      <w:tr w14:paraId="0F1B181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41" w:hRule="atLeast"/>
          <w:jc w:val="center"/>
        </w:trPr>
        <w:tc>
          <w:tcPr>
            <w:tcW w:w="2206"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66AEEA3C">
            <w:pPr>
              <w:rPr>
                <w:rFonts w:hint="default" w:ascii="Times New Roman" w:hAnsi="Times New Roman" w:eastAsia="仿宋_GB2312" w:cs="Times New Roman"/>
                <w:color w:val="auto"/>
                <w:kern w:val="0"/>
                <w:sz w:val="28"/>
                <w:szCs w:val="28"/>
              </w:rPr>
            </w:pPr>
          </w:p>
        </w:tc>
        <w:tc>
          <w:tcPr>
            <w:tcW w:w="210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11C21880">
            <w:pPr>
              <w:rPr>
                <w:rFonts w:hint="default" w:ascii="Times New Roman" w:hAnsi="Times New Roman" w:eastAsia="仿宋_GB2312" w:cs="Times New Roman"/>
                <w:color w:val="auto"/>
                <w:kern w:val="0"/>
                <w:sz w:val="28"/>
                <w:szCs w:val="28"/>
              </w:rPr>
            </w:pPr>
          </w:p>
        </w:tc>
        <w:tc>
          <w:tcPr>
            <w:tcW w:w="1590"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10E0328D">
            <w:pPr>
              <w:rPr>
                <w:rFonts w:hint="default" w:ascii="Times New Roman" w:hAnsi="Times New Roman" w:eastAsia="仿宋_GB2312" w:cs="Times New Roman"/>
                <w:color w:val="auto"/>
                <w:kern w:val="0"/>
                <w:sz w:val="28"/>
                <w:szCs w:val="28"/>
              </w:rPr>
            </w:pPr>
          </w:p>
        </w:tc>
        <w:tc>
          <w:tcPr>
            <w:tcW w:w="149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1511B594">
            <w:pPr>
              <w:rPr>
                <w:rFonts w:hint="default" w:ascii="Times New Roman" w:hAnsi="Times New Roman" w:eastAsia="仿宋_GB2312" w:cs="Times New Roman"/>
                <w:color w:val="auto"/>
                <w:kern w:val="0"/>
                <w:sz w:val="28"/>
                <w:szCs w:val="28"/>
              </w:rPr>
            </w:pPr>
          </w:p>
        </w:tc>
        <w:tc>
          <w:tcPr>
            <w:tcW w:w="1537"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7B5B88E4">
            <w:pPr>
              <w:rPr>
                <w:rFonts w:hint="default" w:ascii="Times New Roman" w:hAnsi="Times New Roman" w:eastAsia="仿宋_GB2312" w:cs="Times New Roman"/>
                <w:color w:val="auto"/>
                <w:kern w:val="0"/>
                <w:sz w:val="28"/>
                <w:szCs w:val="28"/>
              </w:rPr>
            </w:pPr>
          </w:p>
        </w:tc>
      </w:tr>
      <w:tr w14:paraId="0750977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37" w:hRule="atLeast"/>
          <w:jc w:val="center"/>
        </w:trPr>
        <w:tc>
          <w:tcPr>
            <w:tcW w:w="2206"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6F63EF9E">
            <w:pPr>
              <w:rPr>
                <w:rFonts w:hint="default" w:ascii="Times New Roman" w:hAnsi="Times New Roman" w:eastAsia="仿宋_GB2312" w:cs="Times New Roman"/>
                <w:color w:val="auto"/>
                <w:kern w:val="0"/>
                <w:sz w:val="28"/>
                <w:szCs w:val="28"/>
              </w:rPr>
            </w:pPr>
          </w:p>
        </w:tc>
        <w:tc>
          <w:tcPr>
            <w:tcW w:w="210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067602DA">
            <w:pPr>
              <w:rPr>
                <w:rFonts w:hint="default" w:ascii="Times New Roman" w:hAnsi="Times New Roman" w:eastAsia="仿宋_GB2312" w:cs="Times New Roman"/>
                <w:color w:val="auto"/>
                <w:kern w:val="0"/>
                <w:sz w:val="28"/>
                <w:szCs w:val="28"/>
              </w:rPr>
            </w:pPr>
          </w:p>
        </w:tc>
        <w:tc>
          <w:tcPr>
            <w:tcW w:w="1590"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15F87D8C">
            <w:pPr>
              <w:rPr>
                <w:rFonts w:hint="default" w:ascii="Times New Roman" w:hAnsi="Times New Roman" w:eastAsia="仿宋_GB2312" w:cs="Times New Roman"/>
                <w:color w:val="auto"/>
                <w:kern w:val="0"/>
                <w:sz w:val="28"/>
                <w:szCs w:val="28"/>
              </w:rPr>
            </w:pPr>
          </w:p>
        </w:tc>
        <w:tc>
          <w:tcPr>
            <w:tcW w:w="149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322D1C18">
            <w:pPr>
              <w:rPr>
                <w:rFonts w:hint="default" w:ascii="Times New Roman" w:hAnsi="Times New Roman" w:eastAsia="仿宋_GB2312" w:cs="Times New Roman"/>
                <w:color w:val="auto"/>
                <w:kern w:val="0"/>
                <w:sz w:val="28"/>
                <w:szCs w:val="28"/>
              </w:rPr>
            </w:pPr>
          </w:p>
        </w:tc>
        <w:tc>
          <w:tcPr>
            <w:tcW w:w="1537"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7295BA77">
            <w:pPr>
              <w:rPr>
                <w:rFonts w:hint="default" w:ascii="Times New Roman" w:hAnsi="Times New Roman" w:eastAsia="仿宋_GB2312" w:cs="Times New Roman"/>
                <w:color w:val="auto"/>
                <w:kern w:val="0"/>
                <w:sz w:val="28"/>
                <w:szCs w:val="28"/>
              </w:rPr>
            </w:pPr>
          </w:p>
        </w:tc>
      </w:tr>
    </w:tbl>
    <w:p w14:paraId="5BEB1B95">
      <w:pPr>
        <w:spacing w:line="360" w:lineRule="auto"/>
        <w:rPr>
          <w:rFonts w:hint="default" w:ascii="Times New Roman" w:hAnsi="Times New Roman" w:eastAsia="仿宋_GB2312" w:cs="Times New Roman"/>
          <w:color w:val="auto"/>
          <w:sz w:val="28"/>
          <w:szCs w:val="28"/>
        </w:rPr>
      </w:pPr>
    </w:p>
    <w:p w14:paraId="1472DAD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注：（</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）投标人可按上述的格式自行编制，后附扫描件。</w:t>
      </w:r>
    </w:p>
    <w:p w14:paraId="6EBD5A2D">
      <w:pPr>
        <w:numPr>
          <w:ilvl w:val="0"/>
          <w:numId w:val="4"/>
        </w:numPr>
        <w:spacing w:line="360" w:lineRule="auto"/>
        <w:ind w:left="560" w:leftChars="0" w:firstLine="0" w:firstLineChars="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业绩扫描不清楚或合同总金额不明确的不予认可，虚假业绩将自行承担相关责任。</w:t>
      </w:r>
    </w:p>
    <w:p w14:paraId="5ECED152">
      <w:pPr>
        <w:numPr>
          <w:ilvl w:val="0"/>
          <w:numId w:val="0"/>
        </w:numPr>
        <w:spacing w:line="360" w:lineRule="auto"/>
        <w:ind w:left="560" w:leftChars="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）招标文件未要求提供业绩证明文件的，投标人可不提供。</w:t>
      </w:r>
    </w:p>
    <w:p w14:paraId="31CF5D3B">
      <w:pPr>
        <w:spacing w:line="360" w:lineRule="auto"/>
        <w:rPr>
          <w:rFonts w:hint="default" w:ascii="Times New Roman" w:hAnsi="Times New Roman" w:eastAsia="仿宋_GB2312" w:cs="Times New Roman"/>
          <w:color w:val="auto"/>
          <w:sz w:val="28"/>
          <w:szCs w:val="28"/>
          <w:lang w:eastAsia="zh-CN"/>
        </w:rPr>
      </w:pPr>
    </w:p>
    <w:p w14:paraId="08897365">
      <w:pPr>
        <w:pStyle w:val="3"/>
        <w:jc w:val="center"/>
        <w:rPr>
          <w:rFonts w:hint="default" w:ascii="Times New Roman" w:hAnsi="Times New Roman" w:eastAsia="方正小标宋_GBK" w:cs="Times New Roman"/>
          <w:b w:val="0"/>
          <w:color w:val="auto"/>
          <w:sz w:val="28"/>
          <w:szCs w:val="28"/>
          <w:lang w:val="en-US" w:eastAsia="zh-CN"/>
        </w:rPr>
      </w:pPr>
      <w:r>
        <w:rPr>
          <w:rFonts w:hint="default" w:ascii="Times New Roman" w:hAnsi="Times New Roman" w:cs="Times New Roman"/>
          <w:color w:val="auto"/>
          <w:lang w:eastAsia="zh-CN"/>
        </w:rPr>
        <w:br w:type="page"/>
      </w:r>
      <w:bookmarkStart w:id="542" w:name="_Toc71543328"/>
      <w:bookmarkStart w:id="543" w:name="_Toc2020026904_WPSOffice_Level2"/>
      <w:bookmarkStart w:id="544" w:name="_Toc671407240"/>
      <w:r>
        <w:rPr>
          <w:rFonts w:hint="default" w:ascii="Times New Roman" w:hAnsi="Times New Roman" w:eastAsia="方正小标宋_GBK" w:cs="Times New Roman"/>
          <w:b w:val="0"/>
          <w:bCs/>
          <w:color w:val="auto"/>
          <w:kern w:val="0"/>
          <w:sz w:val="28"/>
          <w:szCs w:val="28"/>
          <w:lang w:val="en-US" w:eastAsia="zh-CN" w:bidi="ar-SA"/>
        </w:rPr>
        <w:t>六、服务方案</w:t>
      </w:r>
      <w:bookmarkEnd w:id="542"/>
      <w:bookmarkEnd w:id="543"/>
      <w:bookmarkEnd w:id="544"/>
    </w:p>
    <w:p w14:paraId="16DCDFE3">
      <w:pPr>
        <w:pStyle w:val="166"/>
        <w:ind w:firstLine="0"/>
        <w:rPr>
          <w:rFonts w:hint="default" w:ascii="Times New Roman" w:hAnsi="Times New Roman" w:eastAsia="仿宋_GB2312" w:cs="Times New Roman"/>
          <w:color w:val="auto"/>
          <w:kern w:val="0"/>
          <w:sz w:val="28"/>
          <w:szCs w:val="28"/>
          <w:lang w:val="en-US" w:eastAsia="zh-CN"/>
        </w:rPr>
      </w:pPr>
    </w:p>
    <w:p w14:paraId="287B242B">
      <w:pPr>
        <w:pStyle w:val="166"/>
        <w:ind w:firstLine="0"/>
        <w:rPr>
          <w:rFonts w:hint="default" w:ascii="Times New Roman" w:hAnsi="Times New Roman" w:eastAsia="仿宋_GB2312" w:cs="Times New Roman"/>
          <w:color w:val="auto"/>
          <w:kern w:val="0"/>
          <w:sz w:val="28"/>
          <w:szCs w:val="28"/>
          <w:lang w:val="en-US" w:eastAsia="zh-CN"/>
        </w:rPr>
        <w:sectPr>
          <w:headerReference r:id="rId7" w:type="default"/>
          <w:footerReference r:id="rId8" w:type="default"/>
          <w:pgSz w:w="11900" w:h="16840"/>
          <w:pgMar w:top="1440" w:right="1800" w:bottom="1440" w:left="1800" w:header="851" w:footer="992" w:gutter="0"/>
          <w:cols w:space="720" w:num="1"/>
        </w:sectPr>
      </w:pPr>
    </w:p>
    <w:bookmarkEnd w:id="515"/>
    <w:p w14:paraId="0A0A28C4">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28"/>
          <w:szCs w:val="28"/>
          <w:lang w:eastAsia="zh-CN"/>
        </w:rPr>
      </w:pPr>
      <w:bookmarkStart w:id="545" w:name="_Toc741327320"/>
      <w:bookmarkStart w:id="546" w:name="_Toc71543334"/>
      <w:bookmarkStart w:id="547" w:name="_Toc1405132080"/>
      <w:bookmarkStart w:id="548" w:name="_Toc1342357120"/>
      <w:bookmarkStart w:id="549" w:name="_Toc203536082"/>
      <w:bookmarkStart w:id="550" w:name="_Toc297277348"/>
      <w:bookmarkStart w:id="551" w:name="_Toc1893993795"/>
      <w:bookmarkStart w:id="552" w:name="_Toc1642658699"/>
      <w:bookmarkStart w:id="553" w:name="_Toc683097015"/>
      <w:bookmarkStart w:id="554" w:name="_Toc2003764980"/>
      <w:bookmarkStart w:id="555" w:name="_Toc364407768_WPSOffice_Level2"/>
      <w:bookmarkStart w:id="556" w:name="_Toc1961816944"/>
      <w:bookmarkStart w:id="557" w:name="_Toc1027952896"/>
      <w:bookmarkStart w:id="558" w:name="_Toc782655613"/>
      <w:r>
        <w:rPr>
          <w:rFonts w:hint="default" w:ascii="Times New Roman" w:hAnsi="Times New Roman" w:eastAsia="方正小标宋_GBK" w:cs="Times New Roman"/>
          <w:bCs/>
          <w:color w:val="auto"/>
          <w:kern w:val="0"/>
          <w:sz w:val="28"/>
          <w:szCs w:val="28"/>
          <w:lang w:val="en-US" w:eastAsia="zh-CN"/>
        </w:rPr>
        <w:t>七</w:t>
      </w:r>
      <w:r>
        <w:rPr>
          <w:rFonts w:hint="default" w:ascii="Times New Roman" w:hAnsi="Times New Roman" w:eastAsia="方正小标宋_GBK" w:cs="Times New Roman"/>
          <w:bCs/>
          <w:color w:val="auto"/>
          <w:kern w:val="0"/>
          <w:sz w:val="28"/>
          <w:szCs w:val="28"/>
          <w:lang w:eastAsia="zh-CN"/>
        </w:rPr>
        <w:t>、其他文件</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3042DE0B">
      <w:pPr>
        <w:pStyle w:val="166"/>
        <w:rPr>
          <w:rFonts w:hint="default" w:ascii="Times New Roman" w:hAnsi="Times New Roman" w:eastAsia="宋体" w:cs="Times New Roman"/>
          <w:color w:val="auto"/>
          <w:kern w:val="0"/>
          <w:lang w:eastAsia="zh-CN"/>
        </w:rPr>
      </w:pPr>
    </w:p>
    <w:p w14:paraId="0B4FA392">
      <w:pPr>
        <w:pStyle w:val="166"/>
        <w:rPr>
          <w:rFonts w:hint="default" w:ascii="Times New Roman" w:hAnsi="Times New Roman" w:eastAsia="宋体" w:cs="Times New Roman"/>
          <w:color w:val="auto"/>
          <w:kern w:val="0"/>
          <w:lang w:eastAsia="zh-CN"/>
        </w:rPr>
      </w:pPr>
    </w:p>
    <w:p w14:paraId="1CFB3AD6">
      <w:pPr>
        <w:spacing w:line="360" w:lineRule="auto"/>
        <w:ind w:left="1080" w:hanging="540"/>
        <w:jc w:val="center"/>
        <w:rPr>
          <w:rFonts w:hint="default" w:ascii="Times New Roman" w:hAnsi="Times New Roman" w:eastAsia="宋体" w:cs="Times New Roman"/>
          <w:color w:val="auto"/>
          <w:lang w:eastAsia="zh-CN"/>
        </w:rPr>
        <w:sectPr>
          <w:pgSz w:w="11900" w:h="16840"/>
          <w:pgMar w:top="1440" w:right="1800" w:bottom="1440" w:left="1800" w:header="851" w:footer="992" w:gutter="0"/>
          <w:cols w:space="720" w:num="1"/>
        </w:sectPr>
      </w:pPr>
    </w:p>
    <w:p w14:paraId="6C05BF60">
      <w:pPr>
        <w:pStyle w:val="2"/>
        <w:spacing w:before="0" w:after="0" w:line="240" w:lineRule="auto"/>
        <w:jc w:val="center"/>
        <w:rPr>
          <w:rFonts w:hint="default" w:ascii="Times New Roman" w:hAnsi="Times New Roman" w:eastAsia="宋体" w:cs="Times New Roman"/>
          <w:color w:val="auto"/>
          <w:sz w:val="36"/>
          <w:szCs w:val="36"/>
          <w:lang w:eastAsia="zh-CN"/>
        </w:rPr>
      </w:pPr>
      <w:bookmarkStart w:id="559" w:name="_Toc1023053876"/>
      <w:bookmarkStart w:id="560" w:name="_Toc1188500584"/>
      <w:bookmarkStart w:id="561" w:name="_Toc1957633089"/>
      <w:bookmarkStart w:id="562" w:name="_Toc1176089766_WPSOffice_Level1"/>
      <w:bookmarkStart w:id="563" w:name="_Toc24672"/>
      <w:bookmarkStart w:id="564" w:name="_Toc1203796512"/>
      <w:bookmarkStart w:id="565" w:name="_Toc2103487907_WPSOffice_Level1"/>
      <w:bookmarkStart w:id="566" w:name="_Toc1868605479"/>
      <w:bookmarkStart w:id="567" w:name="_Toc577545602"/>
      <w:bookmarkStart w:id="568" w:name="_Toc1278987015"/>
      <w:bookmarkStart w:id="569" w:name="_Toc1228469917"/>
      <w:bookmarkStart w:id="570" w:name="_Toc371028730"/>
      <w:bookmarkStart w:id="571" w:name="_Toc342626813"/>
      <w:bookmarkStart w:id="572" w:name="_Toc1364277335"/>
      <w:bookmarkStart w:id="573" w:name="_Toc450869757"/>
      <w:bookmarkStart w:id="574" w:name="_Toc56690152"/>
      <w:bookmarkStart w:id="575" w:name="_Toc1812667107_WPSOffice_Level1"/>
      <w:bookmarkStart w:id="576" w:name="_Toc1281126177_WPSOffice_Level1"/>
      <w:bookmarkStart w:id="577" w:name="_Toc1699044653"/>
      <w:bookmarkStart w:id="578" w:name="_Toc665075453"/>
      <w:bookmarkStart w:id="579" w:name="_Toc375798951"/>
      <w:bookmarkStart w:id="580" w:name="_Toc1220109555_WPSOffice_Level1"/>
      <w:bookmarkStart w:id="581" w:name="_Toc1658402222_WPSOffice_Level1"/>
      <w:r>
        <w:rPr>
          <w:rFonts w:hint="default" w:ascii="Times New Roman" w:hAnsi="Times New Roman" w:eastAsia="宋体" w:cs="Times New Roman"/>
          <w:color w:val="auto"/>
          <w:sz w:val="36"/>
          <w:szCs w:val="36"/>
          <w:lang w:eastAsia="zh-CN"/>
        </w:rPr>
        <w:t>第六章</w:t>
      </w:r>
      <w:r>
        <w:rPr>
          <w:rFonts w:hint="default" w:ascii="Times New Roman" w:hAnsi="Times New Roman" w:eastAsia="宋体" w:cs="Times New Roman"/>
          <w:color w:val="auto"/>
          <w:sz w:val="36"/>
          <w:szCs w:val="36"/>
          <w:lang w:val="en-US" w:eastAsia="zh-CN"/>
        </w:rPr>
        <w:t xml:space="preserve"> </w:t>
      </w:r>
      <w:r>
        <w:rPr>
          <w:rFonts w:hint="default" w:ascii="Times New Roman" w:hAnsi="Times New Roman" w:eastAsia="宋体" w:cs="Times New Roman"/>
          <w:color w:val="auto"/>
          <w:sz w:val="36"/>
          <w:szCs w:val="36"/>
          <w:lang w:eastAsia="zh-CN"/>
        </w:rPr>
        <w:t>项目需求及有关要求</w:t>
      </w:r>
      <w:bookmarkEnd w:id="559"/>
      <w:bookmarkEnd w:id="560"/>
      <w:bookmarkEnd w:id="561"/>
      <w:bookmarkEnd w:id="562"/>
      <w:bookmarkEnd w:id="563"/>
    </w:p>
    <w:p w14:paraId="1CAC3687">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仿宋" w:cs="Times New Roman"/>
          <w:b/>
          <w:bCs/>
          <w:color w:val="auto"/>
          <w:sz w:val="24"/>
          <w:szCs w:val="24"/>
        </w:rPr>
      </w:pPr>
    </w:p>
    <w:p w14:paraId="5F017D26">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lang w:val="en-US" w:eastAsia="zh-CN"/>
        </w:rPr>
        <w:t xml:space="preserve">第一部分  </w:t>
      </w:r>
      <w:r>
        <w:rPr>
          <w:rFonts w:hint="default" w:ascii="Times New Roman" w:hAnsi="Times New Roman" w:eastAsia="黑体" w:cs="Times New Roman"/>
          <w:color w:val="auto"/>
          <w:sz w:val="28"/>
          <w:szCs w:val="28"/>
        </w:rPr>
        <w:t>项目基本情况</w:t>
      </w:r>
    </w:p>
    <w:p w14:paraId="3E61812A">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1.项目名称：河南工业和信息化职业学院2025年-2028年物业服务项目</w:t>
      </w:r>
    </w:p>
    <w:p w14:paraId="5830932B">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2.采购方式：公开招标</w:t>
      </w:r>
    </w:p>
    <w:p w14:paraId="173F157C">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3.预算金额：747万元。</w:t>
      </w:r>
    </w:p>
    <w:p w14:paraId="3B454F01">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4.招标内容：教学组团、宿舍楼、办公楼、教学楼内公共教室、主要会议室等处公共部分（走廊、楼梯、卫生间）的保洁工作；校园内道路、人行步道、广场、绿篱、草坪、宣传栏等的保洁工作；校园内所有公共区域垃圾清理外运工作；宿舍楼的管理工作；学生宿舍调整后宿舍内部整理工作；楼宇内下水道堵塞清理工作；校园整体水电五金维修工作。</w:t>
      </w:r>
    </w:p>
    <w:p w14:paraId="3EB181FF">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需要配备</w:t>
      </w:r>
      <w:r>
        <w:rPr>
          <w:rFonts w:hint="eastAsia" w:ascii="Times New Roman" w:hAnsi="Times New Roman" w:eastAsia="宋体" w:cs="Times New Roman"/>
          <w:color w:val="auto"/>
          <w:sz w:val="28"/>
          <w:szCs w:val="28"/>
          <w:lang w:val="en-US" w:eastAsia="zh-CN"/>
        </w:rPr>
        <w:t>项目经理</w:t>
      </w:r>
      <w:r>
        <w:rPr>
          <w:rFonts w:hint="default" w:ascii="Times New Roman" w:hAnsi="Times New Roman" w:eastAsia="宋体" w:cs="Times New Roman"/>
          <w:color w:val="auto"/>
          <w:sz w:val="28"/>
          <w:szCs w:val="28"/>
          <w:lang w:val="en-US" w:eastAsia="zh-CN"/>
        </w:rPr>
        <w:t>1名，保洁人员34人（含保洁队长1人），垃圾清运人员2人，</w:t>
      </w:r>
      <w:r>
        <w:rPr>
          <w:rFonts w:hint="eastAsia" w:ascii="Times New Roman" w:hAnsi="Times New Roman" w:eastAsia="宋体" w:cs="Times New Roman"/>
          <w:color w:val="auto"/>
          <w:sz w:val="28"/>
          <w:szCs w:val="28"/>
          <w:lang w:val="en-US" w:eastAsia="zh-CN"/>
        </w:rPr>
        <w:t>宿舍管理员</w:t>
      </w:r>
      <w:r>
        <w:rPr>
          <w:rFonts w:hint="default" w:ascii="Times New Roman" w:hAnsi="Times New Roman" w:eastAsia="宋体" w:cs="Times New Roman"/>
          <w:color w:val="auto"/>
          <w:sz w:val="28"/>
          <w:szCs w:val="28"/>
          <w:lang w:val="en-US" w:eastAsia="zh-CN"/>
        </w:rPr>
        <w:t>24人，校园整体维修人员8人，项目整体人数不得低于69人，寒暑假期间不低于33人。</w:t>
      </w:r>
    </w:p>
    <w:p w14:paraId="7D98185D">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5.服务期限：2025年9月1日-2028年8月31日，共3年。</w:t>
      </w:r>
    </w:p>
    <w:p w14:paraId="56BDD529">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6.质量要求：合同期内，学院将按照《河南工业和信息化职业学院保洁及劳务派遣项目物业服务监督考核测评体系》等相关规定开展月度考核。连续三个月“不合格”或连续两个月“严重不合格”的，学院有权解除合同并扣发最后一个月服务费；任意连续12个月内累计五次“不合格”或“严重不合格”的，亦可解除合同，并扣发最后一个月服务费；累计三次“基本合格”或“不合格”的，学院将约谈并要求限期整改。</w:t>
      </w:r>
    </w:p>
    <w:p w14:paraId="57CD9098">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7.履约保证金：合同金额的4%，以支票、汇票、本票或者金融机构、担保机构出具的保函等非现金形式提交。中标人履行完合同约定义务事项后退还。</w:t>
      </w:r>
    </w:p>
    <w:p w14:paraId="5F9E6E54">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8.付款方式：根据考核结果，服务费用按月支付。中标人于次月的前5日出具上个月正规发票，采购人在接到发票后，于当月支付上月费用，节假日顺延。合同期内最后一个月的服务费待双方办理完交接手续后无遗留问题，由采购人支付给中标人。</w:t>
      </w:r>
    </w:p>
    <w:p w14:paraId="28B129C3">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黑体" w:cs="Times New Roman"/>
          <w:color w:val="auto"/>
          <w:sz w:val="28"/>
          <w:szCs w:val="28"/>
          <w:lang w:val="en-US" w:eastAsia="zh-CN"/>
        </w:rPr>
      </w:pPr>
      <w:r>
        <w:rPr>
          <w:rFonts w:hint="default" w:ascii="Times New Roman" w:hAnsi="Times New Roman" w:eastAsia="黑体" w:cs="Times New Roman"/>
          <w:color w:val="auto"/>
          <w:sz w:val="28"/>
          <w:szCs w:val="28"/>
          <w:lang w:val="en-US" w:eastAsia="zh-CN"/>
        </w:rPr>
        <w:t>第二部分 参数要求</w:t>
      </w:r>
    </w:p>
    <w:p w14:paraId="0581C029">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一、工作量及人数统计</w:t>
      </w:r>
    </w:p>
    <w:p w14:paraId="76EA7920">
      <w:pPr>
        <w:spacing w:line="25" w:lineRule="exact"/>
        <w:rPr>
          <w:rFonts w:hint="default" w:ascii="Times New Roman" w:hAnsi="Times New Roman" w:cs="Times New Roman"/>
          <w:color w:val="auto"/>
        </w:rPr>
      </w:pPr>
    </w:p>
    <w:tbl>
      <w:tblPr>
        <w:tblStyle w:val="52"/>
        <w:tblW w:w="9420" w:type="dxa"/>
        <w:jc w:val="center"/>
        <w:tblLayout w:type="fixed"/>
        <w:tblCellMar>
          <w:top w:w="0" w:type="dxa"/>
          <w:left w:w="108" w:type="dxa"/>
          <w:bottom w:w="0" w:type="dxa"/>
          <w:right w:w="108" w:type="dxa"/>
        </w:tblCellMar>
      </w:tblPr>
      <w:tblGrid>
        <w:gridCol w:w="814"/>
        <w:gridCol w:w="818"/>
        <w:gridCol w:w="1124"/>
        <w:gridCol w:w="2164"/>
        <w:gridCol w:w="868"/>
        <w:gridCol w:w="837"/>
        <w:gridCol w:w="837"/>
        <w:gridCol w:w="947"/>
        <w:gridCol w:w="1011"/>
      </w:tblGrid>
      <w:tr w14:paraId="455F5CF3">
        <w:tblPrEx>
          <w:tblCellMar>
            <w:top w:w="0" w:type="dxa"/>
            <w:left w:w="108" w:type="dxa"/>
            <w:bottom w:w="0" w:type="dxa"/>
            <w:right w:w="108" w:type="dxa"/>
          </w:tblCellMar>
        </w:tblPrEx>
        <w:trPr>
          <w:trHeight w:val="780" w:hRule="atLeast"/>
          <w:jc w:val="center"/>
        </w:trPr>
        <w:tc>
          <w:tcPr>
            <w:tcW w:w="814" w:type="dxa"/>
            <w:tcBorders>
              <w:top w:val="single" w:color="auto" w:sz="4" w:space="0"/>
              <w:left w:val="single" w:color="auto" w:sz="4" w:space="0"/>
              <w:bottom w:val="single" w:color="auto" w:sz="4" w:space="0"/>
              <w:right w:val="single" w:color="auto" w:sz="4" w:space="0"/>
            </w:tcBorders>
            <w:noWrap w:val="0"/>
            <w:vAlign w:val="center"/>
          </w:tcPr>
          <w:p w14:paraId="0ED71ED4">
            <w:pPr>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岗位</w:t>
            </w:r>
          </w:p>
        </w:tc>
        <w:tc>
          <w:tcPr>
            <w:tcW w:w="1942" w:type="dxa"/>
            <w:gridSpan w:val="2"/>
            <w:tcBorders>
              <w:top w:val="single" w:color="auto" w:sz="4" w:space="0"/>
              <w:left w:val="nil"/>
              <w:bottom w:val="single" w:color="auto" w:sz="4" w:space="0"/>
              <w:right w:val="single" w:color="auto" w:sz="4" w:space="0"/>
            </w:tcBorders>
            <w:noWrap w:val="0"/>
            <w:vAlign w:val="center"/>
          </w:tcPr>
          <w:p w14:paraId="492C8CA4">
            <w:pPr>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人数</w:t>
            </w:r>
          </w:p>
        </w:tc>
        <w:tc>
          <w:tcPr>
            <w:tcW w:w="6664" w:type="dxa"/>
            <w:gridSpan w:val="6"/>
            <w:tcBorders>
              <w:top w:val="single" w:color="auto" w:sz="4" w:space="0"/>
              <w:left w:val="nil"/>
              <w:bottom w:val="single" w:color="auto" w:sz="4" w:space="0"/>
              <w:right w:val="single" w:color="auto" w:sz="4" w:space="0"/>
            </w:tcBorders>
            <w:noWrap w:val="0"/>
            <w:vAlign w:val="center"/>
          </w:tcPr>
          <w:p w14:paraId="30FEB70F">
            <w:pPr>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主要工作职责</w:t>
            </w:r>
          </w:p>
        </w:tc>
      </w:tr>
      <w:tr w14:paraId="72072AE9">
        <w:tblPrEx>
          <w:tblCellMar>
            <w:top w:w="0" w:type="dxa"/>
            <w:left w:w="108" w:type="dxa"/>
            <w:bottom w:w="0" w:type="dxa"/>
            <w:right w:w="108" w:type="dxa"/>
          </w:tblCellMar>
        </w:tblPrEx>
        <w:trPr>
          <w:trHeight w:val="495" w:hRule="atLeast"/>
          <w:jc w:val="center"/>
        </w:trPr>
        <w:tc>
          <w:tcPr>
            <w:tcW w:w="814" w:type="dxa"/>
            <w:tcBorders>
              <w:top w:val="nil"/>
              <w:left w:val="single" w:color="auto" w:sz="4" w:space="0"/>
              <w:bottom w:val="single" w:color="auto" w:sz="4" w:space="0"/>
              <w:right w:val="single" w:color="auto" w:sz="4" w:space="0"/>
            </w:tcBorders>
            <w:noWrap/>
            <w:vAlign w:val="center"/>
          </w:tcPr>
          <w:p w14:paraId="17AA809A">
            <w:pP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项目</w:t>
            </w:r>
          </w:p>
          <w:p w14:paraId="413C6B3C">
            <w:pP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经理</w:t>
            </w:r>
          </w:p>
        </w:tc>
        <w:tc>
          <w:tcPr>
            <w:tcW w:w="1942" w:type="dxa"/>
            <w:gridSpan w:val="2"/>
            <w:tcBorders>
              <w:top w:val="single" w:color="auto" w:sz="4" w:space="0"/>
              <w:left w:val="nil"/>
              <w:bottom w:val="single" w:color="auto" w:sz="4" w:space="0"/>
              <w:right w:val="single" w:color="auto" w:sz="4" w:space="0"/>
            </w:tcBorders>
            <w:noWrap w:val="0"/>
            <w:vAlign w:val="center"/>
          </w:tcPr>
          <w:p w14:paraId="4E710DE2">
            <w:pPr>
              <w:ind w:left="0" w:leftChars="0"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6664" w:type="dxa"/>
            <w:gridSpan w:val="6"/>
            <w:tcBorders>
              <w:top w:val="nil"/>
              <w:left w:val="nil"/>
              <w:bottom w:val="single" w:color="auto" w:sz="4" w:space="0"/>
              <w:right w:val="single" w:color="auto" w:sz="4" w:space="0"/>
            </w:tcBorders>
            <w:noWrap w:val="0"/>
            <w:vAlign w:val="center"/>
          </w:tcPr>
          <w:p w14:paraId="174C2125">
            <w:pPr>
              <w:ind w:firstLine="48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统筹负责物业各项工作</w:t>
            </w:r>
          </w:p>
        </w:tc>
      </w:tr>
      <w:tr w14:paraId="6DC15BD7">
        <w:tblPrEx>
          <w:tblCellMar>
            <w:top w:w="0" w:type="dxa"/>
            <w:left w:w="108" w:type="dxa"/>
            <w:bottom w:w="0" w:type="dxa"/>
            <w:right w:w="108" w:type="dxa"/>
          </w:tblCellMar>
        </w:tblPrEx>
        <w:trPr>
          <w:trHeight w:val="495" w:hRule="atLeast"/>
          <w:jc w:val="center"/>
        </w:trPr>
        <w:tc>
          <w:tcPr>
            <w:tcW w:w="814" w:type="dxa"/>
            <w:vMerge w:val="restart"/>
            <w:tcBorders>
              <w:top w:val="nil"/>
              <w:left w:val="single" w:color="auto" w:sz="4" w:space="0"/>
              <w:right w:val="single" w:color="auto" w:sz="4" w:space="0"/>
            </w:tcBorders>
            <w:noWrap/>
            <w:vAlign w:val="center"/>
          </w:tcPr>
          <w:p w14:paraId="5294CAEE">
            <w:pPr>
              <w:rPr>
                <w:rFonts w:hint="default" w:ascii="Times New Roman" w:hAnsi="Times New Roman" w:cs="Times New Roman"/>
                <w:b/>
                <w:bCs/>
                <w:color w:val="auto"/>
                <w:kern w:val="0"/>
                <w:sz w:val="24"/>
              </w:rPr>
            </w:pPr>
            <w:r>
              <w:rPr>
                <w:rFonts w:hint="default" w:ascii="Times New Roman" w:hAnsi="Times New Roman" w:eastAsia="宋体" w:cs="Times New Roman"/>
                <w:color w:val="auto"/>
                <w:kern w:val="0"/>
                <w:sz w:val="24"/>
                <w:szCs w:val="24"/>
              </w:rPr>
              <w:t>保洁</w:t>
            </w:r>
          </w:p>
        </w:tc>
        <w:tc>
          <w:tcPr>
            <w:tcW w:w="1942" w:type="dxa"/>
            <w:gridSpan w:val="2"/>
            <w:tcBorders>
              <w:top w:val="single" w:color="auto" w:sz="4" w:space="0"/>
              <w:left w:val="nil"/>
              <w:bottom w:val="single" w:color="auto" w:sz="4" w:space="0"/>
              <w:right w:val="single" w:color="auto" w:sz="4" w:space="0"/>
            </w:tcBorders>
            <w:noWrap w:val="0"/>
            <w:vAlign w:val="center"/>
          </w:tcPr>
          <w:p w14:paraId="3937A960">
            <w:pPr>
              <w:ind w:firstLine="482"/>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位置</w:t>
            </w:r>
          </w:p>
        </w:tc>
        <w:tc>
          <w:tcPr>
            <w:tcW w:w="2164" w:type="dxa"/>
            <w:tcBorders>
              <w:top w:val="nil"/>
              <w:left w:val="nil"/>
              <w:bottom w:val="single" w:color="auto" w:sz="4" w:space="0"/>
              <w:right w:val="single" w:color="auto" w:sz="4" w:space="0"/>
            </w:tcBorders>
            <w:noWrap w:val="0"/>
            <w:vAlign w:val="center"/>
          </w:tcPr>
          <w:p w14:paraId="228D9406">
            <w:pPr>
              <w:ind w:left="0" w:leftChars="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类别</w:t>
            </w:r>
          </w:p>
        </w:tc>
        <w:tc>
          <w:tcPr>
            <w:tcW w:w="868" w:type="dxa"/>
            <w:tcBorders>
              <w:top w:val="nil"/>
              <w:left w:val="nil"/>
              <w:bottom w:val="single" w:color="auto" w:sz="4" w:space="0"/>
              <w:right w:val="single" w:color="auto" w:sz="4" w:space="0"/>
            </w:tcBorders>
            <w:noWrap w:val="0"/>
            <w:vAlign w:val="center"/>
          </w:tcPr>
          <w:p w14:paraId="5164B35A">
            <w:pP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层数</w:t>
            </w:r>
          </w:p>
        </w:tc>
        <w:tc>
          <w:tcPr>
            <w:tcW w:w="837" w:type="dxa"/>
            <w:tcBorders>
              <w:top w:val="nil"/>
              <w:left w:val="nil"/>
              <w:bottom w:val="single" w:color="auto" w:sz="4" w:space="0"/>
              <w:right w:val="single" w:color="auto" w:sz="4" w:space="0"/>
            </w:tcBorders>
            <w:noWrap w:val="0"/>
            <w:vAlign w:val="center"/>
          </w:tcPr>
          <w:p w14:paraId="55DA964F">
            <w:pP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每层个数</w:t>
            </w:r>
          </w:p>
        </w:tc>
        <w:tc>
          <w:tcPr>
            <w:tcW w:w="837" w:type="dxa"/>
            <w:tcBorders>
              <w:top w:val="nil"/>
              <w:left w:val="nil"/>
              <w:bottom w:val="single" w:color="auto" w:sz="4" w:space="0"/>
              <w:right w:val="single" w:color="auto" w:sz="4" w:space="0"/>
            </w:tcBorders>
            <w:noWrap w:val="0"/>
            <w:vAlign w:val="center"/>
          </w:tcPr>
          <w:p w14:paraId="69C7A19C">
            <w:pP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总数</w:t>
            </w:r>
          </w:p>
        </w:tc>
        <w:tc>
          <w:tcPr>
            <w:tcW w:w="947" w:type="dxa"/>
            <w:tcBorders>
              <w:top w:val="nil"/>
              <w:left w:val="nil"/>
              <w:bottom w:val="single" w:color="auto" w:sz="4" w:space="0"/>
              <w:right w:val="single" w:color="auto" w:sz="4" w:space="0"/>
            </w:tcBorders>
            <w:noWrap w:val="0"/>
            <w:vAlign w:val="center"/>
          </w:tcPr>
          <w:p w14:paraId="33DF5ADB">
            <w:pP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面积/m</w:t>
            </w:r>
            <w:r>
              <w:rPr>
                <w:rFonts w:hint="default" w:ascii="Times New Roman" w:hAnsi="Times New Roman" w:cs="Times New Roman"/>
                <w:b/>
                <w:bCs/>
                <w:color w:val="auto"/>
                <w:kern w:val="0"/>
                <w:sz w:val="24"/>
                <w:vertAlign w:val="superscript"/>
              </w:rPr>
              <w:t>2</w:t>
            </w:r>
          </w:p>
        </w:tc>
        <w:tc>
          <w:tcPr>
            <w:tcW w:w="1011" w:type="dxa"/>
            <w:tcBorders>
              <w:top w:val="nil"/>
              <w:left w:val="nil"/>
              <w:bottom w:val="single" w:color="auto" w:sz="4" w:space="0"/>
              <w:right w:val="single" w:color="auto" w:sz="4" w:space="0"/>
            </w:tcBorders>
            <w:noWrap w:val="0"/>
            <w:vAlign w:val="center"/>
          </w:tcPr>
          <w:p w14:paraId="0F6EADB7">
            <w:pP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总面积/m</w:t>
            </w:r>
            <w:r>
              <w:rPr>
                <w:rFonts w:hint="default" w:ascii="Times New Roman" w:hAnsi="Times New Roman" w:cs="Times New Roman"/>
                <w:b/>
                <w:bCs/>
                <w:color w:val="auto"/>
                <w:kern w:val="0"/>
                <w:sz w:val="24"/>
                <w:vertAlign w:val="superscript"/>
              </w:rPr>
              <w:t>2</w:t>
            </w:r>
          </w:p>
        </w:tc>
      </w:tr>
      <w:tr w14:paraId="437AE7EC">
        <w:tblPrEx>
          <w:tblCellMar>
            <w:top w:w="0" w:type="dxa"/>
            <w:left w:w="108" w:type="dxa"/>
            <w:bottom w:w="0" w:type="dxa"/>
            <w:right w:w="108" w:type="dxa"/>
          </w:tblCellMar>
        </w:tblPrEx>
        <w:trPr>
          <w:trHeight w:val="570" w:hRule="atLeast"/>
          <w:jc w:val="center"/>
        </w:trPr>
        <w:tc>
          <w:tcPr>
            <w:tcW w:w="814" w:type="dxa"/>
            <w:vMerge w:val="continue"/>
            <w:tcBorders>
              <w:left w:val="single" w:color="auto" w:sz="4" w:space="0"/>
              <w:right w:val="single" w:color="auto" w:sz="4" w:space="0"/>
            </w:tcBorders>
            <w:noWrap/>
            <w:vAlign w:val="center"/>
          </w:tcPr>
          <w:p w14:paraId="0AAB5219">
            <w:pPr>
              <w:ind w:firstLine="480"/>
              <w:jc w:val="center"/>
              <w:rPr>
                <w:rFonts w:hint="default" w:ascii="Times New Roman" w:hAnsi="Times New Roman" w:eastAsia="宋体" w:cs="Times New Roman"/>
                <w:color w:val="auto"/>
                <w:kern w:val="0"/>
                <w:sz w:val="24"/>
                <w:szCs w:val="24"/>
              </w:rPr>
            </w:pPr>
          </w:p>
        </w:tc>
        <w:tc>
          <w:tcPr>
            <w:tcW w:w="1942" w:type="dxa"/>
            <w:gridSpan w:val="2"/>
            <w:vMerge w:val="restart"/>
            <w:tcBorders>
              <w:top w:val="single" w:color="auto" w:sz="4" w:space="0"/>
              <w:left w:val="nil"/>
              <w:right w:val="single" w:color="auto" w:sz="4" w:space="0"/>
            </w:tcBorders>
            <w:noWrap w:val="0"/>
            <w:vAlign w:val="center"/>
          </w:tcPr>
          <w:p w14:paraId="5DD9DA2C">
            <w:pPr>
              <w:ind w:firstLine="48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信息楼</w:t>
            </w:r>
          </w:p>
        </w:tc>
        <w:tc>
          <w:tcPr>
            <w:tcW w:w="2164" w:type="dxa"/>
            <w:tcBorders>
              <w:top w:val="nil"/>
              <w:left w:val="nil"/>
              <w:bottom w:val="single" w:color="auto" w:sz="4" w:space="0"/>
              <w:right w:val="single" w:color="auto" w:sz="4" w:space="0"/>
            </w:tcBorders>
            <w:noWrap w:val="0"/>
            <w:vAlign w:val="center"/>
          </w:tcPr>
          <w:p w14:paraId="4645755F">
            <w:pP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厕所（含洗漱间）</w:t>
            </w:r>
          </w:p>
        </w:tc>
        <w:tc>
          <w:tcPr>
            <w:tcW w:w="868" w:type="dxa"/>
            <w:tcBorders>
              <w:top w:val="nil"/>
              <w:left w:val="nil"/>
              <w:bottom w:val="single" w:color="auto" w:sz="4" w:space="0"/>
              <w:right w:val="single" w:color="auto" w:sz="4" w:space="0"/>
            </w:tcBorders>
            <w:noWrap w:val="0"/>
            <w:vAlign w:val="center"/>
          </w:tcPr>
          <w:p w14:paraId="3495D29A">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9</w:t>
            </w:r>
          </w:p>
        </w:tc>
        <w:tc>
          <w:tcPr>
            <w:tcW w:w="837" w:type="dxa"/>
            <w:tcBorders>
              <w:top w:val="nil"/>
              <w:left w:val="nil"/>
              <w:bottom w:val="single" w:color="auto" w:sz="4" w:space="0"/>
              <w:right w:val="single" w:color="auto" w:sz="4" w:space="0"/>
            </w:tcBorders>
            <w:noWrap w:val="0"/>
            <w:vAlign w:val="center"/>
          </w:tcPr>
          <w:p w14:paraId="06F176FE">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837" w:type="dxa"/>
            <w:tcBorders>
              <w:top w:val="nil"/>
              <w:left w:val="nil"/>
              <w:bottom w:val="single" w:color="auto" w:sz="4" w:space="0"/>
              <w:right w:val="single" w:color="auto" w:sz="4" w:space="0"/>
            </w:tcBorders>
            <w:noWrap w:val="0"/>
            <w:vAlign w:val="center"/>
          </w:tcPr>
          <w:p w14:paraId="30E2C537">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18</w:t>
            </w:r>
          </w:p>
        </w:tc>
        <w:tc>
          <w:tcPr>
            <w:tcW w:w="947" w:type="dxa"/>
            <w:tcBorders>
              <w:top w:val="nil"/>
              <w:left w:val="nil"/>
              <w:bottom w:val="single" w:color="auto" w:sz="4" w:space="0"/>
              <w:right w:val="single" w:color="auto" w:sz="4" w:space="0"/>
            </w:tcBorders>
            <w:noWrap w:val="0"/>
            <w:vAlign w:val="center"/>
          </w:tcPr>
          <w:p w14:paraId="09365A0C">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45</w:t>
            </w:r>
          </w:p>
        </w:tc>
        <w:tc>
          <w:tcPr>
            <w:tcW w:w="1011" w:type="dxa"/>
            <w:tcBorders>
              <w:top w:val="nil"/>
              <w:left w:val="nil"/>
              <w:bottom w:val="single" w:color="auto" w:sz="4" w:space="0"/>
              <w:right w:val="single" w:color="auto" w:sz="4" w:space="0"/>
            </w:tcBorders>
            <w:noWrap w:val="0"/>
            <w:vAlign w:val="center"/>
          </w:tcPr>
          <w:p w14:paraId="5764B692">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810</w:t>
            </w:r>
          </w:p>
        </w:tc>
      </w:tr>
      <w:tr w14:paraId="6502F62D">
        <w:tblPrEx>
          <w:tblCellMar>
            <w:top w:w="0" w:type="dxa"/>
            <w:left w:w="108" w:type="dxa"/>
            <w:bottom w:w="0" w:type="dxa"/>
            <w:right w:w="108" w:type="dxa"/>
          </w:tblCellMar>
        </w:tblPrEx>
        <w:trPr>
          <w:trHeight w:val="570" w:hRule="atLeast"/>
          <w:jc w:val="center"/>
        </w:trPr>
        <w:tc>
          <w:tcPr>
            <w:tcW w:w="814" w:type="dxa"/>
            <w:vMerge w:val="continue"/>
            <w:tcBorders>
              <w:left w:val="single" w:color="auto" w:sz="4" w:space="0"/>
              <w:right w:val="single" w:color="auto" w:sz="4" w:space="0"/>
            </w:tcBorders>
            <w:noWrap/>
            <w:vAlign w:val="center"/>
          </w:tcPr>
          <w:p w14:paraId="61E780BE">
            <w:pPr>
              <w:ind w:firstLine="480"/>
              <w:jc w:val="center"/>
              <w:rPr>
                <w:rFonts w:hint="default" w:ascii="Times New Roman" w:hAnsi="Times New Roman" w:eastAsia="宋体" w:cs="Times New Roman"/>
                <w:color w:val="auto"/>
                <w:kern w:val="0"/>
                <w:sz w:val="24"/>
                <w:szCs w:val="24"/>
              </w:rPr>
            </w:pPr>
          </w:p>
        </w:tc>
        <w:tc>
          <w:tcPr>
            <w:tcW w:w="1942" w:type="dxa"/>
            <w:gridSpan w:val="2"/>
            <w:vMerge w:val="continue"/>
            <w:tcBorders>
              <w:left w:val="nil"/>
              <w:bottom w:val="single" w:color="auto" w:sz="4" w:space="0"/>
              <w:right w:val="single" w:color="auto" w:sz="4" w:space="0"/>
            </w:tcBorders>
            <w:noWrap w:val="0"/>
            <w:vAlign w:val="center"/>
          </w:tcPr>
          <w:p w14:paraId="18D0E1A4">
            <w:pPr>
              <w:ind w:firstLine="480"/>
              <w:jc w:val="center"/>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0"/>
            <w:vAlign w:val="center"/>
          </w:tcPr>
          <w:p w14:paraId="220D4AA5">
            <w:pP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0"/>
            <w:vAlign w:val="center"/>
          </w:tcPr>
          <w:p w14:paraId="5F502E4E">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9</w:t>
            </w:r>
          </w:p>
        </w:tc>
        <w:tc>
          <w:tcPr>
            <w:tcW w:w="837" w:type="dxa"/>
            <w:tcBorders>
              <w:top w:val="nil"/>
              <w:left w:val="nil"/>
              <w:bottom w:val="single" w:color="auto" w:sz="4" w:space="0"/>
              <w:right w:val="single" w:color="auto" w:sz="4" w:space="0"/>
            </w:tcBorders>
            <w:noWrap w:val="0"/>
            <w:vAlign w:val="center"/>
          </w:tcPr>
          <w:p w14:paraId="4388C40D">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47A6B324">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9</w:t>
            </w:r>
          </w:p>
        </w:tc>
        <w:tc>
          <w:tcPr>
            <w:tcW w:w="947" w:type="dxa"/>
            <w:tcBorders>
              <w:top w:val="nil"/>
              <w:left w:val="nil"/>
              <w:bottom w:val="single" w:color="auto" w:sz="4" w:space="0"/>
              <w:right w:val="single" w:color="auto" w:sz="4" w:space="0"/>
            </w:tcBorders>
            <w:noWrap w:val="0"/>
            <w:vAlign w:val="center"/>
          </w:tcPr>
          <w:p w14:paraId="78D6890B">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205</w:t>
            </w:r>
          </w:p>
        </w:tc>
        <w:tc>
          <w:tcPr>
            <w:tcW w:w="1011" w:type="dxa"/>
            <w:tcBorders>
              <w:top w:val="nil"/>
              <w:left w:val="nil"/>
              <w:bottom w:val="single" w:color="auto" w:sz="4" w:space="0"/>
              <w:right w:val="single" w:color="auto" w:sz="4" w:space="0"/>
            </w:tcBorders>
            <w:noWrap w:val="0"/>
            <w:vAlign w:val="center"/>
          </w:tcPr>
          <w:p w14:paraId="4EF73BB0">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1845</w:t>
            </w:r>
          </w:p>
        </w:tc>
      </w:tr>
      <w:tr w14:paraId="1B3818FB">
        <w:tblPrEx>
          <w:tblCellMar>
            <w:top w:w="0" w:type="dxa"/>
            <w:left w:w="108" w:type="dxa"/>
            <w:bottom w:w="0" w:type="dxa"/>
            <w:right w:w="108" w:type="dxa"/>
          </w:tblCellMar>
        </w:tblPrEx>
        <w:trPr>
          <w:trHeight w:val="570" w:hRule="atLeast"/>
          <w:jc w:val="center"/>
        </w:trPr>
        <w:tc>
          <w:tcPr>
            <w:tcW w:w="814" w:type="dxa"/>
            <w:vMerge w:val="continue"/>
            <w:tcBorders>
              <w:left w:val="single" w:color="auto" w:sz="4" w:space="0"/>
              <w:right w:val="single" w:color="auto" w:sz="4" w:space="0"/>
            </w:tcBorders>
            <w:noWrap w:val="0"/>
            <w:vAlign w:val="center"/>
          </w:tcPr>
          <w:p w14:paraId="6C069545">
            <w:pPr>
              <w:ind w:firstLine="480"/>
              <w:jc w:val="left"/>
              <w:rPr>
                <w:rFonts w:hint="default" w:ascii="Times New Roman" w:hAnsi="Times New Roman" w:eastAsia="宋体" w:cs="Times New Roman"/>
                <w:color w:val="auto"/>
                <w:kern w:val="0"/>
                <w:sz w:val="24"/>
                <w:szCs w:val="24"/>
              </w:rPr>
            </w:pPr>
          </w:p>
        </w:tc>
        <w:tc>
          <w:tcPr>
            <w:tcW w:w="818" w:type="dxa"/>
            <w:vMerge w:val="restart"/>
            <w:tcBorders>
              <w:top w:val="nil"/>
              <w:left w:val="single" w:color="auto" w:sz="4" w:space="0"/>
              <w:right w:val="single" w:color="auto" w:sz="4" w:space="0"/>
            </w:tcBorders>
            <w:noWrap w:val="0"/>
            <w:vAlign w:val="center"/>
          </w:tcPr>
          <w:p w14:paraId="2E103812">
            <w:pP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一组团</w:t>
            </w:r>
          </w:p>
        </w:tc>
        <w:tc>
          <w:tcPr>
            <w:tcW w:w="1124" w:type="dxa"/>
            <w:vMerge w:val="restart"/>
            <w:tcBorders>
              <w:top w:val="nil"/>
              <w:left w:val="nil"/>
              <w:right w:val="single" w:color="auto" w:sz="4" w:space="0"/>
            </w:tcBorders>
            <w:noWrap w:val="0"/>
            <w:vAlign w:val="center"/>
          </w:tcPr>
          <w:p w14:paraId="4EFB261B">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教学楼</w:t>
            </w:r>
          </w:p>
        </w:tc>
        <w:tc>
          <w:tcPr>
            <w:tcW w:w="2164" w:type="dxa"/>
            <w:tcBorders>
              <w:top w:val="nil"/>
              <w:left w:val="nil"/>
              <w:bottom w:val="single" w:color="auto" w:sz="4" w:space="0"/>
              <w:right w:val="single" w:color="auto" w:sz="4" w:space="0"/>
            </w:tcBorders>
            <w:noWrap w:val="0"/>
            <w:vAlign w:val="center"/>
          </w:tcPr>
          <w:p w14:paraId="4C88EE51">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厕所（含洗漱间）</w:t>
            </w:r>
          </w:p>
        </w:tc>
        <w:tc>
          <w:tcPr>
            <w:tcW w:w="868" w:type="dxa"/>
            <w:tcBorders>
              <w:top w:val="nil"/>
              <w:left w:val="nil"/>
              <w:bottom w:val="single" w:color="auto" w:sz="4" w:space="0"/>
              <w:right w:val="single" w:color="auto" w:sz="4" w:space="0"/>
            </w:tcBorders>
            <w:noWrap w:val="0"/>
            <w:vAlign w:val="center"/>
          </w:tcPr>
          <w:p w14:paraId="715F3A31">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0"/>
            <w:vAlign w:val="center"/>
          </w:tcPr>
          <w:p w14:paraId="3D347942">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w:t>
            </w:r>
          </w:p>
        </w:tc>
        <w:tc>
          <w:tcPr>
            <w:tcW w:w="837" w:type="dxa"/>
            <w:tcBorders>
              <w:top w:val="nil"/>
              <w:left w:val="nil"/>
              <w:bottom w:val="single" w:color="auto" w:sz="4" w:space="0"/>
              <w:right w:val="single" w:color="auto" w:sz="4" w:space="0"/>
            </w:tcBorders>
            <w:noWrap w:val="0"/>
            <w:vAlign w:val="center"/>
          </w:tcPr>
          <w:p w14:paraId="1C6A3709">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24</w:t>
            </w:r>
          </w:p>
        </w:tc>
        <w:tc>
          <w:tcPr>
            <w:tcW w:w="947" w:type="dxa"/>
            <w:tcBorders>
              <w:top w:val="nil"/>
              <w:left w:val="nil"/>
              <w:bottom w:val="single" w:color="auto" w:sz="4" w:space="0"/>
              <w:right w:val="single" w:color="auto" w:sz="4" w:space="0"/>
            </w:tcBorders>
            <w:noWrap w:val="0"/>
            <w:vAlign w:val="center"/>
          </w:tcPr>
          <w:p w14:paraId="4AE96CF2">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w:t>
            </w:r>
          </w:p>
        </w:tc>
        <w:tc>
          <w:tcPr>
            <w:tcW w:w="1011" w:type="dxa"/>
            <w:tcBorders>
              <w:top w:val="nil"/>
              <w:left w:val="nil"/>
              <w:bottom w:val="single" w:color="auto" w:sz="4" w:space="0"/>
              <w:right w:val="single" w:color="auto" w:sz="4" w:space="0"/>
            </w:tcBorders>
            <w:noWrap w:val="0"/>
            <w:vAlign w:val="center"/>
          </w:tcPr>
          <w:p w14:paraId="2E601A06">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720</w:t>
            </w:r>
          </w:p>
        </w:tc>
      </w:tr>
      <w:tr w14:paraId="7883E048">
        <w:tblPrEx>
          <w:tblCellMar>
            <w:top w:w="0" w:type="dxa"/>
            <w:left w:w="108" w:type="dxa"/>
            <w:bottom w:w="0" w:type="dxa"/>
            <w:right w:w="108" w:type="dxa"/>
          </w:tblCellMar>
        </w:tblPrEx>
        <w:trPr>
          <w:trHeight w:val="570" w:hRule="atLeast"/>
          <w:jc w:val="center"/>
        </w:trPr>
        <w:tc>
          <w:tcPr>
            <w:tcW w:w="814" w:type="dxa"/>
            <w:vMerge w:val="continue"/>
            <w:tcBorders>
              <w:left w:val="single" w:color="auto" w:sz="4" w:space="0"/>
              <w:right w:val="single" w:color="auto" w:sz="4" w:space="0"/>
            </w:tcBorders>
            <w:noWrap w:val="0"/>
            <w:vAlign w:val="center"/>
          </w:tcPr>
          <w:p w14:paraId="7E476C2F">
            <w:pPr>
              <w:ind w:firstLine="480"/>
              <w:jc w:val="left"/>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446E13A8">
            <w:pPr>
              <w:ind w:firstLine="480"/>
              <w:jc w:val="center"/>
              <w:rPr>
                <w:rFonts w:hint="default" w:ascii="Times New Roman" w:hAnsi="Times New Roman" w:eastAsia="宋体" w:cs="Times New Roman"/>
                <w:color w:val="auto"/>
                <w:kern w:val="0"/>
                <w:sz w:val="24"/>
                <w:szCs w:val="24"/>
              </w:rPr>
            </w:pPr>
          </w:p>
        </w:tc>
        <w:tc>
          <w:tcPr>
            <w:tcW w:w="1124" w:type="dxa"/>
            <w:vMerge w:val="continue"/>
            <w:tcBorders>
              <w:left w:val="nil"/>
              <w:bottom w:val="single" w:color="auto" w:sz="4" w:space="0"/>
              <w:right w:val="single" w:color="auto" w:sz="4" w:space="0"/>
            </w:tcBorders>
            <w:noWrap w:val="0"/>
            <w:vAlign w:val="center"/>
          </w:tcPr>
          <w:p w14:paraId="3FFB119F">
            <w:pPr>
              <w:jc w:val="center"/>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0"/>
            <w:vAlign w:val="center"/>
          </w:tcPr>
          <w:p w14:paraId="1050533C">
            <w:pP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0"/>
            <w:vAlign w:val="center"/>
          </w:tcPr>
          <w:p w14:paraId="0277D1FB">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0"/>
            <w:vAlign w:val="center"/>
          </w:tcPr>
          <w:p w14:paraId="777C43A5">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5669EC75">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947" w:type="dxa"/>
            <w:tcBorders>
              <w:top w:val="nil"/>
              <w:left w:val="nil"/>
              <w:bottom w:val="single" w:color="auto" w:sz="4" w:space="0"/>
              <w:right w:val="single" w:color="auto" w:sz="4" w:space="0"/>
            </w:tcBorders>
            <w:noWrap w:val="0"/>
            <w:vAlign w:val="center"/>
          </w:tcPr>
          <w:p w14:paraId="4896D679">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285</w:t>
            </w:r>
          </w:p>
        </w:tc>
        <w:tc>
          <w:tcPr>
            <w:tcW w:w="1011" w:type="dxa"/>
            <w:tcBorders>
              <w:top w:val="nil"/>
              <w:left w:val="nil"/>
              <w:bottom w:val="single" w:color="auto" w:sz="4" w:space="0"/>
              <w:right w:val="single" w:color="auto" w:sz="4" w:space="0"/>
            </w:tcBorders>
            <w:noWrap w:val="0"/>
            <w:vAlign w:val="center"/>
          </w:tcPr>
          <w:p w14:paraId="1AEE1246">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1710</w:t>
            </w:r>
          </w:p>
        </w:tc>
      </w:tr>
      <w:tr w14:paraId="00277F4E">
        <w:tblPrEx>
          <w:tblCellMar>
            <w:top w:w="0" w:type="dxa"/>
            <w:left w:w="108" w:type="dxa"/>
            <w:bottom w:w="0" w:type="dxa"/>
            <w:right w:w="108" w:type="dxa"/>
          </w:tblCellMar>
        </w:tblPrEx>
        <w:trPr>
          <w:trHeight w:val="525" w:hRule="atLeast"/>
          <w:jc w:val="center"/>
        </w:trPr>
        <w:tc>
          <w:tcPr>
            <w:tcW w:w="814" w:type="dxa"/>
            <w:vMerge w:val="continue"/>
            <w:tcBorders>
              <w:left w:val="single" w:color="auto" w:sz="4" w:space="0"/>
              <w:right w:val="single" w:color="auto" w:sz="4" w:space="0"/>
            </w:tcBorders>
            <w:noWrap w:val="0"/>
            <w:vAlign w:val="center"/>
          </w:tcPr>
          <w:p w14:paraId="16CF2C9A">
            <w:pPr>
              <w:ind w:firstLine="480"/>
              <w:jc w:val="left"/>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41E4EBDC">
            <w:pPr>
              <w:ind w:firstLine="480"/>
              <w:jc w:val="left"/>
              <w:rPr>
                <w:rFonts w:hint="default" w:ascii="Times New Roman" w:hAnsi="Times New Roman" w:eastAsia="宋体" w:cs="Times New Roman"/>
                <w:color w:val="auto"/>
                <w:kern w:val="0"/>
                <w:sz w:val="24"/>
                <w:szCs w:val="24"/>
              </w:rPr>
            </w:pPr>
          </w:p>
        </w:tc>
        <w:tc>
          <w:tcPr>
            <w:tcW w:w="1124" w:type="dxa"/>
            <w:vMerge w:val="restart"/>
            <w:tcBorders>
              <w:top w:val="nil"/>
              <w:left w:val="nil"/>
              <w:right w:val="single" w:color="auto" w:sz="4" w:space="0"/>
            </w:tcBorders>
            <w:noWrap w:val="0"/>
            <w:vAlign w:val="center"/>
          </w:tcPr>
          <w:p w14:paraId="2EA0F7B5">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实训楼</w:t>
            </w:r>
          </w:p>
        </w:tc>
        <w:tc>
          <w:tcPr>
            <w:tcW w:w="2164" w:type="dxa"/>
            <w:tcBorders>
              <w:top w:val="nil"/>
              <w:left w:val="nil"/>
              <w:bottom w:val="single" w:color="auto" w:sz="4" w:space="0"/>
              <w:right w:val="single" w:color="auto" w:sz="4" w:space="0"/>
            </w:tcBorders>
            <w:noWrap w:val="0"/>
            <w:vAlign w:val="center"/>
          </w:tcPr>
          <w:p w14:paraId="6ECCA4D5">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厕所（含洗漱间）</w:t>
            </w:r>
          </w:p>
        </w:tc>
        <w:tc>
          <w:tcPr>
            <w:tcW w:w="868" w:type="dxa"/>
            <w:tcBorders>
              <w:top w:val="nil"/>
              <w:left w:val="nil"/>
              <w:bottom w:val="single" w:color="auto" w:sz="4" w:space="0"/>
              <w:right w:val="single" w:color="auto" w:sz="4" w:space="0"/>
            </w:tcBorders>
            <w:noWrap w:val="0"/>
            <w:vAlign w:val="center"/>
          </w:tcPr>
          <w:p w14:paraId="524B5BCB">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w:t>
            </w:r>
          </w:p>
        </w:tc>
        <w:tc>
          <w:tcPr>
            <w:tcW w:w="837" w:type="dxa"/>
            <w:tcBorders>
              <w:top w:val="nil"/>
              <w:left w:val="nil"/>
              <w:bottom w:val="single" w:color="auto" w:sz="4" w:space="0"/>
              <w:right w:val="single" w:color="auto" w:sz="4" w:space="0"/>
            </w:tcBorders>
            <w:noWrap w:val="0"/>
            <w:vAlign w:val="center"/>
          </w:tcPr>
          <w:p w14:paraId="42D945ED">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837" w:type="dxa"/>
            <w:tcBorders>
              <w:top w:val="nil"/>
              <w:left w:val="nil"/>
              <w:bottom w:val="single" w:color="auto" w:sz="4" w:space="0"/>
              <w:right w:val="single" w:color="auto" w:sz="4" w:space="0"/>
            </w:tcBorders>
            <w:noWrap w:val="0"/>
            <w:vAlign w:val="center"/>
          </w:tcPr>
          <w:p w14:paraId="1AD572E6">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10</w:t>
            </w:r>
          </w:p>
        </w:tc>
        <w:tc>
          <w:tcPr>
            <w:tcW w:w="947" w:type="dxa"/>
            <w:tcBorders>
              <w:top w:val="nil"/>
              <w:left w:val="nil"/>
              <w:bottom w:val="single" w:color="auto" w:sz="4" w:space="0"/>
              <w:right w:val="single" w:color="auto" w:sz="4" w:space="0"/>
            </w:tcBorders>
            <w:noWrap w:val="0"/>
            <w:vAlign w:val="center"/>
          </w:tcPr>
          <w:p w14:paraId="1120AB1D">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25</w:t>
            </w:r>
          </w:p>
        </w:tc>
        <w:tc>
          <w:tcPr>
            <w:tcW w:w="1011" w:type="dxa"/>
            <w:tcBorders>
              <w:top w:val="nil"/>
              <w:left w:val="nil"/>
              <w:bottom w:val="single" w:color="auto" w:sz="4" w:space="0"/>
              <w:right w:val="single" w:color="auto" w:sz="4" w:space="0"/>
            </w:tcBorders>
            <w:noWrap w:val="0"/>
            <w:vAlign w:val="center"/>
          </w:tcPr>
          <w:p w14:paraId="0FFD25A1">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250</w:t>
            </w:r>
          </w:p>
        </w:tc>
      </w:tr>
      <w:tr w14:paraId="78AD079A">
        <w:tblPrEx>
          <w:tblCellMar>
            <w:top w:w="0" w:type="dxa"/>
            <w:left w:w="108" w:type="dxa"/>
            <w:bottom w:w="0" w:type="dxa"/>
            <w:right w:w="108" w:type="dxa"/>
          </w:tblCellMar>
        </w:tblPrEx>
        <w:trPr>
          <w:trHeight w:val="525" w:hRule="atLeast"/>
          <w:jc w:val="center"/>
        </w:trPr>
        <w:tc>
          <w:tcPr>
            <w:tcW w:w="814" w:type="dxa"/>
            <w:vMerge w:val="continue"/>
            <w:tcBorders>
              <w:left w:val="single" w:color="auto" w:sz="4" w:space="0"/>
              <w:right w:val="single" w:color="auto" w:sz="4" w:space="0"/>
            </w:tcBorders>
            <w:noWrap w:val="0"/>
            <w:vAlign w:val="center"/>
          </w:tcPr>
          <w:p w14:paraId="4285D193">
            <w:pPr>
              <w:ind w:firstLine="480"/>
              <w:jc w:val="left"/>
              <w:rPr>
                <w:rFonts w:hint="default" w:ascii="Times New Roman" w:hAnsi="Times New Roman" w:eastAsia="宋体" w:cs="Times New Roman"/>
                <w:color w:val="auto"/>
                <w:kern w:val="0"/>
                <w:sz w:val="24"/>
                <w:szCs w:val="24"/>
              </w:rPr>
            </w:pPr>
          </w:p>
        </w:tc>
        <w:tc>
          <w:tcPr>
            <w:tcW w:w="818" w:type="dxa"/>
            <w:vMerge w:val="continue"/>
            <w:tcBorders>
              <w:left w:val="single" w:color="auto" w:sz="4" w:space="0"/>
              <w:bottom w:val="single" w:color="auto" w:sz="4" w:space="0"/>
              <w:right w:val="single" w:color="auto" w:sz="4" w:space="0"/>
            </w:tcBorders>
            <w:noWrap w:val="0"/>
            <w:vAlign w:val="center"/>
          </w:tcPr>
          <w:p w14:paraId="6FAEDBFE">
            <w:pPr>
              <w:ind w:firstLine="480"/>
              <w:jc w:val="left"/>
              <w:rPr>
                <w:rFonts w:hint="default" w:ascii="Times New Roman" w:hAnsi="Times New Roman" w:eastAsia="宋体" w:cs="Times New Roman"/>
                <w:color w:val="auto"/>
                <w:kern w:val="0"/>
                <w:sz w:val="24"/>
                <w:szCs w:val="24"/>
              </w:rPr>
            </w:pPr>
          </w:p>
        </w:tc>
        <w:tc>
          <w:tcPr>
            <w:tcW w:w="1124" w:type="dxa"/>
            <w:vMerge w:val="continue"/>
            <w:tcBorders>
              <w:left w:val="nil"/>
              <w:bottom w:val="single" w:color="auto" w:sz="4" w:space="0"/>
              <w:right w:val="single" w:color="auto" w:sz="4" w:space="0"/>
            </w:tcBorders>
            <w:noWrap w:val="0"/>
            <w:vAlign w:val="center"/>
          </w:tcPr>
          <w:p w14:paraId="5789F7F2">
            <w:pPr>
              <w:jc w:val="center"/>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0"/>
            <w:vAlign w:val="center"/>
          </w:tcPr>
          <w:p w14:paraId="19136E21">
            <w:pP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0"/>
            <w:vAlign w:val="center"/>
          </w:tcPr>
          <w:p w14:paraId="180C3629">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w:t>
            </w:r>
          </w:p>
        </w:tc>
        <w:tc>
          <w:tcPr>
            <w:tcW w:w="837" w:type="dxa"/>
            <w:tcBorders>
              <w:top w:val="nil"/>
              <w:left w:val="nil"/>
              <w:bottom w:val="single" w:color="auto" w:sz="4" w:space="0"/>
              <w:right w:val="single" w:color="auto" w:sz="4" w:space="0"/>
            </w:tcBorders>
            <w:noWrap w:val="0"/>
            <w:vAlign w:val="center"/>
          </w:tcPr>
          <w:p w14:paraId="25E46FCA">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15771826">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w:t>
            </w:r>
          </w:p>
        </w:tc>
        <w:tc>
          <w:tcPr>
            <w:tcW w:w="947" w:type="dxa"/>
            <w:tcBorders>
              <w:top w:val="nil"/>
              <w:left w:val="nil"/>
              <w:bottom w:val="single" w:color="auto" w:sz="4" w:space="0"/>
              <w:right w:val="single" w:color="auto" w:sz="4" w:space="0"/>
            </w:tcBorders>
            <w:noWrap w:val="0"/>
            <w:vAlign w:val="center"/>
          </w:tcPr>
          <w:p w14:paraId="7F19502B">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320</w:t>
            </w:r>
          </w:p>
        </w:tc>
        <w:tc>
          <w:tcPr>
            <w:tcW w:w="1011" w:type="dxa"/>
            <w:tcBorders>
              <w:top w:val="nil"/>
              <w:left w:val="nil"/>
              <w:bottom w:val="single" w:color="auto" w:sz="4" w:space="0"/>
              <w:right w:val="single" w:color="auto" w:sz="4" w:space="0"/>
            </w:tcBorders>
            <w:noWrap w:val="0"/>
            <w:vAlign w:val="center"/>
          </w:tcPr>
          <w:p w14:paraId="51EF5FBA">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1600</w:t>
            </w:r>
          </w:p>
        </w:tc>
      </w:tr>
      <w:tr w14:paraId="34645DD2">
        <w:tblPrEx>
          <w:tblCellMar>
            <w:top w:w="0" w:type="dxa"/>
            <w:left w:w="108" w:type="dxa"/>
            <w:bottom w:w="0" w:type="dxa"/>
            <w:right w:w="108" w:type="dxa"/>
          </w:tblCellMar>
        </w:tblPrEx>
        <w:trPr>
          <w:trHeight w:val="555" w:hRule="atLeast"/>
          <w:jc w:val="center"/>
        </w:trPr>
        <w:tc>
          <w:tcPr>
            <w:tcW w:w="814" w:type="dxa"/>
            <w:vMerge w:val="continue"/>
            <w:tcBorders>
              <w:left w:val="single" w:color="auto" w:sz="4" w:space="0"/>
              <w:right w:val="single" w:color="auto" w:sz="4" w:space="0"/>
            </w:tcBorders>
            <w:noWrap w:val="0"/>
            <w:vAlign w:val="center"/>
          </w:tcPr>
          <w:p w14:paraId="4993E392">
            <w:pPr>
              <w:ind w:firstLine="480"/>
              <w:jc w:val="left"/>
              <w:rPr>
                <w:rFonts w:hint="default" w:ascii="Times New Roman" w:hAnsi="Times New Roman" w:eastAsia="宋体" w:cs="Times New Roman"/>
                <w:color w:val="auto"/>
                <w:kern w:val="0"/>
                <w:sz w:val="24"/>
                <w:szCs w:val="24"/>
              </w:rPr>
            </w:pPr>
          </w:p>
        </w:tc>
        <w:tc>
          <w:tcPr>
            <w:tcW w:w="818" w:type="dxa"/>
            <w:vMerge w:val="restart"/>
            <w:tcBorders>
              <w:top w:val="nil"/>
              <w:left w:val="single" w:color="auto" w:sz="4" w:space="0"/>
              <w:right w:val="single" w:color="auto" w:sz="4" w:space="0"/>
            </w:tcBorders>
            <w:noWrap w:val="0"/>
            <w:vAlign w:val="center"/>
          </w:tcPr>
          <w:p w14:paraId="693C28AE">
            <w:pP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二组团</w:t>
            </w:r>
          </w:p>
        </w:tc>
        <w:tc>
          <w:tcPr>
            <w:tcW w:w="1124" w:type="dxa"/>
            <w:vMerge w:val="restart"/>
            <w:tcBorders>
              <w:top w:val="nil"/>
              <w:left w:val="nil"/>
              <w:right w:val="single" w:color="auto" w:sz="4" w:space="0"/>
            </w:tcBorders>
            <w:noWrap w:val="0"/>
            <w:vAlign w:val="center"/>
          </w:tcPr>
          <w:p w14:paraId="6A1D0392">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教学楼</w:t>
            </w:r>
          </w:p>
        </w:tc>
        <w:tc>
          <w:tcPr>
            <w:tcW w:w="2164" w:type="dxa"/>
            <w:tcBorders>
              <w:top w:val="nil"/>
              <w:left w:val="nil"/>
              <w:bottom w:val="single" w:color="auto" w:sz="4" w:space="0"/>
              <w:right w:val="single" w:color="auto" w:sz="4" w:space="0"/>
            </w:tcBorders>
            <w:noWrap w:val="0"/>
            <w:vAlign w:val="center"/>
          </w:tcPr>
          <w:p w14:paraId="53289247">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厕所（含洗漱间）</w:t>
            </w:r>
          </w:p>
        </w:tc>
        <w:tc>
          <w:tcPr>
            <w:tcW w:w="868" w:type="dxa"/>
            <w:tcBorders>
              <w:top w:val="nil"/>
              <w:left w:val="nil"/>
              <w:bottom w:val="single" w:color="auto" w:sz="4" w:space="0"/>
              <w:right w:val="single" w:color="auto" w:sz="4" w:space="0"/>
            </w:tcBorders>
            <w:noWrap w:val="0"/>
            <w:vAlign w:val="center"/>
          </w:tcPr>
          <w:p w14:paraId="221D0508">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0"/>
            <w:vAlign w:val="center"/>
          </w:tcPr>
          <w:p w14:paraId="3673489B">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w:t>
            </w:r>
          </w:p>
        </w:tc>
        <w:tc>
          <w:tcPr>
            <w:tcW w:w="837" w:type="dxa"/>
            <w:tcBorders>
              <w:top w:val="nil"/>
              <w:left w:val="nil"/>
              <w:bottom w:val="single" w:color="auto" w:sz="4" w:space="0"/>
              <w:right w:val="single" w:color="auto" w:sz="4" w:space="0"/>
            </w:tcBorders>
            <w:noWrap w:val="0"/>
            <w:vAlign w:val="center"/>
          </w:tcPr>
          <w:p w14:paraId="5A2FEAD5">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24</w:t>
            </w:r>
          </w:p>
        </w:tc>
        <w:tc>
          <w:tcPr>
            <w:tcW w:w="947" w:type="dxa"/>
            <w:tcBorders>
              <w:top w:val="nil"/>
              <w:left w:val="nil"/>
              <w:bottom w:val="single" w:color="auto" w:sz="4" w:space="0"/>
              <w:right w:val="single" w:color="auto" w:sz="4" w:space="0"/>
            </w:tcBorders>
            <w:noWrap w:val="0"/>
            <w:vAlign w:val="center"/>
          </w:tcPr>
          <w:p w14:paraId="1EC63AD0">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25</w:t>
            </w:r>
          </w:p>
        </w:tc>
        <w:tc>
          <w:tcPr>
            <w:tcW w:w="1011" w:type="dxa"/>
            <w:tcBorders>
              <w:top w:val="nil"/>
              <w:left w:val="nil"/>
              <w:bottom w:val="single" w:color="auto" w:sz="4" w:space="0"/>
              <w:right w:val="single" w:color="auto" w:sz="4" w:space="0"/>
            </w:tcBorders>
            <w:noWrap w:val="0"/>
            <w:vAlign w:val="center"/>
          </w:tcPr>
          <w:p w14:paraId="0082DD09">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600</w:t>
            </w:r>
          </w:p>
        </w:tc>
      </w:tr>
      <w:tr w14:paraId="37A2A088">
        <w:tblPrEx>
          <w:tblCellMar>
            <w:top w:w="0" w:type="dxa"/>
            <w:left w:w="108" w:type="dxa"/>
            <w:bottom w:w="0" w:type="dxa"/>
            <w:right w:w="108" w:type="dxa"/>
          </w:tblCellMar>
        </w:tblPrEx>
        <w:trPr>
          <w:trHeight w:val="555" w:hRule="atLeast"/>
          <w:jc w:val="center"/>
        </w:trPr>
        <w:tc>
          <w:tcPr>
            <w:tcW w:w="814" w:type="dxa"/>
            <w:vMerge w:val="continue"/>
            <w:tcBorders>
              <w:left w:val="single" w:color="auto" w:sz="4" w:space="0"/>
              <w:right w:val="single" w:color="auto" w:sz="4" w:space="0"/>
            </w:tcBorders>
            <w:noWrap w:val="0"/>
            <w:vAlign w:val="center"/>
          </w:tcPr>
          <w:p w14:paraId="13A25607">
            <w:pPr>
              <w:ind w:firstLine="480"/>
              <w:jc w:val="left"/>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19B77BC2">
            <w:pPr>
              <w:ind w:firstLine="480"/>
              <w:jc w:val="center"/>
              <w:rPr>
                <w:rFonts w:hint="default" w:ascii="Times New Roman" w:hAnsi="Times New Roman" w:eastAsia="宋体" w:cs="Times New Roman"/>
                <w:color w:val="auto"/>
                <w:kern w:val="0"/>
                <w:sz w:val="24"/>
                <w:szCs w:val="24"/>
              </w:rPr>
            </w:pPr>
          </w:p>
        </w:tc>
        <w:tc>
          <w:tcPr>
            <w:tcW w:w="1124" w:type="dxa"/>
            <w:vMerge w:val="continue"/>
            <w:tcBorders>
              <w:left w:val="nil"/>
              <w:bottom w:val="single" w:color="auto" w:sz="4" w:space="0"/>
              <w:right w:val="single" w:color="auto" w:sz="4" w:space="0"/>
            </w:tcBorders>
            <w:noWrap w:val="0"/>
            <w:vAlign w:val="center"/>
          </w:tcPr>
          <w:p w14:paraId="15F9A021">
            <w:pPr>
              <w:jc w:val="center"/>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0"/>
            <w:vAlign w:val="center"/>
          </w:tcPr>
          <w:p w14:paraId="382BE528">
            <w:pP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0"/>
            <w:vAlign w:val="center"/>
          </w:tcPr>
          <w:p w14:paraId="7805D35B">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0"/>
            <w:vAlign w:val="center"/>
          </w:tcPr>
          <w:p w14:paraId="12ED90D4">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4CBDB2B9">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947" w:type="dxa"/>
            <w:tcBorders>
              <w:top w:val="nil"/>
              <w:left w:val="nil"/>
              <w:bottom w:val="single" w:color="auto" w:sz="4" w:space="0"/>
              <w:right w:val="single" w:color="auto" w:sz="4" w:space="0"/>
            </w:tcBorders>
            <w:noWrap w:val="0"/>
            <w:vAlign w:val="center"/>
          </w:tcPr>
          <w:p w14:paraId="798A7ED1">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315</w:t>
            </w:r>
          </w:p>
        </w:tc>
        <w:tc>
          <w:tcPr>
            <w:tcW w:w="1011" w:type="dxa"/>
            <w:tcBorders>
              <w:top w:val="nil"/>
              <w:left w:val="nil"/>
              <w:bottom w:val="single" w:color="auto" w:sz="4" w:space="0"/>
              <w:right w:val="single" w:color="auto" w:sz="4" w:space="0"/>
            </w:tcBorders>
            <w:noWrap w:val="0"/>
            <w:vAlign w:val="center"/>
          </w:tcPr>
          <w:p w14:paraId="033E1600">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1890</w:t>
            </w:r>
          </w:p>
        </w:tc>
      </w:tr>
      <w:tr w14:paraId="68FEF357">
        <w:tblPrEx>
          <w:tblCellMar>
            <w:top w:w="0" w:type="dxa"/>
            <w:left w:w="108" w:type="dxa"/>
            <w:bottom w:w="0" w:type="dxa"/>
            <w:right w:w="108" w:type="dxa"/>
          </w:tblCellMar>
        </w:tblPrEx>
        <w:trPr>
          <w:trHeight w:val="555" w:hRule="atLeast"/>
          <w:jc w:val="center"/>
        </w:trPr>
        <w:tc>
          <w:tcPr>
            <w:tcW w:w="814" w:type="dxa"/>
            <w:vMerge w:val="continue"/>
            <w:tcBorders>
              <w:left w:val="single" w:color="auto" w:sz="4" w:space="0"/>
              <w:right w:val="single" w:color="auto" w:sz="4" w:space="0"/>
            </w:tcBorders>
            <w:noWrap w:val="0"/>
            <w:vAlign w:val="center"/>
          </w:tcPr>
          <w:p w14:paraId="71CE4D74">
            <w:pPr>
              <w:ind w:firstLine="480"/>
              <w:jc w:val="left"/>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1435FEA7">
            <w:pPr>
              <w:ind w:firstLine="480"/>
              <w:jc w:val="left"/>
              <w:rPr>
                <w:rFonts w:hint="default" w:ascii="Times New Roman" w:hAnsi="Times New Roman" w:eastAsia="宋体" w:cs="Times New Roman"/>
                <w:color w:val="auto"/>
                <w:kern w:val="0"/>
                <w:sz w:val="24"/>
                <w:szCs w:val="24"/>
              </w:rPr>
            </w:pPr>
          </w:p>
        </w:tc>
        <w:tc>
          <w:tcPr>
            <w:tcW w:w="1124" w:type="dxa"/>
            <w:vMerge w:val="restart"/>
            <w:tcBorders>
              <w:top w:val="nil"/>
              <w:left w:val="nil"/>
              <w:right w:val="single" w:color="auto" w:sz="4" w:space="0"/>
            </w:tcBorders>
            <w:noWrap w:val="0"/>
            <w:vAlign w:val="center"/>
          </w:tcPr>
          <w:p w14:paraId="55EBBBC5">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实训楼</w:t>
            </w:r>
          </w:p>
        </w:tc>
        <w:tc>
          <w:tcPr>
            <w:tcW w:w="2164" w:type="dxa"/>
            <w:tcBorders>
              <w:top w:val="nil"/>
              <w:left w:val="nil"/>
              <w:bottom w:val="single" w:color="auto" w:sz="4" w:space="0"/>
              <w:right w:val="single" w:color="auto" w:sz="4" w:space="0"/>
            </w:tcBorders>
            <w:noWrap w:val="0"/>
            <w:vAlign w:val="center"/>
          </w:tcPr>
          <w:p w14:paraId="13B98E8B">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厕所（含洗漱间）</w:t>
            </w:r>
          </w:p>
        </w:tc>
        <w:tc>
          <w:tcPr>
            <w:tcW w:w="868" w:type="dxa"/>
            <w:tcBorders>
              <w:top w:val="nil"/>
              <w:left w:val="nil"/>
              <w:bottom w:val="single" w:color="auto" w:sz="4" w:space="0"/>
              <w:right w:val="single" w:color="auto" w:sz="4" w:space="0"/>
            </w:tcBorders>
            <w:noWrap w:val="0"/>
            <w:vAlign w:val="center"/>
          </w:tcPr>
          <w:p w14:paraId="2FD9A269">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w:t>
            </w:r>
          </w:p>
        </w:tc>
        <w:tc>
          <w:tcPr>
            <w:tcW w:w="837" w:type="dxa"/>
            <w:tcBorders>
              <w:top w:val="nil"/>
              <w:left w:val="nil"/>
              <w:bottom w:val="single" w:color="auto" w:sz="4" w:space="0"/>
              <w:right w:val="single" w:color="auto" w:sz="4" w:space="0"/>
            </w:tcBorders>
            <w:noWrap w:val="0"/>
            <w:vAlign w:val="center"/>
          </w:tcPr>
          <w:p w14:paraId="73716FC9">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837" w:type="dxa"/>
            <w:tcBorders>
              <w:top w:val="nil"/>
              <w:left w:val="nil"/>
              <w:bottom w:val="single" w:color="auto" w:sz="4" w:space="0"/>
              <w:right w:val="single" w:color="auto" w:sz="4" w:space="0"/>
            </w:tcBorders>
            <w:noWrap w:val="0"/>
            <w:vAlign w:val="center"/>
          </w:tcPr>
          <w:p w14:paraId="508BDDE7">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10</w:t>
            </w:r>
          </w:p>
        </w:tc>
        <w:tc>
          <w:tcPr>
            <w:tcW w:w="947" w:type="dxa"/>
            <w:tcBorders>
              <w:top w:val="nil"/>
              <w:left w:val="nil"/>
              <w:bottom w:val="single" w:color="auto" w:sz="4" w:space="0"/>
              <w:right w:val="single" w:color="auto" w:sz="4" w:space="0"/>
            </w:tcBorders>
            <w:noWrap w:val="0"/>
            <w:vAlign w:val="center"/>
          </w:tcPr>
          <w:p w14:paraId="783258AB">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w:t>
            </w:r>
          </w:p>
        </w:tc>
        <w:tc>
          <w:tcPr>
            <w:tcW w:w="1011" w:type="dxa"/>
            <w:tcBorders>
              <w:top w:val="nil"/>
              <w:left w:val="nil"/>
              <w:bottom w:val="single" w:color="auto" w:sz="4" w:space="0"/>
              <w:right w:val="single" w:color="auto" w:sz="4" w:space="0"/>
            </w:tcBorders>
            <w:noWrap w:val="0"/>
            <w:vAlign w:val="center"/>
          </w:tcPr>
          <w:p w14:paraId="27969BE4">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300</w:t>
            </w:r>
          </w:p>
        </w:tc>
      </w:tr>
      <w:tr w14:paraId="03991569">
        <w:tblPrEx>
          <w:tblCellMar>
            <w:top w:w="0" w:type="dxa"/>
            <w:left w:w="108" w:type="dxa"/>
            <w:bottom w:w="0" w:type="dxa"/>
            <w:right w:w="108" w:type="dxa"/>
          </w:tblCellMar>
        </w:tblPrEx>
        <w:trPr>
          <w:trHeight w:val="555" w:hRule="atLeast"/>
          <w:jc w:val="center"/>
        </w:trPr>
        <w:tc>
          <w:tcPr>
            <w:tcW w:w="814" w:type="dxa"/>
            <w:vMerge w:val="continue"/>
            <w:tcBorders>
              <w:left w:val="single" w:color="auto" w:sz="4" w:space="0"/>
              <w:right w:val="single" w:color="auto" w:sz="4" w:space="0"/>
            </w:tcBorders>
            <w:noWrap w:val="0"/>
            <w:vAlign w:val="center"/>
          </w:tcPr>
          <w:p w14:paraId="4175357A">
            <w:pPr>
              <w:ind w:firstLine="480"/>
              <w:jc w:val="left"/>
              <w:rPr>
                <w:rFonts w:hint="default" w:ascii="Times New Roman" w:hAnsi="Times New Roman" w:eastAsia="宋体" w:cs="Times New Roman"/>
                <w:color w:val="auto"/>
                <w:kern w:val="0"/>
                <w:sz w:val="24"/>
                <w:szCs w:val="24"/>
              </w:rPr>
            </w:pPr>
          </w:p>
        </w:tc>
        <w:tc>
          <w:tcPr>
            <w:tcW w:w="818" w:type="dxa"/>
            <w:vMerge w:val="continue"/>
            <w:tcBorders>
              <w:left w:val="single" w:color="auto" w:sz="4" w:space="0"/>
              <w:bottom w:val="single" w:color="auto" w:sz="4" w:space="0"/>
              <w:right w:val="single" w:color="auto" w:sz="4" w:space="0"/>
            </w:tcBorders>
            <w:noWrap w:val="0"/>
            <w:vAlign w:val="center"/>
          </w:tcPr>
          <w:p w14:paraId="73733D0C">
            <w:pPr>
              <w:ind w:firstLine="480"/>
              <w:jc w:val="left"/>
              <w:rPr>
                <w:rFonts w:hint="default" w:ascii="Times New Roman" w:hAnsi="Times New Roman" w:eastAsia="宋体" w:cs="Times New Roman"/>
                <w:color w:val="auto"/>
                <w:kern w:val="0"/>
                <w:sz w:val="24"/>
                <w:szCs w:val="24"/>
              </w:rPr>
            </w:pPr>
          </w:p>
        </w:tc>
        <w:tc>
          <w:tcPr>
            <w:tcW w:w="1124" w:type="dxa"/>
            <w:vMerge w:val="continue"/>
            <w:tcBorders>
              <w:left w:val="nil"/>
              <w:bottom w:val="single" w:color="auto" w:sz="4" w:space="0"/>
              <w:right w:val="single" w:color="auto" w:sz="4" w:space="0"/>
            </w:tcBorders>
            <w:noWrap w:val="0"/>
            <w:vAlign w:val="center"/>
          </w:tcPr>
          <w:p w14:paraId="3605638A">
            <w:pPr>
              <w:jc w:val="center"/>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0"/>
            <w:vAlign w:val="center"/>
          </w:tcPr>
          <w:p w14:paraId="084CF108">
            <w:pP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0"/>
            <w:vAlign w:val="center"/>
          </w:tcPr>
          <w:p w14:paraId="48052633">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w:t>
            </w:r>
          </w:p>
        </w:tc>
        <w:tc>
          <w:tcPr>
            <w:tcW w:w="837" w:type="dxa"/>
            <w:tcBorders>
              <w:top w:val="nil"/>
              <w:left w:val="nil"/>
              <w:bottom w:val="single" w:color="auto" w:sz="4" w:space="0"/>
              <w:right w:val="single" w:color="auto" w:sz="4" w:space="0"/>
            </w:tcBorders>
            <w:noWrap w:val="0"/>
            <w:vAlign w:val="center"/>
          </w:tcPr>
          <w:p w14:paraId="284F02A9">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30532F40">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w:t>
            </w:r>
          </w:p>
        </w:tc>
        <w:tc>
          <w:tcPr>
            <w:tcW w:w="947" w:type="dxa"/>
            <w:tcBorders>
              <w:top w:val="nil"/>
              <w:left w:val="nil"/>
              <w:bottom w:val="single" w:color="auto" w:sz="4" w:space="0"/>
              <w:right w:val="single" w:color="auto" w:sz="4" w:space="0"/>
            </w:tcBorders>
            <w:noWrap w:val="0"/>
            <w:vAlign w:val="center"/>
          </w:tcPr>
          <w:p w14:paraId="3E8311F8">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275</w:t>
            </w:r>
          </w:p>
        </w:tc>
        <w:tc>
          <w:tcPr>
            <w:tcW w:w="1011" w:type="dxa"/>
            <w:tcBorders>
              <w:top w:val="nil"/>
              <w:left w:val="nil"/>
              <w:bottom w:val="single" w:color="auto" w:sz="4" w:space="0"/>
              <w:right w:val="single" w:color="auto" w:sz="4" w:space="0"/>
            </w:tcBorders>
            <w:noWrap w:val="0"/>
            <w:vAlign w:val="center"/>
          </w:tcPr>
          <w:p w14:paraId="656BC2A9">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1375</w:t>
            </w:r>
          </w:p>
        </w:tc>
      </w:tr>
      <w:tr w14:paraId="3B47362D">
        <w:tblPrEx>
          <w:tblCellMar>
            <w:top w:w="0" w:type="dxa"/>
            <w:left w:w="108" w:type="dxa"/>
            <w:bottom w:w="0" w:type="dxa"/>
            <w:right w:w="108" w:type="dxa"/>
          </w:tblCellMar>
        </w:tblPrEx>
        <w:trPr>
          <w:trHeight w:val="555" w:hRule="atLeast"/>
          <w:jc w:val="center"/>
        </w:trPr>
        <w:tc>
          <w:tcPr>
            <w:tcW w:w="814" w:type="dxa"/>
            <w:vMerge w:val="continue"/>
            <w:tcBorders>
              <w:left w:val="single" w:color="auto" w:sz="4" w:space="0"/>
              <w:right w:val="single" w:color="auto" w:sz="4" w:space="0"/>
            </w:tcBorders>
            <w:noWrap w:val="0"/>
            <w:vAlign w:val="center"/>
          </w:tcPr>
          <w:p w14:paraId="6F927AD9">
            <w:pPr>
              <w:ind w:firstLine="480"/>
              <w:jc w:val="left"/>
              <w:rPr>
                <w:rFonts w:hint="default" w:ascii="Times New Roman" w:hAnsi="Times New Roman" w:eastAsia="宋体" w:cs="Times New Roman"/>
                <w:color w:val="auto"/>
                <w:kern w:val="0"/>
                <w:sz w:val="24"/>
                <w:szCs w:val="24"/>
              </w:rPr>
            </w:pPr>
          </w:p>
        </w:tc>
        <w:tc>
          <w:tcPr>
            <w:tcW w:w="818" w:type="dxa"/>
            <w:vMerge w:val="restart"/>
            <w:tcBorders>
              <w:top w:val="nil"/>
              <w:left w:val="single" w:color="auto" w:sz="4" w:space="0"/>
              <w:right w:val="single" w:color="auto" w:sz="4" w:space="0"/>
            </w:tcBorders>
            <w:noWrap w:val="0"/>
            <w:vAlign w:val="center"/>
          </w:tcPr>
          <w:p w14:paraId="4321E777">
            <w:pPr>
              <w:ind w:left="240" w:hanging="240" w:hangingChars="1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五组团</w:t>
            </w:r>
          </w:p>
        </w:tc>
        <w:tc>
          <w:tcPr>
            <w:tcW w:w="1124" w:type="dxa"/>
            <w:vMerge w:val="restart"/>
            <w:tcBorders>
              <w:top w:val="nil"/>
              <w:left w:val="nil"/>
              <w:right w:val="single" w:color="auto" w:sz="4" w:space="0"/>
            </w:tcBorders>
            <w:noWrap w:val="0"/>
            <w:vAlign w:val="center"/>
          </w:tcPr>
          <w:p w14:paraId="23E059C5">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实训楼</w:t>
            </w:r>
          </w:p>
        </w:tc>
        <w:tc>
          <w:tcPr>
            <w:tcW w:w="2164" w:type="dxa"/>
            <w:tcBorders>
              <w:top w:val="nil"/>
              <w:left w:val="nil"/>
              <w:bottom w:val="single" w:color="auto" w:sz="4" w:space="0"/>
              <w:right w:val="single" w:color="auto" w:sz="4" w:space="0"/>
            </w:tcBorders>
            <w:noWrap w:val="0"/>
            <w:vAlign w:val="center"/>
          </w:tcPr>
          <w:p w14:paraId="57E45854">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厕所（含洗漱间）</w:t>
            </w:r>
          </w:p>
        </w:tc>
        <w:tc>
          <w:tcPr>
            <w:tcW w:w="868" w:type="dxa"/>
            <w:tcBorders>
              <w:top w:val="nil"/>
              <w:left w:val="nil"/>
              <w:bottom w:val="single" w:color="auto" w:sz="4" w:space="0"/>
              <w:right w:val="single" w:color="auto" w:sz="4" w:space="0"/>
            </w:tcBorders>
            <w:noWrap w:val="0"/>
            <w:vAlign w:val="center"/>
          </w:tcPr>
          <w:p w14:paraId="1AC77D53">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w:t>
            </w:r>
          </w:p>
        </w:tc>
        <w:tc>
          <w:tcPr>
            <w:tcW w:w="837" w:type="dxa"/>
            <w:tcBorders>
              <w:top w:val="nil"/>
              <w:left w:val="nil"/>
              <w:bottom w:val="single" w:color="auto" w:sz="4" w:space="0"/>
              <w:right w:val="single" w:color="auto" w:sz="4" w:space="0"/>
            </w:tcBorders>
            <w:noWrap w:val="0"/>
            <w:vAlign w:val="center"/>
          </w:tcPr>
          <w:p w14:paraId="1DDB1FE8">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837" w:type="dxa"/>
            <w:tcBorders>
              <w:top w:val="nil"/>
              <w:left w:val="nil"/>
              <w:bottom w:val="single" w:color="auto" w:sz="4" w:space="0"/>
              <w:right w:val="single" w:color="auto" w:sz="4" w:space="0"/>
            </w:tcBorders>
            <w:noWrap w:val="0"/>
            <w:vAlign w:val="center"/>
          </w:tcPr>
          <w:p w14:paraId="50B5AE7C">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10</w:t>
            </w:r>
          </w:p>
        </w:tc>
        <w:tc>
          <w:tcPr>
            <w:tcW w:w="947" w:type="dxa"/>
            <w:tcBorders>
              <w:top w:val="nil"/>
              <w:left w:val="nil"/>
              <w:bottom w:val="single" w:color="auto" w:sz="4" w:space="0"/>
              <w:right w:val="single" w:color="auto" w:sz="4" w:space="0"/>
            </w:tcBorders>
            <w:noWrap w:val="0"/>
            <w:vAlign w:val="center"/>
          </w:tcPr>
          <w:p w14:paraId="7D996EE3">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w:t>
            </w:r>
          </w:p>
        </w:tc>
        <w:tc>
          <w:tcPr>
            <w:tcW w:w="1011" w:type="dxa"/>
            <w:tcBorders>
              <w:top w:val="nil"/>
              <w:left w:val="nil"/>
              <w:bottom w:val="single" w:color="auto" w:sz="4" w:space="0"/>
              <w:right w:val="single" w:color="auto" w:sz="4" w:space="0"/>
            </w:tcBorders>
            <w:noWrap w:val="0"/>
            <w:vAlign w:val="center"/>
          </w:tcPr>
          <w:p w14:paraId="118B7AF5">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300</w:t>
            </w:r>
          </w:p>
        </w:tc>
      </w:tr>
      <w:tr w14:paraId="1D671578">
        <w:tblPrEx>
          <w:tblCellMar>
            <w:top w:w="0" w:type="dxa"/>
            <w:left w:w="108" w:type="dxa"/>
            <w:bottom w:w="0" w:type="dxa"/>
            <w:right w:w="108" w:type="dxa"/>
          </w:tblCellMar>
        </w:tblPrEx>
        <w:trPr>
          <w:trHeight w:val="555" w:hRule="atLeast"/>
          <w:jc w:val="center"/>
        </w:trPr>
        <w:tc>
          <w:tcPr>
            <w:tcW w:w="814" w:type="dxa"/>
            <w:vMerge w:val="continue"/>
            <w:tcBorders>
              <w:left w:val="single" w:color="auto" w:sz="4" w:space="0"/>
              <w:right w:val="single" w:color="auto" w:sz="4" w:space="0"/>
            </w:tcBorders>
            <w:noWrap w:val="0"/>
            <w:vAlign w:val="center"/>
          </w:tcPr>
          <w:p w14:paraId="144DEA41">
            <w:pPr>
              <w:ind w:firstLine="480"/>
              <w:jc w:val="left"/>
              <w:rPr>
                <w:rFonts w:hint="default" w:ascii="Times New Roman" w:hAnsi="Times New Roman" w:eastAsia="宋体" w:cs="Times New Roman"/>
                <w:color w:val="auto"/>
                <w:kern w:val="0"/>
                <w:sz w:val="24"/>
                <w:szCs w:val="24"/>
              </w:rPr>
            </w:pPr>
          </w:p>
        </w:tc>
        <w:tc>
          <w:tcPr>
            <w:tcW w:w="818" w:type="dxa"/>
            <w:vMerge w:val="continue"/>
            <w:tcBorders>
              <w:left w:val="single" w:color="auto" w:sz="4" w:space="0"/>
              <w:bottom w:val="single" w:color="auto" w:sz="4" w:space="0"/>
              <w:right w:val="single" w:color="auto" w:sz="4" w:space="0"/>
            </w:tcBorders>
            <w:noWrap w:val="0"/>
            <w:vAlign w:val="center"/>
          </w:tcPr>
          <w:p w14:paraId="5D6477C6">
            <w:pPr>
              <w:ind w:left="240" w:hanging="240" w:hangingChars="100"/>
              <w:jc w:val="left"/>
              <w:rPr>
                <w:rFonts w:hint="default" w:ascii="Times New Roman" w:hAnsi="Times New Roman" w:eastAsia="宋体" w:cs="Times New Roman"/>
                <w:color w:val="auto"/>
                <w:kern w:val="0"/>
                <w:sz w:val="24"/>
                <w:szCs w:val="24"/>
              </w:rPr>
            </w:pPr>
          </w:p>
        </w:tc>
        <w:tc>
          <w:tcPr>
            <w:tcW w:w="1124" w:type="dxa"/>
            <w:vMerge w:val="continue"/>
            <w:tcBorders>
              <w:left w:val="nil"/>
              <w:bottom w:val="single" w:color="auto" w:sz="4" w:space="0"/>
              <w:right w:val="single" w:color="auto" w:sz="4" w:space="0"/>
            </w:tcBorders>
            <w:noWrap w:val="0"/>
            <w:vAlign w:val="center"/>
          </w:tcPr>
          <w:p w14:paraId="15386163">
            <w:pPr>
              <w:jc w:val="center"/>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0"/>
            <w:vAlign w:val="center"/>
          </w:tcPr>
          <w:p w14:paraId="31942B40">
            <w:pP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0"/>
            <w:vAlign w:val="center"/>
          </w:tcPr>
          <w:p w14:paraId="2B3CD960">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w:t>
            </w:r>
          </w:p>
        </w:tc>
        <w:tc>
          <w:tcPr>
            <w:tcW w:w="837" w:type="dxa"/>
            <w:tcBorders>
              <w:top w:val="nil"/>
              <w:left w:val="nil"/>
              <w:bottom w:val="single" w:color="auto" w:sz="4" w:space="0"/>
              <w:right w:val="single" w:color="auto" w:sz="4" w:space="0"/>
            </w:tcBorders>
            <w:noWrap w:val="0"/>
            <w:vAlign w:val="center"/>
          </w:tcPr>
          <w:p w14:paraId="0887110B">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4BAF1DCC">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w:t>
            </w:r>
          </w:p>
        </w:tc>
        <w:tc>
          <w:tcPr>
            <w:tcW w:w="947" w:type="dxa"/>
            <w:tcBorders>
              <w:top w:val="nil"/>
              <w:left w:val="nil"/>
              <w:bottom w:val="single" w:color="auto" w:sz="4" w:space="0"/>
              <w:right w:val="single" w:color="auto" w:sz="4" w:space="0"/>
            </w:tcBorders>
            <w:noWrap w:val="0"/>
            <w:vAlign w:val="center"/>
          </w:tcPr>
          <w:p w14:paraId="7BBFE41D">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290</w:t>
            </w:r>
          </w:p>
        </w:tc>
        <w:tc>
          <w:tcPr>
            <w:tcW w:w="1011" w:type="dxa"/>
            <w:tcBorders>
              <w:top w:val="nil"/>
              <w:left w:val="nil"/>
              <w:bottom w:val="single" w:color="auto" w:sz="4" w:space="0"/>
              <w:right w:val="single" w:color="auto" w:sz="4" w:space="0"/>
            </w:tcBorders>
            <w:noWrap w:val="0"/>
            <w:vAlign w:val="center"/>
          </w:tcPr>
          <w:p w14:paraId="061F5ADA">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1450</w:t>
            </w:r>
          </w:p>
        </w:tc>
      </w:tr>
      <w:tr w14:paraId="333B21AC">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3257AF34">
            <w:pPr>
              <w:ind w:firstLine="480"/>
              <w:jc w:val="left"/>
              <w:rPr>
                <w:rFonts w:hint="default" w:ascii="Times New Roman" w:hAnsi="Times New Roman" w:eastAsia="宋体" w:cs="Times New Roman"/>
                <w:color w:val="auto"/>
                <w:kern w:val="0"/>
                <w:sz w:val="24"/>
                <w:szCs w:val="24"/>
              </w:rPr>
            </w:pPr>
          </w:p>
        </w:tc>
        <w:tc>
          <w:tcPr>
            <w:tcW w:w="818" w:type="dxa"/>
            <w:vMerge w:val="restart"/>
            <w:tcBorders>
              <w:top w:val="nil"/>
              <w:left w:val="single" w:color="auto" w:sz="4" w:space="0"/>
              <w:right w:val="single" w:color="auto" w:sz="4" w:space="0"/>
            </w:tcBorders>
            <w:noWrap w:val="0"/>
            <w:vAlign w:val="center"/>
          </w:tcPr>
          <w:p w14:paraId="7E0BD18E">
            <w:pP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宿舍楼</w:t>
            </w:r>
          </w:p>
        </w:tc>
        <w:tc>
          <w:tcPr>
            <w:tcW w:w="1124" w:type="dxa"/>
            <w:vMerge w:val="restart"/>
            <w:tcBorders>
              <w:top w:val="nil"/>
              <w:left w:val="single" w:color="auto" w:sz="4" w:space="0"/>
              <w:bottom w:val="single" w:color="auto" w:sz="4" w:space="0"/>
              <w:right w:val="single" w:color="auto" w:sz="4" w:space="0"/>
            </w:tcBorders>
            <w:noWrap w:val="0"/>
            <w:vAlign w:val="center"/>
          </w:tcPr>
          <w:p w14:paraId="27359A2C">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1号宿舍楼</w:t>
            </w:r>
          </w:p>
        </w:tc>
        <w:tc>
          <w:tcPr>
            <w:tcW w:w="2164" w:type="dxa"/>
            <w:tcBorders>
              <w:top w:val="nil"/>
              <w:left w:val="nil"/>
              <w:bottom w:val="single" w:color="auto" w:sz="4" w:space="0"/>
              <w:right w:val="single" w:color="auto" w:sz="4" w:space="0"/>
            </w:tcBorders>
            <w:noWrap w:val="0"/>
            <w:vAlign w:val="center"/>
          </w:tcPr>
          <w:p w14:paraId="2D32E611">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w:t>
            </w:r>
          </w:p>
        </w:tc>
        <w:tc>
          <w:tcPr>
            <w:tcW w:w="868" w:type="dxa"/>
            <w:tcBorders>
              <w:top w:val="nil"/>
              <w:left w:val="nil"/>
              <w:bottom w:val="single" w:color="auto" w:sz="4" w:space="0"/>
              <w:right w:val="single" w:color="auto" w:sz="4" w:space="0"/>
            </w:tcBorders>
            <w:noWrap w:val="0"/>
            <w:vAlign w:val="center"/>
          </w:tcPr>
          <w:p w14:paraId="34AA8E07">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0"/>
            <w:vAlign w:val="center"/>
          </w:tcPr>
          <w:p w14:paraId="5AC0CDFF">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w:t>
            </w:r>
          </w:p>
        </w:tc>
        <w:tc>
          <w:tcPr>
            <w:tcW w:w="837" w:type="dxa"/>
            <w:tcBorders>
              <w:top w:val="nil"/>
              <w:left w:val="nil"/>
              <w:bottom w:val="single" w:color="auto" w:sz="4" w:space="0"/>
              <w:right w:val="single" w:color="auto" w:sz="4" w:space="0"/>
            </w:tcBorders>
            <w:noWrap w:val="0"/>
            <w:vAlign w:val="center"/>
          </w:tcPr>
          <w:p w14:paraId="535B228A">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18</w:t>
            </w:r>
          </w:p>
        </w:tc>
        <w:tc>
          <w:tcPr>
            <w:tcW w:w="947" w:type="dxa"/>
            <w:tcBorders>
              <w:top w:val="nil"/>
              <w:left w:val="nil"/>
              <w:bottom w:val="single" w:color="auto" w:sz="4" w:space="0"/>
              <w:right w:val="single" w:color="auto" w:sz="4" w:space="0"/>
            </w:tcBorders>
            <w:noWrap w:val="0"/>
            <w:vAlign w:val="center"/>
          </w:tcPr>
          <w:p w14:paraId="280A4453">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w:t>
            </w:r>
          </w:p>
        </w:tc>
        <w:tc>
          <w:tcPr>
            <w:tcW w:w="1011" w:type="dxa"/>
            <w:tcBorders>
              <w:top w:val="nil"/>
              <w:left w:val="nil"/>
              <w:bottom w:val="single" w:color="auto" w:sz="4" w:space="0"/>
              <w:right w:val="single" w:color="auto" w:sz="4" w:space="0"/>
            </w:tcBorders>
            <w:noWrap w:val="0"/>
            <w:vAlign w:val="center"/>
          </w:tcPr>
          <w:p w14:paraId="64A4C672">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540</w:t>
            </w:r>
          </w:p>
        </w:tc>
      </w:tr>
      <w:tr w14:paraId="30F6D0AB">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34B4765F">
            <w:pPr>
              <w:ind w:firstLine="480"/>
              <w:jc w:val="left"/>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08422FCF">
            <w:pPr>
              <w:ind w:firstLine="480"/>
              <w:jc w:val="left"/>
              <w:rPr>
                <w:rFonts w:hint="default" w:ascii="Times New Roman" w:hAnsi="Times New Roman" w:eastAsia="宋体" w:cs="Times New Roman"/>
                <w:color w:val="auto"/>
                <w:kern w:val="0"/>
                <w:sz w:val="24"/>
                <w:szCs w:val="24"/>
              </w:rPr>
            </w:pPr>
          </w:p>
        </w:tc>
        <w:tc>
          <w:tcPr>
            <w:tcW w:w="1124" w:type="dxa"/>
            <w:vMerge w:val="continue"/>
            <w:tcBorders>
              <w:top w:val="nil"/>
              <w:left w:val="single" w:color="auto" w:sz="4" w:space="0"/>
              <w:bottom w:val="single" w:color="auto" w:sz="4" w:space="0"/>
              <w:right w:val="single" w:color="auto" w:sz="4" w:space="0"/>
            </w:tcBorders>
            <w:noWrap w:val="0"/>
            <w:vAlign w:val="center"/>
          </w:tcPr>
          <w:p w14:paraId="28AEDF75">
            <w:pPr>
              <w:jc w:val="center"/>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ign w:val="center"/>
          </w:tcPr>
          <w:p w14:paraId="21CA5E89">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洗漱间</w:t>
            </w:r>
          </w:p>
        </w:tc>
        <w:tc>
          <w:tcPr>
            <w:tcW w:w="868" w:type="dxa"/>
            <w:tcBorders>
              <w:top w:val="nil"/>
              <w:left w:val="nil"/>
              <w:bottom w:val="single" w:color="auto" w:sz="4" w:space="0"/>
              <w:right w:val="single" w:color="auto" w:sz="4" w:space="0"/>
            </w:tcBorders>
            <w:noWrap/>
            <w:vAlign w:val="center"/>
          </w:tcPr>
          <w:p w14:paraId="0C57AE0D">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ign w:val="center"/>
          </w:tcPr>
          <w:p w14:paraId="4A26F4AB">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w:t>
            </w:r>
          </w:p>
        </w:tc>
        <w:tc>
          <w:tcPr>
            <w:tcW w:w="837" w:type="dxa"/>
            <w:tcBorders>
              <w:top w:val="nil"/>
              <w:left w:val="nil"/>
              <w:bottom w:val="single" w:color="auto" w:sz="4" w:space="0"/>
              <w:right w:val="single" w:color="auto" w:sz="4" w:space="0"/>
            </w:tcBorders>
            <w:noWrap w:val="0"/>
            <w:vAlign w:val="center"/>
          </w:tcPr>
          <w:p w14:paraId="2F7D3F34">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18</w:t>
            </w:r>
          </w:p>
        </w:tc>
        <w:tc>
          <w:tcPr>
            <w:tcW w:w="947" w:type="dxa"/>
            <w:tcBorders>
              <w:top w:val="nil"/>
              <w:left w:val="nil"/>
              <w:bottom w:val="single" w:color="auto" w:sz="4" w:space="0"/>
              <w:right w:val="single" w:color="auto" w:sz="4" w:space="0"/>
            </w:tcBorders>
            <w:noWrap/>
            <w:vAlign w:val="center"/>
          </w:tcPr>
          <w:p w14:paraId="09FEDA3A">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w:t>
            </w:r>
          </w:p>
        </w:tc>
        <w:tc>
          <w:tcPr>
            <w:tcW w:w="1011" w:type="dxa"/>
            <w:tcBorders>
              <w:top w:val="nil"/>
              <w:left w:val="nil"/>
              <w:bottom w:val="single" w:color="auto" w:sz="4" w:space="0"/>
              <w:right w:val="single" w:color="auto" w:sz="4" w:space="0"/>
            </w:tcBorders>
            <w:noWrap w:val="0"/>
            <w:vAlign w:val="center"/>
          </w:tcPr>
          <w:p w14:paraId="28A668C1">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540</w:t>
            </w:r>
          </w:p>
        </w:tc>
      </w:tr>
      <w:tr w14:paraId="77E28BC0">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67922D37">
            <w:pPr>
              <w:ind w:firstLine="480"/>
              <w:jc w:val="left"/>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53E6D19B">
            <w:pPr>
              <w:ind w:firstLine="480"/>
              <w:jc w:val="left"/>
              <w:rPr>
                <w:rFonts w:hint="default" w:ascii="Times New Roman" w:hAnsi="Times New Roman" w:eastAsia="宋体" w:cs="Times New Roman"/>
                <w:color w:val="auto"/>
                <w:kern w:val="0"/>
                <w:sz w:val="24"/>
                <w:szCs w:val="24"/>
              </w:rPr>
            </w:pPr>
          </w:p>
        </w:tc>
        <w:tc>
          <w:tcPr>
            <w:tcW w:w="1124" w:type="dxa"/>
            <w:vMerge w:val="continue"/>
            <w:tcBorders>
              <w:top w:val="nil"/>
              <w:left w:val="single" w:color="auto" w:sz="4" w:space="0"/>
              <w:bottom w:val="single" w:color="auto" w:sz="4" w:space="0"/>
              <w:right w:val="single" w:color="auto" w:sz="4" w:space="0"/>
            </w:tcBorders>
            <w:noWrap w:val="0"/>
            <w:vAlign w:val="center"/>
          </w:tcPr>
          <w:p w14:paraId="4D06FEB7">
            <w:pPr>
              <w:jc w:val="center"/>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ign w:val="center"/>
          </w:tcPr>
          <w:p w14:paraId="6C8FF3FF">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ign w:val="center"/>
          </w:tcPr>
          <w:p w14:paraId="2903F2F2">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ign w:val="center"/>
          </w:tcPr>
          <w:p w14:paraId="36B291D1">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32392D62">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947" w:type="dxa"/>
            <w:tcBorders>
              <w:top w:val="nil"/>
              <w:left w:val="nil"/>
              <w:bottom w:val="single" w:color="auto" w:sz="4" w:space="0"/>
              <w:right w:val="single" w:color="auto" w:sz="4" w:space="0"/>
            </w:tcBorders>
            <w:noWrap/>
            <w:vAlign w:val="center"/>
          </w:tcPr>
          <w:p w14:paraId="1A4EC58A">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280</w:t>
            </w:r>
          </w:p>
        </w:tc>
        <w:tc>
          <w:tcPr>
            <w:tcW w:w="1011" w:type="dxa"/>
            <w:tcBorders>
              <w:top w:val="nil"/>
              <w:left w:val="nil"/>
              <w:bottom w:val="single" w:color="auto" w:sz="4" w:space="0"/>
              <w:right w:val="single" w:color="auto" w:sz="4" w:space="0"/>
            </w:tcBorders>
            <w:noWrap w:val="0"/>
            <w:vAlign w:val="center"/>
          </w:tcPr>
          <w:p w14:paraId="39F5904B">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1680</w:t>
            </w:r>
          </w:p>
        </w:tc>
      </w:tr>
      <w:tr w14:paraId="4FD6A088">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59A3A1D2">
            <w:pPr>
              <w:ind w:firstLine="480"/>
              <w:jc w:val="left"/>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0FF77BA0">
            <w:pPr>
              <w:ind w:firstLine="480"/>
              <w:jc w:val="left"/>
              <w:rPr>
                <w:rFonts w:hint="default" w:ascii="Times New Roman" w:hAnsi="Times New Roman" w:eastAsia="宋体" w:cs="Times New Roman"/>
                <w:color w:val="auto"/>
                <w:kern w:val="0"/>
                <w:sz w:val="24"/>
                <w:szCs w:val="24"/>
              </w:rPr>
            </w:pPr>
          </w:p>
        </w:tc>
        <w:tc>
          <w:tcPr>
            <w:tcW w:w="1124" w:type="dxa"/>
            <w:vMerge w:val="restart"/>
            <w:tcBorders>
              <w:top w:val="nil"/>
              <w:left w:val="single" w:color="auto" w:sz="4" w:space="0"/>
              <w:bottom w:val="single" w:color="auto" w:sz="4" w:space="0"/>
              <w:right w:val="single" w:color="auto" w:sz="4" w:space="0"/>
            </w:tcBorders>
            <w:noWrap w:val="0"/>
            <w:vAlign w:val="center"/>
          </w:tcPr>
          <w:p w14:paraId="5C316F43">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2号宿舍楼</w:t>
            </w:r>
          </w:p>
        </w:tc>
        <w:tc>
          <w:tcPr>
            <w:tcW w:w="2164" w:type="dxa"/>
            <w:tcBorders>
              <w:top w:val="nil"/>
              <w:left w:val="nil"/>
              <w:bottom w:val="single" w:color="auto" w:sz="4" w:space="0"/>
              <w:right w:val="single" w:color="auto" w:sz="4" w:space="0"/>
            </w:tcBorders>
            <w:noWrap w:val="0"/>
            <w:vAlign w:val="center"/>
          </w:tcPr>
          <w:p w14:paraId="14B5AC8D">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w:t>
            </w:r>
          </w:p>
        </w:tc>
        <w:tc>
          <w:tcPr>
            <w:tcW w:w="868" w:type="dxa"/>
            <w:tcBorders>
              <w:top w:val="nil"/>
              <w:left w:val="nil"/>
              <w:bottom w:val="single" w:color="auto" w:sz="4" w:space="0"/>
              <w:right w:val="single" w:color="auto" w:sz="4" w:space="0"/>
            </w:tcBorders>
            <w:noWrap w:val="0"/>
            <w:vAlign w:val="center"/>
          </w:tcPr>
          <w:p w14:paraId="07E8495E">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0"/>
            <w:vAlign w:val="center"/>
          </w:tcPr>
          <w:p w14:paraId="6A6F7158">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w:t>
            </w:r>
          </w:p>
        </w:tc>
        <w:tc>
          <w:tcPr>
            <w:tcW w:w="837" w:type="dxa"/>
            <w:tcBorders>
              <w:top w:val="nil"/>
              <w:left w:val="nil"/>
              <w:bottom w:val="single" w:color="auto" w:sz="4" w:space="0"/>
              <w:right w:val="single" w:color="auto" w:sz="4" w:space="0"/>
            </w:tcBorders>
            <w:noWrap w:val="0"/>
            <w:vAlign w:val="center"/>
          </w:tcPr>
          <w:p w14:paraId="554866B2">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18</w:t>
            </w:r>
          </w:p>
        </w:tc>
        <w:tc>
          <w:tcPr>
            <w:tcW w:w="947" w:type="dxa"/>
            <w:tcBorders>
              <w:top w:val="nil"/>
              <w:left w:val="nil"/>
              <w:bottom w:val="single" w:color="auto" w:sz="4" w:space="0"/>
              <w:right w:val="single" w:color="auto" w:sz="4" w:space="0"/>
            </w:tcBorders>
            <w:noWrap w:val="0"/>
            <w:vAlign w:val="center"/>
          </w:tcPr>
          <w:p w14:paraId="79DD9E6E">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w:t>
            </w:r>
          </w:p>
        </w:tc>
        <w:tc>
          <w:tcPr>
            <w:tcW w:w="1011" w:type="dxa"/>
            <w:tcBorders>
              <w:top w:val="nil"/>
              <w:left w:val="nil"/>
              <w:bottom w:val="single" w:color="auto" w:sz="4" w:space="0"/>
              <w:right w:val="single" w:color="auto" w:sz="4" w:space="0"/>
            </w:tcBorders>
            <w:noWrap w:val="0"/>
            <w:vAlign w:val="center"/>
          </w:tcPr>
          <w:p w14:paraId="74A21E39">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540</w:t>
            </w:r>
          </w:p>
        </w:tc>
      </w:tr>
      <w:tr w14:paraId="68341050">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4CC6B9DD">
            <w:pPr>
              <w:ind w:firstLine="480"/>
              <w:jc w:val="left"/>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24265324">
            <w:pPr>
              <w:ind w:firstLine="480"/>
              <w:jc w:val="left"/>
              <w:rPr>
                <w:rFonts w:hint="default" w:ascii="Times New Roman" w:hAnsi="Times New Roman" w:eastAsia="宋体" w:cs="Times New Roman"/>
                <w:color w:val="auto"/>
                <w:kern w:val="0"/>
                <w:sz w:val="24"/>
                <w:szCs w:val="24"/>
              </w:rPr>
            </w:pPr>
          </w:p>
        </w:tc>
        <w:tc>
          <w:tcPr>
            <w:tcW w:w="1124" w:type="dxa"/>
            <w:vMerge w:val="continue"/>
            <w:tcBorders>
              <w:top w:val="nil"/>
              <w:left w:val="single" w:color="auto" w:sz="4" w:space="0"/>
              <w:bottom w:val="single" w:color="auto" w:sz="4" w:space="0"/>
              <w:right w:val="single" w:color="auto" w:sz="4" w:space="0"/>
            </w:tcBorders>
            <w:noWrap w:val="0"/>
            <w:vAlign w:val="center"/>
          </w:tcPr>
          <w:p w14:paraId="37F88AF0">
            <w:pPr>
              <w:jc w:val="center"/>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ign w:val="center"/>
          </w:tcPr>
          <w:p w14:paraId="5AD2B504">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洗漱间</w:t>
            </w:r>
          </w:p>
        </w:tc>
        <w:tc>
          <w:tcPr>
            <w:tcW w:w="868" w:type="dxa"/>
            <w:tcBorders>
              <w:top w:val="nil"/>
              <w:left w:val="nil"/>
              <w:bottom w:val="single" w:color="auto" w:sz="4" w:space="0"/>
              <w:right w:val="single" w:color="auto" w:sz="4" w:space="0"/>
            </w:tcBorders>
            <w:noWrap/>
            <w:vAlign w:val="center"/>
          </w:tcPr>
          <w:p w14:paraId="557BF577">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ign w:val="center"/>
          </w:tcPr>
          <w:p w14:paraId="70397009">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w:t>
            </w:r>
          </w:p>
        </w:tc>
        <w:tc>
          <w:tcPr>
            <w:tcW w:w="837" w:type="dxa"/>
            <w:tcBorders>
              <w:top w:val="nil"/>
              <w:left w:val="nil"/>
              <w:bottom w:val="single" w:color="auto" w:sz="4" w:space="0"/>
              <w:right w:val="single" w:color="auto" w:sz="4" w:space="0"/>
            </w:tcBorders>
            <w:noWrap w:val="0"/>
            <w:vAlign w:val="center"/>
          </w:tcPr>
          <w:p w14:paraId="4423F1C3">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18</w:t>
            </w:r>
          </w:p>
        </w:tc>
        <w:tc>
          <w:tcPr>
            <w:tcW w:w="947" w:type="dxa"/>
            <w:tcBorders>
              <w:top w:val="nil"/>
              <w:left w:val="nil"/>
              <w:bottom w:val="single" w:color="auto" w:sz="4" w:space="0"/>
              <w:right w:val="single" w:color="auto" w:sz="4" w:space="0"/>
            </w:tcBorders>
            <w:noWrap/>
            <w:vAlign w:val="center"/>
          </w:tcPr>
          <w:p w14:paraId="4C3000BE">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w:t>
            </w:r>
          </w:p>
        </w:tc>
        <w:tc>
          <w:tcPr>
            <w:tcW w:w="1011" w:type="dxa"/>
            <w:tcBorders>
              <w:top w:val="nil"/>
              <w:left w:val="nil"/>
              <w:bottom w:val="single" w:color="auto" w:sz="4" w:space="0"/>
              <w:right w:val="single" w:color="auto" w:sz="4" w:space="0"/>
            </w:tcBorders>
            <w:noWrap w:val="0"/>
            <w:vAlign w:val="center"/>
          </w:tcPr>
          <w:p w14:paraId="06AE8253">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540</w:t>
            </w:r>
          </w:p>
        </w:tc>
      </w:tr>
      <w:tr w14:paraId="649874AB">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2E2DF7E0">
            <w:pPr>
              <w:ind w:firstLine="480"/>
              <w:jc w:val="left"/>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400B4547">
            <w:pPr>
              <w:ind w:firstLine="480"/>
              <w:jc w:val="left"/>
              <w:rPr>
                <w:rFonts w:hint="default" w:ascii="Times New Roman" w:hAnsi="Times New Roman" w:eastAsia="宋体" w:cs="Times New Roman"/>
                <w:color w:val="auto"/>
                <w:kern w:val="0"/>
                <w:sz w:val="24"/>
                <w:szCs w:val="24"/>
              </w:rPr>
            </w:pPr>
          </w:p>
        </w:tc>
        <w:tc>
          <w:tcPr>
            <w:tcW w:w="1124" w:type="dxa"/>
            <w:vMerge w:val="continue"/>
            <w:tcBorders>
              <w:top w:val="nil"/>
              <w:left w:val="single" w:color="auto" w:sz="4" w:space="0"/>
              <w:bottom w:val="single" w:color="auto" w:sz="4" w:space="0"/>
              <w:right w:val="single" w:color="auto" w:sz="4" w:space="0"/>
            </w:tcBorders>
            <w:noWrap w:val="0"/>
            <w:vAlign w:val="center"/>
          </w:tcPr>
          <w:p w14:paraId="2B9C0395">
            <w:pPr>
              <w:jc w:val="center"/>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ign w:val="center"/>
          </w:tcPr>
          <w:p w14:paraId="13A08562">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ign w:val="center"/>
          </w:tcPr>
          <w:p w14:paraId="0CEC0C42">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ign w:val="center"/>
          </w:tcPr>
          <w:p w14:paraId="76E85C61">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3CD4C46E">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947" w:type="dxa"/>
            <w:tcBorders>
              <w:top w:val="nil"/>
              <w:left w:val="nil"/>
              <w:bottom w:val="single" w:color="auto" w:sz="4" w:space="0"/>
              <w:right w:val="single" w:color="auto" w:sz="4" w:space="0"/>
            </w:tcBorders>
            <w:noWrap/>
            <w:vAlign w:val="center"/>
          </w:tcPr>
          <w:p w14:paraId="0F39C7AD">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240</w:t>
            </w:r>
          </w:p>
        </w:tc>
        <w:tc>
          <w:tcPr>
            <w:tcW w:w="1011" w:type="dxa"/>
            <w:tcBorders>
              <w:top w:val="nil"/>
              <w:left w:val="nil"/>
              <w:bottom w:val="single" w:color="auto" w:sz="4" w:space="0"/>
              <w:right w:val="single" w:color="auto" w:sz="4" w:space="0"/>
            </w:tcBorders>
            <w:noWrap w:val="0"/>
            <w:vAlign w:val="center"/>
          </w:tcPr>
          <w:p w14:paraId="08A69F49">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1440</w:t>
            </w:r>
          </w:p>
        </w:tc>
      </w:tr>
      <w:tr w14:paraId="0D54B56F">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6074F455">
            <w:pPr>
              <w:ind w:firstLine="480"/>
              <w:jc w:val="left"/>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7221A250">
            <w:pPr>
              <w:ind w:firstLine="480"/>
              <w:jc w:val="left"/>
              <w:rPr>
                <w:rFonts w:hint="default" w:ascii="Times New Roman" w:hAnsi="Times New Roman" w:eastAsia="宋体" w:cs="Times New Roman"/>
                <w:color w:val="auto"/>
                <w:kern w:val="0"/>
                <w:sz w:val="24"/>
                <w:szCs w:val="24"/>
              </w:rPr>
            </w:pPr>
          </w:p>
        </w:tc>
        <w:tc>
          <w:tcPr>
            <w:tcW w:w="1124" w:type="dxa"/>
            <w:vMerge w:val="restart"/>
            <w:tcBorders>
              <w:top w:val="nil"/>
              <w:left w:val="single" w:color="auto" w:sz="4" w:space="0"/>
              <w:bottom w:val="single" w:color="auto" w:sz="4" w:space="0"/>
              <w:right w:val="single" w:color="auto" w:sz="4" w:space="0"/>
            </w:tcBorders>
            <w:noWrap w:val="0"/>
            <w:vAlign w:val="center"/>
          </w:tcPr>
          <w:p w14:paraId="0FCDCA3D">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3号宿舍楼</w:t>
            </w:r>
          </w:p>
        </w:tc>
        <w:tc>
          <w:tcPr>
            <w:tcW w:w="2164" w:type="dxa"/>
            <w:tcBorders>
              <w:top w:val="nil"/>
              <w:left w:val="nil"/>
              <w:bottom w:val="single" w:color="auto" w:sz="4" w:space="0"/>
              <w:right w:val="single" w:color="auto" w:sz="4" w:space="0"/>
            </w:tcBorders>
            <w:noWrap w:val="0"/>
            <w:vAlign w:val="center"/>
          </w:tcPr>
          <w:p w14:paraId="20851541">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w:t>
            </w:r>
          </w:p>
        </w:tc>
        <w:tc>
          <w:tcPr>
            <w:tcW w:w="868" w:type="dxa"/>
            <w:tcBorders>
              <w:top w:val="nil"/>
              <w:left w:val="nil"/>
              <w:bottom w:val="single" w:color="auto" w:sz="4" w:space="0"/>
              <w:right w:val="single" w:color="auto" w:sz="4" w:space="0"/>
            </w:tcBorders>
            <w:noWrap w:val="0"/>
            <w:vAlign w:val="center"/>
          </w:tcPr>
          <w:p w14:paraId="05EB42C9">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0"/>
            <w:vAlign w:val="center"/>
          </w:tcPr>
          <w:p w14:paraId="6C1773DA">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w:t>
            </w:r>
          </w:p>
        </w:tc>
        <w:tc>
          <w:tcPr>
            <w:tcW w:w="837" w:type="dxa"/>
            <w:tcBorders>
              <w:top w:val="nil"/>
              <w:left w:val="nil"/>
              <w:bottom w:val="single" w:color="auto" w:sz="4" w:space="0"/>
              <w:right w:val="single" w:color="auto" w:sz="4" w:space="0"/>
            </w:tcBorders>
            <w:noWrap w:val="0"/>
            <w:vAlign w:val="center"/>
          </w:tcPr>
          <w:p w14:paraId="22BBB94E">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18</w:t>
            </w:r>
          </w:p>
        </w:tc>
        <w:tc>
          <w:tcPr>
            <w:tcW w:w="947" w:type="dxa"/>
            <w:tcBorders>
              <w:top w:val="nil"/>
              <w:left w:val="nil"/>
              <w:bottom w:val="single" w:color="auto" w:sz="4" w:space="0"/>
              <w:right w:val="single" w:color="auto" w:sz="4" w:space="0"/>
            </w:tcBorders>
            <w:noWrap w:val="0"/>
            <w:vAlign w:val="center"/>
          </w:tcPr>
          <w:p w14:paraId="4D3D872B">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w:t>
            </w:r>
          </w:p>
        </w:tc>
        <w:tc>
          <w:tcPr>
            <w:tcW w:w="1011" w:type="dxa"/>
            <w:tcBorders>
              <w:top w:val="nil"/>
              <w:left w:val="nil"/>
              <w:bottom w:val="single" w:color="auto" w:sz="4" w:space="0"/>
              <w:right w:val="single" w:color="auto" w:sz="4" w:space="0"/>
            </w:tcBorders>
            <w:noWrap w:val="0"/>
            <w:vAlign w:val="center"/>
          </w:tcPr>
          <w:p w14:paraId="6DD64771">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540</w:t>
            </w:r>
          </w:p>
        </w:tc>
      </w:tr>
      <w:tr w14:paraId="5DF36776">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620F12B6">
            <w:pPr>
              <w:ind w:firstLine="480"/>
              <w:jc w:val="left"/>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5AB416D3">
            <w:pPr>
              <w:ind w:firstLine="480"/>
              <w:jc w:val="left"/>
              <w:rPr>
                <w:rFonts w:hint="default" w:ascii="Times New Roman" w:hAnsi="Times New Roman" w:eastAsia="宋体" w:cs="Times New Roman"/>
                <w:color w:val="auto"/>
                <w:kern w:val="0"/>
                <w:sz w:val="24"/>
                <w:szCs w:val="24"/>
              </w:rPr>
            </w:pPr>
          </w:p>
        </w:tc>
        <w:tc>
          <w:tcPr>
            <w:tcW w:w="1124" w:type="dxa"/>
            <w:vMerge w:val="continue"/>
            <w:tcBorders>
              <w:top w:val="nil"/>
              <w:left w:val="single" w:color="auto" w:sz="4" w:space="0"/>
              <w:bottom w:val="single" w:color="auto" w:sz="4" w:space="0"/>
              <w:right w:val="single" w:color="auto" w:sz="4" w:space="0"/>
            </w:tcBorders>
            <w:noWrap w:val="0"/>
            <w:vAlign w:val="center"/>
          </w:tcPr>
          <w:p w14:paraId="34BE89A9">
            <w:pPr>
              <w:jc w:val="center"/>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ign w:val="center"/>
          </w:tcPr>
          <w:p w14:paraId="7DF72520">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洗漱间</w:t>
            </w:r>
          </w:p>
        </w:tc>
        <w:tc>
          <w:tcPr>
            <w:tcW w:w="868" w:type="dxa"/>
            <w:tcBorders>
              <w:top w:val="nil"/>
              <w:left w:val="nil"/>
              <w:bottom w:val="single" w:color="auto" w:sz="4" w:space="0"/>
              <w:right w:val="single" w:color="auto" w:sz="4" w:space="0"/>
            </w:tcBorders>
            <w:noWrap/>
            <w:vAlign w:val="center"/>
          </w:tcPr>
          <w:p w14:paraId="62FC8A7B">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ign w:val="center"/>
          </w:tcPr>
          <w:p w14:paraId="6FD18138">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w:t>
            </w:r>
          </w:p>
        </w:tc>
        <w:tc>
          <w:tcPr>
            <w:tcW w:w="837" w:type="dxa"/>
            <w:tcBorders>
              <w:top w:val="nil"/>
              <w:left w:val="nil"/>
              <w:bottom w:val="single" w:color="auto" w:sz="4" w:space="0"/>
              <w:right w:val="single" w:color="auto" w:sz="4" w:space="0"/>
            </w:tcBorders>
            <w:noWrap w:val="0"/>
            <w:vAlign w:val="center"/>
          </w:tcPr>
          <w:p w14:paraId="67CDD9D0">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18</w:t>
            </w:r>
          </w:p>
        </w:tc>
        <w:tc>
          <w:tcPr>
            <w:tcW w:w="947" w:type="dxa"/>
            <w:tcBorders>
              <w:top w:val="nil"/>
              <w:left w:val="nil"/>
              <w:bottom w:val="single" w:color="auto" w:sz="4" w:space="0"/>
              <w:right w:val="single" w:color="auto" w:sz="4" w:space="0"/>
            </w:tcBorders>
            <w:noWrap/>
            <w:vAlign w:val="center"/>
          </w:tcPr>
          <w:p w14:paraId="07FBB61A">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w:t>
            </w:r>
          </w:p>
        </w:tc>
        <w:tc>
          <w:tcPr>
            <w:tcW w:w="1011" w:type="dxa"/>
            <w:tcBorders>
              <w:top w:val="nil"/>
              <w:left w:val="nil"/>
              <w:bottom w:val="single" w:color="auto" w:sz="4" w:space="0"/>
              <w:right w:val="single" w:color="auto" w:sz="4" w:space="0"/>
            </w:tcBorders>
            <w:noWrap w:val="0"/>
            <w:vAlign w:val="center"/>
          </w:tcPr>
          <w:p w14:paraId="7193A140">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540</w:t>
            </w:r>
          </w:p>
        </w:tc>
      </w:tr>
      <w:tr w14:paraId="5A33BC67">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321A5B6D">
            <w:pPr>
              <w:ind w:firstLine="480"/>
              <w:jc w:val="left"/>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09E9A62B">
            <w:pPr>
              <w:ind w:firstLine="480"/>
              <w:jc w:val="left"/>
              <w:rPr>
                <w:rFonts w:hint="default" w:ascii="Times New Roman" w:hAnsi="Times New Roman" w:eastAsia="宋体" w:cs="Times New Roman"/>
                <w:color w:val="auto"/>
                <w:kern w:val="0"/>
                <w:sz w:val="24"/>
                <w:szCs w:val="24"/>
              </w:rPr>
            </w:pPr>
          </w:p>
        </w:tc>
        <w:tc>
          <w:tcPr>
            <w:tcW w:w="1124" w:type="dxa"/>
            <w:vMerge w:val="continue"/>
            <w:tcBorders>
              <w:top w:val="nil"/>
              <w:left w:val="single" w:color="auto" w:sz="4" w:space="0"/>
              <w:bottom w:val="single" w:color="auto" w:sz="4" w:space="0"/>
              <w:right w:val="single" w:color="auto" w:sz="4" w:space="0"/>
            </w:tcBorders>
            <w:noWrap w:val="0"/>
            <w:vAlign w:val="center"/>
          </w:tcPr>
          <w:p w14:paraId="21068098">
            <w:pPr>
              <w:jc w:val="center"/>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ign w:val="center"/>
          </w:tcPr>
          <w:p w14:paraId="0F4F0366">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ign w:val="center"/>
          </w:tcPr>
          <w:p w14:paraId="2D8EC282">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ign w:val="center"/>
          </w:tcPr>
          <w:p w14:paraId="3F7F5F82">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6379DA8D">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947" w:type="dxa"/>
            <w:tcBorders>
              <w:top w:val="nil"/>
              <w:left w:val="nil"/>
              <w:bottom w:val="single" w:color="auto" w:sz="4" w:space="0"/>
              <w:right w:val="single" w:color="auto" w:sz="4" w:space="0"/>
            </w:tcBorders>
            <w:noWrap/>
            <w:vAlign w:val="center"/>
          </w:tcPr>
          <w:p w14:paraId="14F7F84A">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280</w:t>
            </w:r>
          </w:p>
        </w:tc>
        <w:tc>
          <w:tcPr>
            <w:tcW w:w="1011" w:type="dxa"/>
            <w:tcBorders>
              <w:top w:val="nil"/>
              <w:left w:val="nil"/>
              <w:bottom w:val="single" w:color="auto" w:sz="4" w:space="0"/>
              <w:right w:val="single" w:color="auto" w:sz="4" w:space="0"/>
            </w:tcBorders>
            <w:noWrap w:val="0"/>
            <w:vAlign w:val="center"/>
          </w:tcPr>
          <w:p w14:paraId="7CFD30F7">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1680</w:t>
            </w:r>
          </w:p>
        </w:tc>
      </w:tr>
      <w:tr w14:paraId="77DF8A45">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4D0B1B5B">
            <w:pPr>
              <w:ind w:firstLine="480"/>
              <w:jc w:val="left"/>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58257E9F">
            <w:pPr>
              <w:ind w:firstLine="480"/>
              <w:jc w:val="left"/>
              <w:rPr>
                <w:rFonts w:hint="default" w:ascii="Times New Roman" w:hAnsi="Times New Roman" w:eastAsia="宋体" w:cs="Times New Roman"/>
                <w:color w:val="auto"/>
                <w:kern w:val="0"/>
                <w:sz w:val="24"/>
                <w:szCs w:val="24"/>
              </w:rPr>
            </w:pPr>
          </w:p>
        </w:tc>
        <w:tc>
          <w:tcPr>
            <w:tcW w:w="1124" w:type="dxa"/>
            <w:vMerge w:val="restart"/>
            <w:tcBorders>
              <w:top w:val="nil"/>
              <w:left w:val="single" w:color="auto" w:sz="4" w:space="0"/>
              <w:bottom w:val="single" w:color="auto" w:sz="4" w:space="0"/>
              <w:right w:val="single" w:color="auto" w:sz="4" w:space="0"/>
            </w:tcBorders>
            <w:noWrap w:val="0"/>
            <w:vAlign w:val="center"/>
          </w:tcPr>
          <w:p w14:paraId="157F65C6">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4号宿舍楼</w:t>
            </w:r>
          </w:p>
        </w:tc>
        <w:tc>
          <w:tcPr>
            <w:tcW w:w="2164" w:type="dxa"/>
            <w:tcBorders>
              <w:top w:val="nil"/>
              <w:left w:val="nil"/>
              <w:bottom w:val="single" w:color="auto" w:sz="4" w:space="0"/>
              <w:right w:val="single" w:color="auto" w:sz="4" w:space="0"/>
            </w:tcBorders>
            <w:noWrap w:val="0"/>
            <w:vAlign w:val="center"/>
          </w:tcPr>
          <w:p w14:paraId="46533BDB">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w:t>
            </w:r>
          </w:p>
        </w:tc>
        <w:tc>
          <w:tcPr>
            <w:tcW w:w="868" w:type="dxa"/>
            <w:tcBorders>
              <w:top w:val="nil"/>
              <w:left w:val="nil"/>
              <w:bottom w:val="single" w:color="auto" w:sz="4" w:space="0"/>
              <w:right w:val="single" w:color="auto" w:sz="4" w:space="0"/>
            </w:tcBorders>
            <w:noWrap w:val="0"/>
            <w:vAlign w:val="center"/>
          </w:tcPr>
          <w:p w14:paraId="36358F48">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0"/>
            <w:vAlign w:val="center"/>
          </w:tcPr>
          <w:p w14:paraId="13D221AB">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w:t>
            </w:r>
          </w:p>
        </w:tc>
        <w:tc>
          <w:tcPr>
            <w:tcW w:w="837" w:type="dxa"/>
            <w:tcBorders>
              <w:top w:val="nil"/>
              <w:left w:val="nil"/>
              <w:bottom w:val="single" w:color="auto" w:sz="4" w:space="0"/>
              <w:right w:val="single" w:color="auto" w:sz="4" w:space="0"/>
            </w:tcBorders>
            <w:noWrap w:val="0"/>
            <w:vAlign w:val="center"/>
          </w:tcPr>
          <w:p w14:paraId="037C9075">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18</w:t>
            </w:r>
          </w:p>
        </w:tc>
        <w:tc>
          <w:tcPr>
            <w:tcW w:w="947" w:type="dxa"/>
            <w:tcBorders>
              <w:top w:val="nil"/>
              <w:left w:val="nil"/>
              <w:bottom w:val="single" w:color="auto" w:sz="4" w:space="0"/>
              <w:right w:val="single" w:color="auto" w:sz="4" w:space="0"/>
            </w:tcBorders>
            <w:noWrap w:val="0"/>
            <w:vAlign w:val="center"/>
          </w:tcPr>
          <w:p w14:paraId="55EBDF4D">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w:t>
            </w:r>
          </w:p>
        </w:tc>
        <w:tc>
          <w:tcPr>
            <w:tcW w:w="1011" w:type="dxa"/>
            <w:tcBorders>
              <w:top w:val="nil"/>
              <w:left w:val="nil"/>
              <w:bottom w:val="single" w:color="auto" w:sz="4" w:space="0"/>
              <w:right w:val="single" w:color="auto" w:sz="4" w:space="0"/>
            </w:tcBorders>
            <w:noWrap w:val="0"/>
            <w:vAlign w:val="center"/>
          </w:tcPr>
          <w:p w14:paraId="1F4ADDA8">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540</w:t>
            </w:r>
          </w:p>
        </w:tc>
      </w:tr>
      <w:tr w14:paraId="41A90B4E">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3067B40A">
            <w:pPr>
              <w:ind w:firstLine="480"/>
              <w:jc w:val="left"/>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34DDBBAF">
            <w:pPr>
              <w:ind w:firstLine="480"/>
              <w:jc w:val="left"/>
              <w:rPr>
                <w:rFonts w:hint="default" w:ascii="Times New Roman" w:hAnsi="Times New Roman" w:eastAsia="宋体" w:cs="Times New Roman"/>
                <w:color w:val="auto"/>
                <w:kern w:val="0"/>
                <w:sz w:val="24"/>
                <w:szCs w:val="24"/>
              </w:rPr>
            </w:pPr>
          </w:p>
        </w:tc>
        <w:tc>
          <w:tcPr>
            <w:tcW w:w="1124" w:type="dxa"/>
            <w:vMerge w:val="continue"/>
            <w:tcBorders>
              <w:top w:val="nil"/>
              <w:left w:val="single" w:color="auto" w:sz="4" w:space="0"/>
              <w:bottom w:val="single" w:color="auto" w:sz="4" w:space="0"/>
              <w:right w:val="single" w:color="auto" w:sz="4" w:space="0"/>
            </w:tcBorders>
            <w:noWrap w:val="0"/>
            <w:vAlign w:val="center"/>
          </w:tcPr>
          <w:p w14:paraId="286A1196">
            <w:pPr>
              <w:jc w:val="center"/>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ign w:val="center"/>
          </w:tcPr>
          <w:p w14:paraId="67A88F9C">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洗漱间</w:t>
            </w:r>
          </w:p>
        </w:tc>
        <w:tc>
          <w:tcPr>
            <w:tcW w:w="868" w:type="dxa"/>
            <w:tcBorders>
              <w:top w:val="nil"/>
              <w:left w:val="nil"/>
              <w:bottom w:val="single" w:color="auto" w:sz="4" w:space="0"/>
              <w:right w:val="single" w:color="auto" w:sz="4" w:space="0"/>
            </w:tcBorders>
            <w:noWrap/>
            <w:vAlign w:val="center"/>
          </w:tcPr>
          <w:p w14:paraId="483DF529">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ign w:val="center"/>
          </w:tcPr>
          <w:p w14:paraId="1DBA6B53">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w:t>
            </w:r>
          </w:p>
        </w:tc>
        <w:tc>
          <w:tcPr>
            <w:tcW w:w="837" w:type="dxa"/>
            <w:tcBorders>
              <w:top w:val="nil"/>
              <w:left w:val="nil"/>
              <w:bottom w:val="single" w:color="auto" w:sz="4" w:space="0"/>
              <w:right w:val="single" w:color="auto" w:sz="4" w:space="0"/>
            </w:tcBorders>
            <w:noWrap w:val="0"/>
            <w:vAlign w:val="center"/>
          </w:tcPr>
          <w:p w14:paraId="2D0EDDBB">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18</w:t>
            </w:r>
          </w:p>
        </w:tc>
        <w:tc>
          <w:tcPr>
            <w:tcW w:w="947" w:type="dxa"/>
            <w:tcBorders>
              <w:top w:val="nil"/>
              <w:left w:val="nil"/>
              <w:bottom w:val="single" w:color="auto" w:sz="4" w:space="0"/>
              <w:right w:val="single" w:color="auto" w:sz="4" w:space="0"/>
            </w:tcBorders>
            <w:noWrap/>
            <w:vAlign w:val="center"/>
          </w:tcPr>
          <w:p w14:paraId="6D9B575F">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w:t>
            </w:r>
          </w:p>
        </w:tc>
        <w:tc>
          <w:tcPr>
            <w:tcW w:w="1011" w:type="dxa"/>
            <w:tcBorders>
              <w:top w:val="nil"/>
              <w:left w:val="nil"/>
              <w:bottom w:val="single" w:color="auto" w:sz="4" w:space="0"/>
              <w:right w:val="single" w:color="auto" w:sz="4" w:space="0"/>
            </w:tcBorders>
            <w:noWrap w:val="0"/>
            <w:vAlign w:val="center"/>
          </w:tcPr>
          <w:p w14:paraId="36F94A72">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540</w:t>
            </w:r>
          </w:p>
        </w:tc>
      </w:tr>
      <w:tr w14:paraId="38FEB1E1">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1A76A381">
            <w:pPr>
              <w:ind w:firstLine="480"/>
              <w:jc w:val="left"/>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18DEB064">
            <w:pPr>
              <w:ind w:firstLine="480"/>
              <w:jc w:val="left"/>
              <w:rPr>
                <w:rFonts w:hint="default" w:ascii="Times New Roman" w:hAnsi="Times New Roman" w:eastAsia="宋体" w:cs="Times New Roman"/>
                <w:color w:val="auto"/>
                <w:kern w:val="0"/>
                <w:sz w:val="24"/>
                <w:szCs w:val="24"/>
              </w:rPr>
            </w:pPr>
          </w:p>
        </w:tc>
        <w:tc>
          <w:tcPr>
            <w:tcW w:w="1124" w:type="dxa"/>
            <w:vMerge w:val="continue"/>
            <w:tcBorders>
              <w:top w:val="nil"/>
              <w:left w:val="single" w:color="auto" w:sz="4" w:space="0"/>
              <w:bottom w:val="single" w:color="auto" w:sz="4" w:space="0"/>
              <w:right w:val="single" w:color="auto" w:sz="4" w:space="0"/>
            </w:tcBorders>
            <w:noWrap w:val="0"/>
            <w:vAlign w:val="center"/>
          </w:tcPr>
          <w:p w14:paraId="19E133CB">
            <w:pPr>
              <w:jc w:val="center"/>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ign w:val="center"/>
          </w:tcPr>
          <w:p w14:paraId="1241346A">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ign w:val="center"/>
          </w:tcPr>
          <w:p w14:paraId="244A8A08">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ign w:val="center"/>
          </w:tcPr>
          <w:p w14:paraId="3F6D7A94">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2DEF44CA">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947" w:type="dxa"/>
            <w:tcBorders>
              <w:top w:val="nil"/>
              <w:left w:val="nil"/>
              <w:bottom w:val="single" w:color="auto" w:sz="4" w:space="0"/>
              <w:right w:val="single" w:color="auto" w:sz="4" w:space="0"/>
            </w:tcBorders>
            <w:noWrap/>
            <w:vAlign w:val="center"/>
          </w:tcPr>
          <w:p w14:paraId="111E93D9">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240</w:t>
            </w:r>
          </w:p>
        </w:tc>
        <w:tc>
          <w:tcPr>
            <w:tcW w:w="1011" w:type="dxa"/>
            <w:tcBorders>
              <w:top w:val="nil"/>
              <w:left w:val="nil"/>
              <w:bottom w:val="single" w:color="auto" w:sz="4" w:space="0"/>
              <w:right w:val="single" w:color="auto" w:sz="4" w:space="0"/>
            </w:tcBorders>
            <w:noWrap w:val="0"/>
            <w:vAlign w:val="center"/>
          </w:tcPr>
          <w:p w14:paraId="3519682D">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1440</w:t>
            </w:r>
          </w:p>
        </w:tc>
      </w:tr>
      <w:tr w14:paraId="1457692A">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5D051609">
            <w:pPr>
              <w:ind w:firstLine="480"/>
              <w:jc w:val="left"/>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40EBE7FA">
            <w:pPr>
              <w:ind w:firstLine="480"/>
              <w:jc w:val="left"/>
              <w:rPr>
                <w:rFonts w:hint="default" w:ascii="Times New Roman" w:hAnsi="Times New Roman" w:eastAsia="宋体" w:cs="Times New Roman"/>
                <w:color w:val="auto"/>
                <w:kern w:val="0"/>
                <w:sz w:val="24"/>
                <w:szCs w:val="24"/>
              </w:rPr>
            </w:pPr>
          </w:p>
        </w:tc>
        <w:tc>
          <w:tcPr>
            <w:tcW w:w="1124" w:type="dxa"/>
            <w:tcBorders>
              <w:top w:val="nil"/>
              <w:left w:val="nil"/>
              <w:bottom w:val="single" w:color="auto" w:sz="4" w:space="0"/>
              <w:right w:val="single" w:color="auto" w:sz="4" w:space="0"/>
            </w:tcBorders>
            <w:noWrap w:val="0"/>
            <w:vAlign w:val="center"/>
          </w:tcPr>
          <w:p w14:paraId="0CCAD17D">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5号宿舍楼</w:t>
            </w:r>
          </w:p>
        </w:tc>
        <w:tc>
          <w:tcPr>
            <w:tcW w:w="2164" w:type="dxa"/>
            <w:tcBorders>
              <w:top w:val="nil"/>
              <w:left w:val="nil"/>
              <w:bottom w:val="single" w:color="auto" w:sz="4" w:space="0"/>
              <w:right w:val="single" w:color="auto" w:sz="4" w:space="0"/>
            </w:tcBorders>
            <w:noWrap/>
            <w:vAlign w:val="center"/>
          </w:tcPr>
          <w:p w14:paraId="7BC2142B">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ign w:val="center"/>
          </w:tcPr>
          <w:p w14:paraId="6FDD8D44">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ign w:val="center"/>
          </w:tcPr>
          <w:p w14:paraId="47019E8F">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03180808">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947" w:type="dxa"/>
            <w:tcBorders>
              <w:top w:val="nil"/>
              <w:left w:val="nil"/>
              <w:bottom w:val="single" w:color="auto" w:sz="4" w:space="0"/>
              <w:right w:val="single" w:color="auto" w:sz="4" w:space="0"/>
            </w:tcBorders>
            <w:noWrap/>
            <w:vAlign w:val="center"/>
          </w:tcPr>
          <w:p w14:paraId="75D62C25">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225</w:t>
            </w:r>
          </w:p>
        </w:tc>
        <w:tc>
          <w:tcPr>
            <w:tcW w:w="1011" w:type="dxa"/>
            <w:tcBorders>
              <w:top w:val="nil"/>
              <w:left w:val="nil"/>
              <w:bottom w:val="single" w:color="auto" w:sz="4" w:space="0"/>
              <w:right w:val="single" w:color="auto" w:sz="4" w:space="0"/>
            </w:tcBorders>
            <w:noWrap w:val="0"/>
            <w:vAlign w:val="center"/>
          </w:tcPr>
          <w:p w14:paraId="602D24EF">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1350</w:t>
            </w:r>
          </w:p>
        </w:tc>
      </w:tr>
      <w:tr w14:paraId="58E50A4A">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4CBDD5A3">
            <w:pPr>
              <w:ind w:firstLine="480"/>
              <w:jc w:val="left"/>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4512660B">
            <w:pPr>
              <w:ind w:firstLine="480"/>
              <w:jc w:val="left"/>
              <w:rPr>
                <w:rFonts w:hint="default" w:ascii="Times New Roman" w:hAnsi="Times New Roman" w:eastAsia="宋体" w:cs="Times New Roman"/>
                <w:color w:val="auto"/>
                <w:kern w:val="0"/>
                <w:sz w:val="24"/>
                <w:szCs w:val="24"/>
              </w:rPr>
            </w:pPr>
          </w:p>
        </w:tc>
        <w:tc>
          <w:tcPr>
            <w:tcW w:w="1124" w:type="dxa"/>
            <w:tcBorders>
              <w:top w:val="nil"/>
              <w:left w:val="nil"/>
              <w:bottom w:val="single" w:color="auto" w:sz="4" w:space="0"/>
              <w:right w:val="single" w:color="auto" w:sz="4" w:space="0"/>
            </w:tcBorders>
            <w:noWrap w:val="0"/>
            <w:vAlign w:val="center"/>
          </w:tcPr>
          <w:p w14:paraId="32996A10">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6号宿舍楼</w:t>
            </w:r>
          </w:p>
        </w:tc>
        <w:tc>
          <w:tcPr>
            <w:tcW w:w="2164" w:type="dxa"/>
            <w:tcBorders>
              <w:top w:val="nil"/>
              <w:left w:val="nil"/>
              <w:bottom w:val="single" w:color="auto" w:sz="4" w:space="0"/>
              <w:right w:val="single" w:color="auto" w:sz="4" w:space="0"/>
            </w:tcBorders>
            <w:noWrap/>
            <w:vAlign w:val="center"/>
          </w:tcPr>
          <w:p w14:paraId="77F870DA">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ign w:val="center"/>
          </w:tcPr>
          <w:p w14:paraId="20256AE9">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ign w:val="center"/>
          </w:tcPr>
          <w:p w14:paraId="1F6F5029">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74AC0561">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947" w:type="dxa"/>
            <w:tcBorders>
              <w:top w:val="nil"/>
              <w:left w:val="nil"/>
              <w:bottom w:val="single" w:color="auto" w:sz="4" w:space="0"/>
              <w:right w:val="single" w:color="auto" w:sz="4" w:space="0"/>
            </w:tcBorders>
            <w:noWrap/>
            <w:vAlign w:val="center"/>
          </w:tcPr>
          <w:p w14:paraId="2BD8FB70">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240</w:t>
            </w:r>
          </w:p>
        </w:tc>
        <w:tc>
          <w:tcPr>
            <w:tcW w:w="1011" w:type="dxa"/>
            <w:tcBorders>
              <w:top w:val="nil"/>
              <w:left w:val="nil"/>
              <w:bottom w:val="single" w:color="auto" w:sz="4" w:space="0"/>
              <w:right w:val="single" w:color="auto" w:sz="4" w:space="0"/>
            </w:tcBorders>
            <w:noWrap w:val="0"/>
            <w:vAlign w:val="center"/>
          </w:tcPr>
          <w:p w14:paraId="052B068D">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1440</w:t>
            </w:r>
          </w:p>
        </w:tc>
      </w:tr>
      <w:tr w14:paraId="0999A8EB">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2F74F939">
            <w:pPr>
              <w:ind w:firstLine="480"/>
              <w:jc w:val="left"/>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21152707">
            <w:pPr>
              <w:ind w:firstLine="480"/>
              <w:jc w:val="left"/>
              <w:rPr>
                <w:rFonts w:hint="default" w:ascii="Times New Roman" w:hAnsi="Times New Roman" w:eastAsia="宋体" w:cs="Times New Roman"/>
                <w:color w:val="auto"/>
                <w:kern w:val="0"/>
                <w:sz w:val="24"/>
                <w:szCs w:val="24"/>
              </w:rPr>
            </w:pPr>
          </w:p>
        </w:tc>
        <w:tc>
          <w:tcPr>
            <w:tcW w:w="1124" w:type="dxa"/>
            <w:tcBorders>
              <w:top w:val="nil"/>
              <w:left w:val="nil"/>
              <w:bottom w:val="single" w:color="auto" w:sz="4" w:space="0"/>
              <w:right w:val="single" w:color="auto" w:sz="4" w:space="0"/>
            </w:tcBorders>
            <w:noWrap w:val="0"/>
            <w:vAlign w:val="center"/>
          </w:tcPr>
          <w:p w14:paraId="750C7686">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7号宿舍楼</w:t>
            </w:r>
          </w:p>
        </w:tc>
        <w:tc>
          <w:tcPr>
            <w:tcW w:w="2164" w:type="dxa"/>
            <w:tcBorders>
              <w:top w:val="nil"/>
              <w:left w:val="nil"/>
              <w:bottom w:val="single" w:color="auto" w:sz="4" w:space="0"/>
              <w:right w:val="single" w:color="auto" w:sz="4" w:space="0"/>
            </w:tcBorders>
            <w:noWrap/>
            <w:vAlign w:val="center"/>
          </w:tcPr>
          <w:p w14:paraId="6B6D2E11">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ign w:val="center"/>
          </w:tcPr>
          <w:p w14:paraId="33CB3C04">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ign w:val="center"/>
          </w:tcPr>
          <w:p w14:paraId="664CE6BD">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2564C924">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947" w:type="dxa"/>
            <w:tcBorders>
              <w:top w:val="nil"/>
              <w:left w:val="nil"/>
              <w:bottom w:val="single" w:color="auto" w:sz="4" w:space="0"/>
              <w:right w:val="single" w:color="auto" w:sz="4" w:space="0"/>
            </w:tcBorders>
            <w:noWrap/>
            <w:vAlign w:val="center"/>
          </w:tcPr>
          <w:p w14:paraId="6E61BA0F">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230</w:t>
            </w:r>
          </w:p>
        </w:tc>
        <w:tc>
          <w:tcPr>
            <w:tcW w:w="1011" w:type="dxa"/>
            <w:tcBorders>
              <w:top w:val="nil"/>
              <w:left w:val="nil"/>
              <w:bottom w:val="single" w:color="auto" w:sz="4" w:space="0"/>
              <w:right w:val="single" w:color="auto" w:sz="4" w:space="0"/>
            </w:tcBorders>
            <w:noWrap w:val="0"/>
            <w:vAlign w:val="center"/>
          </w:tcPr>
          <w:p w14:paraId="5BBAF2B2">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1380</w:t>
            </w:r>
          </w:p>
        </w:tc>
      </w:tr>
      <w:tr w14:paraId="614BF740">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6F68FD61">
            <w:pPr>
              <w:ind w:firstLine="480"/>
              <w:jc w:val="left"/>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758C76C5">
            <w:pPr>
              <w:ind w:firstLine="480"/>
              <w:jc w:val="left"/>
              <w:rPr>
                <w:rFonts w:hint="default" w:ascii="Times New Roman" w:hAnsi="Times New Roman" w:eastAsia="宋体" w:cs="Times New Roman"/>
                <w:color w:val="auto"/>
                <w:kern w:val="0"/>
                <w:sz w:val="24"/>
                <w:szCs w:val="24"/>
              </w:rPr>
            </w:pPr>
          </w:p>
        </w:tc>
        <w:tc>
          <w:tcPr>
            <w:tcW w:w="1124" w:type="dxa"/>
            <w:vMerge w:val="restart"/>
            <w:tcBorders>
              <w:top w:val="nil"/>
              <w:left w:val="single" w:color="auto" w:sz="4" w:space="0"/>
              <w:bottom w:val="single" w:color="auto" w:sz="4" w:space="0"/>
              <w:right w:val="single" w:color="auto" w:sz="4" w:space="0"/>
            </w:tcBorders>
            <w:noWrap w:val="0"/>
            <w:vAlign w:val="center"/>
          </w:tcPr>
          <w:p w14:paraId="056C0813">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8号宿舍楼</w:t>
            </w:r>
          </w:p>
        </w:tc>
        <w:tc>
          <w:tcPr>
            <w:tcW w:w="2164" w:type="dxa"/>
            <w:tcBorders>
              <w:top w:val="nil"/>
              <w:left w:val="nil"/>
              <w:bottom w:val="single" w:color="auto" w:sz="4" w:space="0"/>
              <w:right w:val="single" w:color="auto" w:sz="4" w:space="0"/>
            </w:tcBorders>
            <w:noWrap w:val="0"/>
            <w:vAlign w:val="center"/>
          </w:tcPr>
          <w:p w14:paraId="3627B937">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w:t>
            </w:r>
          </w:p>
        </w:tc>
        <w:tc>
          <w:tcPr>
            <w:tcW w:w="868" w:type="dxa"/>
            <w:tcBorders>
              <w:top w:val="nil"/>
              <w:left w:val="nil"/>
              <w:bottom w:val="single" w:color="auto" w:sz="4" w:space="0"/>
              <w:right w:val="single" w:color="auto" w:sz="4" w:space="0"/>
            </w:tcBorders>
            <w:noWrap w:val="0"/>
            <w:vAlign w:val="center"/>
          </w:tcPr>
          <w:p w14:paraId="67FA7325">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0"/>
            <w:vAlign w:val="center"/>
          </w:tcPr>
          <w:p w14:paraId="0308E276">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837" w:type="dxa"/>
            <w:tcBorders>
              <w:top w:val="nil"/>
              <w:left w:val="nil"/>
              <w:bottom w:val="single" w:color="auto" w:sz="4" w:space="0"/>
              <w:right w:val="single" w:color="auto" w:sz="4" w:space="0"/>
            </w:tcBorders>
            <w:noWrap w:val="0"/>
            <w:vAlign w:val="center"/>
          </w:tcPr>
          <w:p w14:paraId="28729776">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12</w:t>
            </w:r>
          </w:p>
        </w:tc>
        <w:tc>
          <w:tcPr>
            <w:tcW w:w="947" w:type="dxa"/>
            <w:tcBorders>
              <w:top w:val="nil"/>
              <w:left w:val="nil"/>
              <w:bottom w:val="single" w:color="auto" w:sz="4" w:space="0"/>
              <w:right w:val="single" w:color="auto" w:sz="4" w:space="0"/>
            </w:tcBorders>
            <w:noWrap w:val="0"/>
            <w:vAlign w:val="center"/>
          </w:tcPr>
          <w:p w14:paraId="30047EE4">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45</w:t>
            </w:r>
          </w:p>
        </w:tc>
        <w:tc>
          <w:tcPr>
            <w:tcW w:w="1011" w:type="dxa"/>
            <w:tcBorders>
              <w:top w:val="nil"/>
              <w:left w:val="nil"/>
              <w:bottom w:val="single" w:color="auto" w:sz="4" w:space="0"/>
              <w:right w:val="single" w:color="auto" w:sz="4" w:space="0"/>
            </w:tcBorders>
            <w:noWrap w:val="0"/>
            <w:vAlign w:val="center"/>
          </w:tcPr>
          <w:p w14:paraId="3310A818">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540</w:t>
            </w:r>
          </w:p>
        </w:tc>
      </w:tr>
      <w:tr w14:paraId="57A5E820">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4A133364">
            <w:pPr>
              <w:ind w:firstLine="480"/>
              <w:jc w:val="left"/>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27AD46D5">
            <w:pPr>
              <w:ind w:firstLine="480"/>
              <w:jc w:val="left"/>
              <w:rPr>
                <w:rFonts w:hint="default" w:ascii="Times New Roman" w:hAnsi="Times New Roman" w:eastAsia="宋体" w:cs="Times New Roman"/>
                <w:color w:val="auto"/>
                <w:kern w:val="0"/>
                <w:sz w:val="24"/>
                <w:szCs w:val="24"/>
              </w:rPr>
            </w:pPr>
          </w:p>
        </w:tc>
        <w:tc>
          <w:tcPr>
            <w:tcW w:w="1124" w:type="dxa"/>
            <w:vMerge w:val="continue"/>
            <w:tcBorders>
              <w:top w:val="nil"/>
              <w:left w:val="single" w:color="auto" w:sz="4" w:space="0"/>
              <w:bottom w:val="single" w:color="auto" w:sz="4" w:space="0"/>
              <w:right w:val="single" w:color="auto" w:sz="4" w:space="0"/>
            </w:tcBorders>
            <w:noWrap w:val="0"/>
            <w:vAlign w:val="center"/>
          </w:tcPr>
          <w:p w14:paraId="33B0FF62">
            <w:pPr>
              <w:ind w:firstLine="480"/>
              <w:jc w:val="center"/>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ign w:val="center"/>
          </w:tcPr>
          <w:p w14:paraId="58722BA0">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洗漱间</w:t>
            </w:r>
          </w:p>
        </w:tc>
        <w:tc>
          <w:tcPr>
            <w:tcW w:w="868" w:type="dxa"/>
            <w:tcBorders>
              <w:top w:val="nil"/>
              <w:left w:val="nil"/>
              <w:bottom w:val="single" w:color="auto" w:sz="4" w:space="0"/>
              <w:right w:val="single" w:color="auto" w:sz="4" w:space="0"/>
            </w:tcBorders>
            <w:noWrap/>
            <w:vAlign w:val="center"/>
          </w:tcPr>
          <w:p w14:paraId="5268F0D4">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ign w:val="center"/>
          </w:tcPr>
          <w:p w14:paraId="3D6AF0B4">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837" w:type="dxa"/>
            <w:tcBorders>
              <w:top w:val="nil"/>
              <w:left w:val="nil"/>
              <w:bottom w:val="single" w:color="auto" w:sz="4" w:space="0"/>
              <w:right w:val="single" w:color="auto" w:sz="4" w:space="0"/>
            </w:tcBorders>
            <w:noWrap w:val="0"/>
            <w:vAlign w:val="center"/>
          </w:tcPr>
          <w:p w14:paraId="143D5EC7">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12</w:t>
            </w:r>
          </w:p>
        </w:tc>
        <w:tc>
          <w:tcPr>
            <w:tcW w:w="947" w:type="dxa"/>
            <w:tcBorders>
              <w:top w:val="nil"/>
              <w:left w:val="nil"/>
              <w:bottom w:val="single" w:color="auto" w:sz="4" w:space="0"/>
              <w:right w:val="single" w:color="auto" w:sz="4" w:space="0"/>
            </w:tcBorders>
            <w:noWrap/>
            <w:vAlign w:val="center"/>
          </w:tcPr>
          <w:p w14:paraId="4729D485">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20</w:t>
            </w:r>
          </w:p>
        </w:tc>
        <w:tc>
          <w:tcPr>
            <w:tcW w:w="1011" w:type="dxa"/>
            <w:tcBorders>
              <w:top w:val="nil"/>
              <w:left w:val="nil"/>
              <w:bottom w:val="single" w:color="auto" w:sz="4" w:space="0"/>
              <w:right w:val="single" w:color="auto" w:sz="4" w:space="0"/>
            </w:tcBorders>
            <w:noWrap w:val="0"/>
            <w:vAlign w:val="center"/>
          </w:tcPr>
          <w:p w14:paraId="61FFAEF8">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240</w:t>
            </w:r>
          </w:p>
        </w:tc>
      </w:tr>
      <w:tr w14:paraId="2E03BF1B">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012F1A2D">
            <w:pPr>
              <w:ind w:firstLine="480"/>
              <w:jc w:val="left"/>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76574470">
            <w:pPr>
              <w:ind w:firstLine="480"/>
              <w:jc w:val="left"/>
              <w:rPr>
                <w:rFonts w:hint="default" w:ascii="Times New Roman" w:hAnsi="Times New Roman" w:eastAsia="宋体" w:cs="Times New Roman"/>
                <w:color w:val="auto"/>
                <w:kern w:val="0"/>
                <w:sz w:val="24"/>
                <w:szCs w:val="24"/>
              </w:rPr>
            </w:pPr>
          </w:p>
        </w:tc>
        <w:tc>
          <w:tcPr>
            <w:tcW w:w="1124" w:type="dxa"/>
            <w:vMerge w:val="continue"/>
            <w:tcBorders>
              <w:top w:val="nil"/>
              <w:left w:val="single" w:color="auto" w:sz="4" w:space="0"/>
              <w:bottom w:val="single" w:color="auto" w:sz="4" w:space="0"/>
              <w:right w:val="single" w:color="auto" w:sz="4" w:space="0"/>
            </w:tcBorders>
            <w:noWrap w:val="0"/>
            <w:vAlign w:val="center"/>
          </w:tcPr>
          <w:p w14:paraId="3CC774CC">
            <w:pPr>
              <w:ind w:firstLine="480"/>
              <w:jc w:val="center"/>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ign w:val="center"/>
          </w:tcPr>
          <w:p w14:paraId="3E6E3C22">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ign w:val="center"/>
          </w:tcPr>
          <w:p w14:paraId="658DD816">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ign w:val="center"/>
          </w:tcPr>
          <w:p w14:paraId="35BC7C96">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1AA8F93E">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947" w:type="dxa"/>
            <w:tcBorders>
              <w:top w:val="nil"/>
              <w:left w:val="nil"/>
              <w:bottom w:val="single" w:color="auto" w:sz="4" w:space="0"/>
              <w:right w:val="single" w:color="auto" w:sz="4" w:space="0"/>
            </w:tcBorders>
            <w:noWrap/>
            <w:vAlign w:val="center"/>
          </w:tcPr>
          <w:p w14:paraId="7E427229">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215</w:t>
            </w:r>
          </w:p>
        </w:tc>
        <w:tc>
          <w:tcPr>
            <w:tcW w:w="1011" w:type="dxa"/>
            <w:tcBorders>
              <w:top w:val="nil"/>
              <w:left w:val="nil"/>
              <w:bottom w:val="single" w:color="auto" w:sz="4" w:space="0"/>
              <w:right w:val="single" w:color="auto" w:sz="4" w:space="0"/>
            </w:tcBorders>
            <w:noWrap/>
            <w:vAlign w:val="center"/>
          </w:tcPr>
          <w:p w14:paraId="7478C160">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1290</w:t>
            </w:r>
          </w:p>
        </w:tc>
      </w:tr>
      <w:tr w14:paraId="0127E8E3">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2ECDFB08">
            <w:pPr>
              <w:ind w:firstLine="480"/>
              <w:jc w:val="left"/>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561CB38C">
            <w:pPr>
              <w:ind w:firstLine="480"/>
              <w:jc w:val="left"/>
              <w:rPr>
                <w:rFonts w:hint="default" w:ascii="Times New Roman" w:hAnsi="Times New Roman" w:eastAsia="宋体" w:cs="Times New Roman"/>
                <w:color w:val="auto"/>
                <w:kern w:val="0"/>
                <w:sz w:val="24"/>
                <w:szCs w:val="24"/>
              </w:rPr>
            </w:pPr>
          </w:p>
        </w:tc>
        <w:tc>
          <w:tcPr>
            <w:tcW w:w="1124" w:type="dxa"/>
            <w:vMerge w:val="restart"/>
            <w:tcBorders>
              <w:top w:val="nil"/>
              <w:left w:val="single" w:color="auto" w:sz="4" w:space="0"/>
              <w:right w:val="single" w:color="auto" w:sz="4" w:space="0"/>
            </w:tcBorders>
            <w:noWrap w:val="0"/>
            <w:vAlign w:val="center"/>
          </w:tcPr>
          <w:p w14:paraId="6572BFA8">
            <w:pPr>
              <w:ind w:left="0" w:leftChars="0"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14号宿舍楼</w:t>
            </w:r>
          </w:p>
        </w:tc>
        <w:tc>
          <w:tcPr>
            <w:tcW w:w="2164" w:type="dxa"/>
            <w:tcBorders>
              <w:top w:val="nil"/>
              <w:left w:val="nil"/>
              <w:bottom w:val="single" w:color="auto" w:sz="4" w:space="0"/>
              <w:right w:val="single" w:color="auto" w:sz="4" w:space="0"/>
            </w:tcBorders>
            <w:noWrap/>
            <w:vAlign w:val="center"/>
          </w:tcPr>
          <w:p w14:paraId="5C043EA0">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w:t>
            </w:r>
          </w:p>
        </w:tc>
        <w:tc>
          <w:tcPr>
            <w:tcW w:w="868" w:type="dxa"/>
            <w:tcBorders>
              <w:top w:val="nil"/>
              <w:left w:val="nil"/>
              <w:bottom w:val="single" w:color="auto" w:sz="4" w:space="0"/>
              <w:right w:val="single" w:color="auto" w:sz="4" w:space="0"/>
            </w:tcBorders>
            <w:noWrap/>
            <w:vAlign w:val="center"/>
          </w:tcPr>
          <w:p w14:paraId="1B3AB607">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w:t>
            </w:r>
          </w:p>
        </w:tc>
        <w:tc>
          <w:tcPr>
            <w:tcW w:w="837" w:type="dxa"/>
            <w:tcBorders>
              <w:top w:val="nil"/>
              <w:left w:val="nil"/>
              <w:bottom w:val="single" w:color="auto" w:sz="4" w:space="0"/>
              <w:right w:val="single" w:color="auto" w:sz="4" w:space="0"/>
            </w:tcBorders>
            <w:noWrap/>
            <w:vAlign w:val="center"/>
          </w:tcPr>
          <w:p w14:paraId="49853AFF">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2CA94EFF">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w:t>
            </w:r>
          </w:p>
        </w:tc>
        <w:tc>
          <w:tcPr>
            <w:tcW w:w="947" w:type="dxa"/>
            <w:tcBorders>
              <w:top w:val="nil"/>
              <w:left w:val="nil"/>
              <w:bottom w:val="single" w:color="auto" w:sz="4" w:space="0"/>
              <w:right w:val="single" w:color="auto" w:sz="4" w:space="0"/>
            </w:tcBorders>
            <w:noWrap/>
            <w:vAlign w:val="center"/>
          </w:tcPr>
          <w:p w14:paraId="49BD952B">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40</w:t>
            </w:r>
          </w:p>
        </w:tc>
        <w:tc>
          <w:tcPr>
            <w:tcW w:w="1011" w:type="dxa"/>
            <w:tcBorders>
              <w:top w:val="nil"/>
              <w:left w:val="nil"/>
              <w:bottom w:val="single" w:color="auto" w:sz="4" w:space="0"/>
              <w:right w:val="single" w:color="auto" w:sz="4" w:space="0"/>
            </w:tcBorders>
            <w:noWrap/>
            <w:vAlign w:val="center"/>
          </w:tcPr>
          <w:p w14:paraId="1F60454A">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200</w:t>
            </w:r>
          </w:p>
        </w:tc>
      </w:tr>
      <w:tr w14:paraId="1B0B02D6">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1E351B95">
            <w:pPr>
              <w:ind w:firstLine="480"/>
              <w:jc w:val="left"/>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75CEFADC">
            <w:pPr>
              <w:ind w:firstLine="480"/>
              <w:jc w:val="left"/>
              <w:rPr>
                <w:rFonts w:hint="default" w:ascii="Times New Roman" w:hAnsi="Times New Roman" w:eastAsia="宋体" w:cs="Times New Roman"/>
                <w:color w:val="auto"/>
                <w:kern w:val="0"/>
                <w:sz w:val="24"/>
                <w:szCs w:val="24"/>
              </w:rPr>
            </w:pPr>
          </w:p>
        </w:tc>
        <w:tc>
          <w:tcPr>
            <w:tcW w:w="1124" w:type="dxa"/>
            <w:vMerge w:val="continue"/>
            <w:tcBorders>
              <w:left w:val="single" w:color="auto" w:sz="4" w:space="0"/>
              <w:right w:val="single" w:color="auto" w:sz="4" w:space="0"/>
            </w:tcBorders>
            <w:noWrap w:val="0"/>
            <w:vAlign w:val="center"/>
          </w:tcPr>
          <w:p w14:paraId="25A8431A">
            <w:pPr>
              <w:ind w:left="480" w:hanging="480" w:hangingChars="200"/>
              <w:jc w:val="left"/>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ign w:val="center"/>
          </w:tcPr>
          <w:p w14:paraId="39375B7F">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洗漱间</w:t>
            </w:r>
          </w:p>
        </w:tc>
        <w:tc>
          <w:tcPr>
            <w:tcW w:w="868" w:type="dxa"/>
            <w:tcBorders>
              <w:top w:val="nil"/>
              <w:left w:val="nil"/>
              <w:bottom w:val="single" w:color="auto" w:sz="4" w:space="0"/>
              <w:right w:val="single" w:color="auto" w:sz="4" w:space="0"/>
            </w:tcBorders>
            <w:noWrap/>
            <w:vAlign w:val="center"/>
          </w:tcPr>
          <w:p w14:paraId="24DE9BC4">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w:t>
            </w:r>
          </w:p>
        </w:tc>
        <w:tc>
          <w:tcPr>
            <w:tcW w:w="837" w:type="dxa"/>
            <w:tcBorders>
              <w:top w:val="nil"/>
              <w:left w:val="nil"/>
              <w:bottom w:val="single" w:color="auto" w:sz="4" w:space="0"/>
              <w:right w:val="single" w:color="auto" w:sz="4" w:space="0"/>
            </w:tcBorders>
            <w:noWrap/>
            <w:vAlign w:val="center"/>
          </w:tcPr>
          <w:p w14:paraId="7838781C">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837" w:type="dxa"/>
            <w:tcBorders>
              <w:top w:val="nil"/>
              <w:left w:val="nil"/>
              <w:bottom w:val="single" w:color="auto" w:sz="4" w:space="0"/>
              <w:right w:val="single" w:color="auto" w:sz="4" w:space="0"/>
            </w:tcBorders>
            <w:noWrap w:val="0"/>
            <w:vAlign w:val="center"/>
          </w:tcPr>
          <w:p w14:paraId="7844274C">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10</w:t>
            </w:r>
          </w:p>
        </w:tc>
        <w:tc>
          <w:tcPr>
            <w:tcW w:w="947" w:type="dxa"/>
            <w:tcBorders>
              <w:top w:val="nil"/>
              <w:left w:val="nil"/>
              <w:bottom w:val="single" w:color="auto" w:sz="4" w:space="0"/>
              <w:right w:val="single" w:color="auto" w:sz="4" w:space="0"/>
            </w:tcBorders>
            <w:noWrap/>
            <w:vAlign w:val="center"/>
          </w:tcPr>
          <w:p w14:paraId="76714CB6">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w:t>
            </w:r>
          </w:p>
        </w:tc>
        <w:tc>
          <w:tcPr>
            <w:tcW w:w="1011" w:type="dxa"/>
            <w:tcBorders>
              <w:top w:val="nil"/>
              <w:left w:val="nil"/>
              <w:bottom w:val="single" w:color="auto" w:sz="4" w:space="0"/>
              <w:right w:val="single" w:color="auto" w:sz="4" w:space="0"/>
            </w:tcBorders>
            <w:noWrap/>
            <w:vAlign w:val="center"/>
          </w:tcPr>
          <w:p w14:paraId="709AADD4">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300</w:t>
            </w:r>
          </w:p>
        </w:tc>
      </w:tr>
      <w:tr w14:paraId="16375930">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6F22BAFC">
            <w:pPr>
              <w:ind w:firstLine="480"/>
              <w:jc w:val="left"/>
              <w:rPr>
                <w:rFonts w:hint="default" w:ascii="Times New Roman" w:hAnsi="Times New Roman" w:eastAsia="宋体" w:cs="Times New Roman"/>
                <w:color w:val="auto"/>
                <w:kern w:val="0"/>
                <w:sz w:val="24"/>
                <w:szCs w:val="24"/>
              </w:rPr>
            </w:pPr>
          </w:p>
        </w:tc>
        <w:tc>
          <w:tcPr>
            <w:tcW w:w="818" w:type="dxa"/>
            <w:vMerge w:val="continue"/>
            <w:tcBorders>
              <w:left w:val="single" w:color="auto" w:sz="4" w:space="0"/>
              <w:bottom w:val="single" w:color="auto" w:sz="4" w:space="0"/>
              <w:right w:val="single" w:color="auto" w:sz="4" w:space="0"/>
            </w:tcBorders>
            <w:noWrap w:val="0"/>
            <w:vAlign w:val="center"/>
          </w:tcPr>
          <w:p w14:paraId="3BB60704">
            <w:pPr>
              <w:ind w:firstLine="480"/>
              <w:jc w:val="left"/>
              <w:rPr>
                <w:rFonts w:hint="default" w:ascii="Times New Roman" w:hAnsi="Times New Roman" w:eastAsia="宋体" w:cs="Times New Roman"/>
                <w:color w:val="auto"/>
                <w:kern w:val="0"/>
                <w:sz w:val="24"/>
                <w:szCs w:val="24"/>
              </w:rPr>
            </w:pPr>
          </w:p>
        </w:tc>
        <w:tc>
          <w:tcPr>
            <w:tcW w:w="1124" w:type="dxa"/>
            <w:vMerge w:val="continue"/>
            <w:tcBorders>
              <w:left w:val="single" w:color="auto" w:sz="4" w:space="0"/>
              <w:bottom w:val="single" w:color="auto" w:sz="4" w:space="0"/>
              <w:right w:val="single" w:color="auto" w:sz="4" w:space="0"/>
            </w:tcBorders>
            <w:noWrap w:val="0"/>
            <w:vAlign w:val="center"/>
          </w:tcPr>
          <w:p w14:paraId="1DD6E2B9">
            <w:pPr>
              <w:ind w:left="480" w:hanging="480" w:hangingChars="200"/>
              <w:jc w:val="left"/>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ign w:val="center"/>
          </w:tcPr>
          <w:p w14:paraId="54467D05">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ign w:val="center"/>
          </w:tcPr>
          <w:p w14:paraId="2EF5FA89">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w:t>
            </w:r>
          </w:p>
        </w:tc>
        <w:tc>
          <w:tcPr>
            <w:tcW w:w="837" w:type="dxa"/>
            <w:tcBorders>
              <w:top w:val="nil"/>
              <w:left w:val="nil"/>
              <w:bottom w:val="single" w:color="auto" w:sz="4" w:space="0"/>
              <w:right w:val="single" w:color="auto" w:sz="4" w:space="0"/>
            </w:tcBorders>
            <w:noWrap/>
            <w:vAlign w:val="center"/>
          </w:tcPr>
          <w:p w14:paraId="3A69FC01">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3B85E7BC">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w:t>
            </w:r>
          </w:p>
        </w:tc>
        <w:tc>
          <w:tcPr>
            <w:tcW w:w="947" w:type="dxa"/>
            <w:tcBorders>
              <w:top w:val="nil"/>
              <w:left w:val="nil"/>
              <w:bottom w:val="single" w:color="auto" w:sz="4" w:space="0"/>
              <w:right w:val="single" w:color="auto" w:sz="4" w:space="0"/>
            </w:tcBorders>
            <w:noWrap/>
            <w:vAlign w:val="center"/>
          </w:tcPr>
          <w:p w14:paraId="0771E43E">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200</w:t>
            </w:r>
          </w:p>
        </w:tc>
        <w:tc>
          <w:tcPr>
            <w:tcW w:w="1011" w:type="dxa"/>
            <w:tcBorders>
              <w:top w:val="nil"/>
              <w:left w:val="nil"/>
              <w:bottom w:val="single" w:color="auto" w:sz="4" w:space="0"/>
              <w:right w:val="single" w:color="auto" w:sz="4" w:space="0"/>
            </w:tcBorders>
            <w:noWrap/>
            <w:vAlign w:val="center"/>
          </w:tcPr>
          <w:p w14:paraId="7DDBB087">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1000</w:t>
            </w:r>
          </w:p>
        </w:tc>
      </w:tr>
      <w:tr w14:paraId="4561BF2F">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4BF7BC15">
            <w:pPr>
              <w:ind w:firstLine="480"/>
              <w:jc w:val="left"/>
              <w:rPr>
                <w:rFonts w:hint="default" w:ascii="Times New Roman" w:hAnsi="Times New Roman" w:eastAsia="宋体" w:cs="Times New Roman"/>
                <w:color w:val="auto"/>
                <w:kern w:val="0"/>
                <w:sz w:val="24"/>
                <w:szCs w:val="24"/>
              </w:rPr>
            </w:pPr>
          </w:p>
        </w:tc>
        <w:tc>
          <w:tcPr>
            <w:tcW w:w="1942" w:type="dxa"/>
            <w:gridSpan w:val="2"/>
            <w:vMerge w:val="restart"/>
            <w:tcBorders>
              <w:top w:val="single" w:color="auto" w:sz="4" w:space="0"/>
              <w:left w:val="nil"/>
              <w:right w:val="single" w:color="auto" w:sz="4" w:space="0"/>
            </w:tcBorders>
            <w:noWrap w:val="0"/>
            <w:vAlign w:val="center"/>
          </w:tcPr>
          <w:p w14:paraId="57E6952D">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行政楼</w:t>
            </w:r>
          </w:p>
        </w:tc>
        <w:tc>
          <w:tcPr>
            <w:tcW w:w="2164" w:type="dxa"/>
            <w:tcBorders>
              <w:top w:val="nil"/>
              <w:left w:val="nil"/>
              <w:bottom w:val="single" w:color="auto" w:sz="4" w:space="0"/>
              <w:right w:val="single" w:color="auto" w:sz="4" w:space="0"/>
            </w:tcBorders>
            <w:noWrap w:val="0"/>
            <w:vAlign w:val="center"/>
          </w:tcPr>
          <w:p w14:paraId="0324D4A8">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厕所（含洗漱间）</w:t>
            </w:r>
          </w:p>
        </w:tc>
        <w:tc>
          <w:tcPr>
            <w:tcW w:w="868" w:type="dxa"/>
            <w:tcBorders>
              <w:top w:val="nil"/>
              <w:left w:val="nil"/>
              <w:bottom w:val="single" w:color="auto" w:sz="4" w:space="0"/>
              <w:right w:val="single" w:color="auto" w:sz="4" w:space="0"/>
            </w:tcBorders>
            <w:noWrap w:val="0"/>
            <w:vAlign w:val="center"/>
          </w:tcPr>
          <w:p w14:paraId="6D8C6603">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w:t>
            </w:r>
          </w:p>
        </w:tc>
        <w:tc>
          <w:tcPr>
            <w:tcW w:w="837" w:type="dxa"/>
            <w:tcBorders>
              <w:top w:val="nil"/>
              <w:left w:val="nil"/>
              <w:bottom w:val="single" w:color="auto" w:sz="4" w:space="0"/>
              <w:right w:val="single" w:color="auto" w:sz="4" w:space="0"/>
            </w:tcBorders>
            <w:noWrap w:val="0"/>
            <w:vAlign w:val="center"/>
          </w:tcPr>
          <w:p w14:paraId="4B5F42C4">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837" w:type="dxa"/>
            <w:tcBorders>
              <w:top w:val="nil"/>
              <w:left w:val="nil"/>
              <w:bottom w:val="single" w:color="auto" w:sz="4" w:space="0"/>
              <w:right w:val="single" w:color="auto" w:sz="4" w:space="0"/>
            </w:tcBorders>
            <w:noWrap w:val="0"/>
            <w:vAlign w:val="center"/>
          </w:tcPr>
          <w:p w14:paraId="4339A31B">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8</w:t>
            </w:r>
          </w:p>
        </w:tc>
        <w:tc>
          <w:tcPr>
            <w:tcW w:w="947" w:type="dxa"/>
            <w:tcBorders>
              <w:top w:val="nil"/>
              <w:left w:val="nil"/>
              <w:bottom w:val="single" w:color="auto" w:sz="4" w:space="0"/>
              <w:right w:val="single" w:color="auto" w:sz="4" w:space="0"/>
            </w:tcBorders>
            <w:noWrap w:val="0"/>
            <w:vAlign w:val="center"/>
          </w:tcPr>
          <w:p w14:paraId="551F98D9">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22</w:t>
            </w:r>
          </w:p>
        </w:tc>
        <w:tc>
          <w:tcPr>
            <w:tcW w:w="1011" w:type="dxa"/>
            <w:tcBorders>
              <w:top w:val="nil"/>
              <w:left w:val="nil"/>
              <w:bottom w:val="single" w:color="auto" w:sz="4" w:space="0"/>
              <w:right w:val="single" w:color="auto" w:sz="4" w:space="0"/>
            </w:tcBorders>
            <w:noWrap w:val="0"/>
            <w:vAlign w:val="center"/>
          </w:tcPr>
          <w:p w14:paraId="42B40088">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176</w:t>
            </w:r>
          </w:p>
        </w:tc>
      </w:tr>
      <w:tr w14:paraId="6C47F3F5">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262262C6">
            <w:pPr>
              <w:ind w:firstLine="480"/>
              <w:jc w:val="left"/>
              <w:rPr>
                <w:rFonts w:hint="default" w:ascii="Times New Roman" w:hAnsi="Times New Roman" w:eastAsia="宋体" w:cs="Times New Roman"/>
                <w:color w:val="auto"/>
                <w:kern w:val="0"/>
                <w:sz w:val="24"/>
                <w:szCs w:val="24"/>
              </w:rPr>
            </w:pPr>
          </w:p>
        </w:tc>
        <w:tc>
          <w:tcPr>
            <w:tcW w:w="1942" w:type="dxa"/>
            <w:gridSpan w:val="2"/>
            <w:vMerge w:val="continue"/>
            <w:tcBorders>
              <w:left w:val="nil"/>
              <w:bottom w:val="single" w:color="auto" w:sz="4" w:space="0"/>
              <w:right w:val="single" w:color="auto" w:sz="4" w:space="0"/>
            </w:tcBorders>
            <w:noWrap w:val="0"/>
            <w:vAlign w:val="center"/>
          </w:tcPr>
          <w:p w14:paraId="26CB2186">
            <w:pPr>
              <w:jc w:val="center"/>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0"/>
            <w:vAlign w:val="center"/>
          </w:tcPr>
          <w:p w14:paraId="36A2F3FB">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0"/>
            <w:vAlign w:val="center"/>
          </w:tcPr>
          <w:p w14:paraId="32DA7960">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w:t>
            </w:r>
          </w:p>
        </w:tc>
        <w:tc>
          <w:tcPr>
            <w:tcW w:w="837" w:type="dxa"/>
            <w:tcBorders>
              <w:top w:val="nil"/>
              <w:left w:val="nil"/>
              <w:bottom w:val="single" w:color="auto" w:sz="4" w:space="0"/>
              <w:right w:val="single" w:color="auto" w:sz="4" w:space="0"/>
            </w:tcBorders>
            <w:noWrap w:val="0"/>
            <w:vAlign w:val="center"/>
          </w:tcPr>
          <w:p w14:paraId="175BA89F">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61EDA394">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w:t>
            </w:r>
          </w:p>
        </w:tc>
        <w:tc>
          <w:tcPr>
            <w:tcW w:w="947" w:type="dxa"/>
            <w:tcBorders>
              <w:top w:val="nil"/>
              <w:left w:val="nil"/>
              <w:bottom w:val="single" w:color="auto" w:sz="4" w:space="0"/>
              <w:right w:val="single" w:color="auto" w:sz="4" w:space="0"/>
            </w:tcBorders>
            <w:noWrap w:val="0"/>
            <w:vAlign w:val="center"/>
          </w:tcPr>
          <w:p w14:paraId="5C6F657B">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220</w:t>
            </w:r>
          </w:p>
        </w:tc>
        <w:tc>
          <w:tcPr>
            <w:tcW w:w="1011" w:type="dxa"/>
            <w:tcBorders>
              <w:top w:val="nil"/>
              <w:left w:val="nil"/>
              <w:bottom w:val="single" w:color="auto" w:sz="4" w:space="0"/>
              <w:right w:val="single" w:color="auto" w:sz="4" w:space="0"/>
            </w:tcBorders>
            <w:noWrap w:val="0"/>
            <w:vAlign w:val="center"/>
          </w:tcPr>
          <w:p w14:paraId="5D624F1B">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880</w:t>
            </w:r>
          </w:p>
        </w:tc>
      </w:tr>
      <w:tr w14:paraId="31A54DF3">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385E99DE">
            <w:pPr>
              <w:ind w:firstLine="480"/>
              <w:jc w:val="left"/>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0"/>
            <w:vAlign w:val="center"/>
          </w:tcPr>
          <w:p w14:paraId="0E32BDBB">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足球场</w:t>
            </w:r>
          </w:p>
        </w:tc>
        <w:tc>
          <w:tcPr>
            <w:tcW w:w="2164" w:type="dxa"/>
            <w:tcBorders>
              <w:top w:val="nil"/>
              <w:left w:val="nil"/>
              <w:bottom w:val="single" w:color="auto" w:sz="4" w:space="0"/>
              <w:right w:val="single" w:color="auto" w:sz="4" w:space="0"/>
            </w:tcBorders>
            <w:noWrap w:val="0"/>
            <w:vAlign w:val="center"/>
          </w:tcPr>
          <w:p w14:paraId="06D79603">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厕所（含洗漱间）</w:t>
            </w:r>
          </w:p>
        </w:tc>
        <w:tc>
          <w:tcPr>
            <w:tcW w:w="868" w:type="dxa"/>
            <w:tcBorders>
              <w:top w:val="nil"/>
              <w:left w:val="nil"/>
              <w:bottom w:val="single" w:color="auto" w:sz="4" w:space="0"/>
              <w:right w:val="single" w:color="auto" w:sz="4" w:space="0"/>
            </w:tcBorders>
            <w:noWrap w:val="0"/>
            <w:vAlign w:val="center"/>
          </w:tcPr>
          <w:p w14:paraId="4F221C65">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837" w:type="dxa"/>
            <w:tcBorders>
              <w:top w:val="nil"/>
              <w:left w:val="nil"/>
              <w:bottom w:val="single" w:color="auto" w:sz="4" w:space="0"/>
              <w:right w:val="single" w:color="auto" w:sz="4" w:space="0"/>
            </w:tcBorders>
            <w:noWrap w:val="0"/>
            <w:vAlign w:val="center"/>
          </w:tcPr>
          <w:p w14:paraId="120E7505">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837" w:type="dxa"/>
            <w:tcBorders>
              <w:top w:val="nil"/>
              <w:left w:val="nil"/>
              <w:bottom w:val="single" w:color="auto" w:sz="4" w:space="0"/>
              <w:right w:val="single" w:color="auto" w:sz="4" w:space="0"/>
            </w:tcBorders>
            <w:noWrap w:val="0"/>
            <w:vAlign w:val="center"/>
          </w:tcPr>
          <w:p w14:paraId="4ECF27C5">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w:t>
            </w:r>
          </w:p>
        </w:tc>
        <w:tc>
          <w:tcPr>
            <w:tcW w:w="947" w:type="dxa"/>
            <w:tcBorders>
              <w:top w:val="nil"/>
              <w:left w:val="nil"/>
              <w:bottom w:val="single" w:color="auto" w:sz="4" w:space="0"/>
              <w:right w:val="single" w:color="auto" w:sz="4" w:space="0"/>
            </w:tcBorders>
            <w:noWrap w:val="0"/>
            <w:vAlign w:val="center"/>
          </w:tcPr>
          <w:p w14:paraId="62EBC768">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47</w:t>
            </w:r>
          </w:p>
        </w:tc>
        <w:tc>
          <w:tcPr>
            <w:tcW w:w="1011" w:type="dxa"/>
            <w:tcBorders>
              <w:top w:val="nil"/>
              <w:left w:val="nil"/>
              <w:bottom w:val="single" w:color="auto" w:sz="4" w:space="0"/>
              <w:right w:val="single" w:color="auto" w:sz="4" w:space="0"/>
            </w:tcBorders>
            <w:noWrap w:val="0"/>
            <w:vAlign w:val="center"/>
          </w:tcPr>
          <w:p w14:paraId="7CDAABBD">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188</w:t>
            </w:r>
          </w:p>
        </w:tc>
      </w:tr>
      <w:tr w14:paraId="7AA9EA0D">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2C04B502">
            <w:pPr>
              <w:ind w:firstLine="480"/>
              <w:jc w:val="left"/>
              <w:rPr>
                <w:rFonts w:hint="default" w:ascii="Times New Roman" w:hAnsi="Times New Roman" w:eastAsia="宋体" w:cs="Times New Roman"/>
                <w:color w:val="auto"/>
                <w:kern w:val="0"/>
                <w:sz w:val="24"/>
                <w:szCs w:val="24"/>
              </w:rPr>
            </w:pPr>
          </w:p>
        </w:tc>
        <w:tc>
          <w:tcPr>
            <w:tcW w:w="1942" w:type="dxa"/>
            <w:gridSpan w:val="2"/>
            <w:vMerge w:val="restart"/>
            <w:tcBorders>
              <w:top w:val="single" w:color="auto" w:sz="4" w:space="0"/>
              <w:left w:val="nil"/>
              <w:right w:val="single" w:color="auto" w:sz="4" w:space="0"/>
            </w:tcBorders>
            <w:noWrap w:val="0"/>
            <w:vAlign w:val="center"/>
          </w:tcPr>
          <w:p w14:paraId="7D02D03D">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二期指挥部</w:t>
            </w:r>
          </w:p>
        </w:tc>
        <w:tc>
          <w:tcPr>
            <w:tcW w:w="2164" w:type="dxa"/>
            <w:tcBorders>
              <w:top w:val="nil"/>
              <w:left w:val="nil"/>
              <w:bottom w:val="single" w:color="auto" w:sz="4" w:space="0"/>
              <w:right w:val="single" w:color="auto" w:sz="4" w:space="0"/>
            </w:tcBorders>
            <w:noWrap w:val="0"/>
            <w:vAlign w:val="center"/>
          </w:tcPr>
          <w:p w14:paraId="19BC875B">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厕所（含洗漱间）</w:t>
            </w:r>
          </w:p>
        </w:tc>
        <w:tc>
          <w:tcPr>
            <w:tcW w:w="868" w:type="dxa"/>
            <w:tcBorders>
              <w:top w:val="nil"/>
              <w:left w:val="nil"/>
              <w:bottom w:val="single" w:color="auto" w:sz="4" w:space="0"/>
              <w:right w:val="single" w:color="auto" w:sz="4" w:space="0"/>
            </w:tcBorders>
            <w:noWrap w:val="0"/>
            <w:vAlign w:val="center"/>
          </w:tcPr>
          <w:p w14:paraId="6E59A8CC">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837" w:type="dxa"/>
            <w:tcBorders>
              <w:top w:val="nil"/>
              <w:left w:val="nil"/>
              <w:bottom w:val="single" w:color="auto" w:sz="4" w:space="0"/>
              <w:right w:val="single" w:color="auto" w:sz="4" w:space="0"/>
            </w:tcBorders>
            <w:noWrap w:val="0"/>
            <w:vAlign w:val="center"/>
          </w:tcPr>
          <w:p w14:paraId="34068BC7">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837" w:type="dxa"/>
            <w:tcBorders>
              <w:top w:val="nil"/>
              <w:left w:val="nil"/>
              <w:bottom w:val="single" w:color="auto" w:sz="4" w:space="0"/>
              <w:right w:val="single" w:color="auto" w:sz="4" w:space="0"/>
            </w:tcBorders>
            <w:noWrap w:val="0"/>
            <w:vAlign w:val="center"/>
          </w:tcPr>
          <w:p w14:paraId="0255878C">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w:t>
            </w:r>
          </w:p>
        </w:tc>
        <w:tc>
          <w:tcPr>
            <w:tcW w:w="947" w:type="dxa"/>
            <w:tcBorders>
              <w:top w:val="nil"/>
              <w:left w:val="nil"/>
              <w:bottom w:val="single" w:color="auto" w:sz="4" w:space="0"/>
              <w:right w:val="single" w:color="auto" w:sz="4" w:space="0"/>
            </w:tcBorders>
            <w:noWrap w:val="0"/>
            <w:vAlign w:val="center"/>
          </w:tcPr>
          <w:p w14:paraId="05276C85">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18</w:t>
            </w:r>
          </w:p>
        </w:tc>
        <w:tc>
          <w:tcPr>
            <w:tcW w:w="1011" w:type="dxa"/>
            <w:tcBorders>
              <w:top w:val="nil"/>
              <w:left w:val="nil"/>
              <w:bottom w:val="single" w:color="auto" w:sz="4" w:space="0"/>
              <w:right w:val="single" w:color="auto" w:sz="4" w:space="0"/>
            </w:tcBorders>
            <w:noWrap w:val="0"/>
            <w:vAlign w:val="center"/>
          </w:tcPr>
          <w:p w14:paraId="7F11632C">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72</w:t>
            </w:r>
          </w:p>
        </w:tc>
      </w:tr>
      <w:tr w14:paraId="353C5B84">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018DC831">
            <w:pPr>
              <w:ind w:firstLine="480"/>
              <w:jc w:val="left"/>
              <w:rPr>
                <w:rFonts w:hint="default" w:ascii="Times New Roman" w:hAnsi="Times New Roman" w:eastAsia="宋体" w:cs="Times New Roman"/>
                <w:color w:val="auto"/>
                <w:kern w:val="0"/>
                <w:sz w:val="24"/>
                <w:szCs w:val="24"/>
              </w:rPr>
            </w:pPr>
          </w:p>
        </w:tc>
        <w:tc>
          <w:tcPr>
            <w:tcW w:w="1942" w:type="dxa"/>
            <w:gridSpan w:val="2"/>
            <w:vMerge w:val="continue"/>
            <w:tcBorders>
              <w:left w:val="nil"/>
              <w:bottom w:val="single" w:color="auto" w:sz="4" w:space="0"/>
              <w:right w:val="single" w:color="auto" w:sz="4" w:space="0"/>
            </w:tcBorders>
            <w:noWrap w:val="0"/>
            <w:vAlign w:val="center"/>
          </w:tcPr>
          <w:p w14:paraId="424AF162">
            <w:pPr>
              <w:jc w:val="center"/>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0"/>
            <w:vAlign w:val="center"/>
          </w:tcPr>
          <w:p w14:paraId="20535AC6">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0"/>
            <w:vAlign w:val="center"/>
          </w:tcPr>
          <w:p w14:paraId="05E06F1A">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w:t>
            </w:r>
          </w:p>
        </w:tc>
        <w:tc>
          <w:tcPr>
            <w:tcW w:w="837" w:type="dxa"/>
            <w:tcBorders>
              <w:top w:val="nil"/>
              <w:left w:val="nil"/>
              <w:bottom w:val="single" w:color="auto" w:sz="4" w:space="0"/>
              <w:right w:val="single" w:color="auto" w:sz="4" w:space="0"/>
            </w:tcBorders>
            <w:noWrap w:val="0"/>
            <w:vAlign w:val="center"/>
          </w:tcPr>
          <w:p w14:paraId="5E3AD87E">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7D8A7C1A">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w:t>
            </w:r>
          </w:p>
        </w:tc>
        <w:tc>
          <w:tcPr>
            <w:tcW w:w="947" w:type="dxa"/>
            <w:tcBorders>
              <w:top w:val="nil"/>
              <w:left w:val="nil"/>
              <w:bottom w:val="single" w:color="auto" w:sz="4" w:space="0"/>
              <w:right w:val="single" w:color="auto" w:sz="4" w:space="0"/>
            </w:tcBorders>
            <w:noWrap w:val="0"/>
            <w:vAlign w:val="center"/>
          </w:tcPr>
          <w:p w14:paraId="7ACBB1FA">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90</w:t>
            </w:r>
          </w:p>
        </w:tc>
        <w:tc>
          <w:tcPr>
            <w:tcW w:w="1011" w:type="dxa"/>
            <w:tcBorders>
              <w:top w:val="nil"/>
              <w:left w:val="nil"/>
              <w:bottom w:val="single" w:color="auto" w:sz="4" w:space="0"/>
              <w:right w:val="single" w:color="auto" w:sz="4" w:space="0"/>
            </w:tcBorders>
            <w:noWrap w:val="0"/>
            <w:vAlign w:val="center"/>
          </w:tcPr>
          <w:p w14:paraId="3EA7D6D2">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270</w:t>
            </w:r>
          </w:p>
        </w:tc>
      </w:tr>
      <w:tr w14:paraId="4BB4AF14">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7F64A5F0">
            <w:pPr>
              <w:ind w:firstLine="480"/>
              <w:jc w:val="left"/>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0"/>
            <w:vAlign w:val="center"/>
          </w:tcPr>
          <w:p w14:paraId="6996E8F9">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智能交通学院（火车头）</w:t>
            </w:r>
          </w:p>
        </w:tc>
        <w:tc>
          <w:tcPr>
            <w:tcW w:w="2164" w:type="dxa"/>
            <w:tcBorders>
              <w:top w:val="nil"/>
              <w:left w:val="nil"/>
              <w:bottom w:val="single" w:color="auto" w:sz="4" w:space="0"/>
              <w:right w:val="single" w:color="auto" w:sz="4" w:space="0"/>
            </w:tcBorders>
            <w:noWrap w:val="0"/>
            <w:vAlign w:val="center"/>
          </w:tcPr>
          <w:p w14:paraId="1C493EAE">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厕所（含洗漱间）</w:t>
            </w:r>
          </w:p>
        </w:tc>
        <w:tc>
          <w:tcPr>
            <w:tcW w:w="868" w:type="dxa"/>
            <w:tcBorders>
              <w:top w:val="nil"/>
              <w:left w:val="nil"/>
              <w:bottom w:val="single" w:color="auto" w:sz="4" w:space="0"/>
              <w:right w:val="single" w:color="auto" w:sz="4" w:space="0"/>
            </w:tcBorders>
            <w:noWrap w:val="0"/>
            <w:vAlign w:val="center"/>
          </w:tcPr>
          <w:p w14:paraId="0949FDFF">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837" w:type="dxa"/>
            <w:tcBorders>
              <w:top w:val="nil"/>
              <w:left w:val="nil"/>
              <w:bottom w:val="single" w:color="auto" w:sz="4" w:space="0"/>
              <w:right w:val="single" w:color="auto" w:sz="4" w:space="0"/>
            </w:tcBorders>
            <w:noWrap w:val="0"/>
            <w:vAlign w:val="center"/>
          </w:tcPr>
          <w:p w14:paraId="69170D8B">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837" w:type="dxa"/>
            <w:tcBorders>
              <w:top w:val="nil"/>
              <w:left w:val="nil"/>
              <w:bottom w:val="single" w:color="auto" w:sz="4" w:space="0"/>
              <w:right w:val="single" w:color="auto" w:sz="4" w:space="0"/>
            </w:tcBorders>
            <w:noWrap w:val="0"/>
            <w:vAlign w:val="center"/>
          </w:tcPr>
          <w:p w14:paraId="109DA89A">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w:t>
            </w:r>
          </w:p>
        </w:tc>
        <w:tc>
          <w:tcPr>
            <w:tcW w:w="947" w:type="dxa"/>
            <w:tcBorders>
              <w:top w:val="nil"/>
              <w:left w:val="nil"/>
              <w:bottom w:val="single" w:color="auto" w:sz="4" w:space="0"/>
              <w:right w:val="single" w:color="auto" w:sz="4" w:space="0"/>
            </w:tcBorders>
            <w:noWrap w:val="0"/>
            <w:vAlign w:val="center"/>
          </w:tcPr>
          <w:p w14:paraId="57870730">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47</w:t>
            </w:r>
          </w:p>
        </w:tc>
        <w:tc>
          <w:tcPr>
            <w:tcW w:w="1011" w:type="dxa"/>
            <w:tcBorders>
              <w:top w:val="nil"/>
              <w:left w:val="nil"/>
              <w:bottom w:val="single" w:color="auto" w:sz="4" w:space="0"/>
              <w:right w:val="single" w:color="auto" w:sz="4" w:space="0"/>
            </w:tcBorders>
            <w:noWrap w:val="0"/>
            <w:vAlign w:val="center"/>
          </w:tcPr>
          <w:p w14:paraId="0A3F0E52">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188</w:t>
            </w:r>
          </w:p>
        </w:tc>
      </w:tr>
      <w:tr w14:paraId="4BD9D424">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19EF3199">
            <w:pPr>
              <w:ind w:firstLine="480"/>
              <w:jc w:val="left"/>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0"/>
            <w:vAlign w:val="center"/>
          </w:tcPr>
          <w:p w14:paraId="7E728406">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综合楼（2楼）</w:t>
            </w:r>
          </w:p>
        </w:tc>
        <w:tc>
          <w:tcPr>
            <w:tcW w:w="2164" w:type="dxa"/>
            <w:tcBorders>
              <w:top w:val="nil"/>
              <w:left w:val="nil"/>
              <w:bottom w:val="single" w:color="auto" w:sz="4" w:space="0"/>
              <w:right w:val="single" w:color="auto" w:sz="4" w:space="0"/>
            </w:tcBorders>
            <w:noWrap w:val="0"/>
            <w:vAlign w:val="center"/>
          </w:tcPr>
          <w:p w14:paraId="798F42B3">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厕所（含洗漱间）</w:t>
            </w:r>
          </w:p>
        </w:tc>
        <w:tc>
          <w:tcPr>
            <w:tcW w:w="868" w:type="dxa"/>
            <w:tcBorders>
              <w:top w:val="nil"/>
              <w:left w:val="nil"/>
              <w:bottom w:val="single" w:color="auto" w:sz="4" w:space="0"/>
              <w:right w:val="single" w:color="auto" w:sz="4" w:space="0"/>
            </w:tcBorders>
            <w:noWrap w:val="0"/>
            <w:vAlign w:val="center"/>
          </w:tcPr>
          <w:p w14:paraId="023ABA46">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31ADBC8F">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w:t>
            </w:r>
          </w:p>
        </w:tc>
        <w:tc>
          <w:tcPr>
            <w:tcW w:w="837" w:type="dxa"/>
            <w:tcBorders>
              <w:top w:val="nil"/>
              <w:left w:val="nil"/>
              <w:bottom w:val="single" w:color="auto" w:sz="4" w:space="0"/>
              <w:right w:val="single" w:color="auto" w:sz="4" w:space="0"/>
            </w:tcBorders>
            <w:noWrap w:val="0"/>
            <w:vAlign w:val="center"/>
          </w:tcPr>
          <w:p w14:paraId="02FE033C">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w:t>
            </w:r>
          </w:p>
        </w:tc>
        <w:tc>
          <w:tcPr>
            <w:tcW w:w="947" w:type="dxa"/>
            <w:tcBorders>
              <w:top w:val="nil"/>
              <w:left w:val="nil"/>
              <w:bottom w:val="single" w:color="auto" w:sz="4" w:space="0"/>
              <w:right w:val="single" w:color="auto" w:sz="4" w:space="0"/>
            </w:tcBorders>
            <w:noWrap w:val="0"/>
            <w:vAlign w:val="center"/>
          </w:tcPr>
          <w:p w14:paraId="77388C95">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264</w:t>
            </w:r>
          </w:p>
        </w:tc>
        <w:tc>
          <w:tcPr>
            <w:tcW w:w="1011" w:type="dxa"/>
            <w:tcBorders>
              <w:top w:val="nil"/>
              <w:left w:val="nil"/>
              <w:bottom w:val="single" w:color="auto" w:sz="4" w:space="0"/>
              <w:right w:val="single" w:color="auto" w:sz="4" w:space="0"/>
            </w:tcBorders>
            <w:noWrap w:val="0"/>
            <w:vAlign w:val="center"/>
          </w:tcPr>
          <w:p w14:paraId="720440FF">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264</w:t>
            </w:r>
          </w:p>
        </w:tc>
      </w:tr>
      <w:tr w14:paraId="598FE830">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3FBC79A1">
            <w:pPr>
              <w:ind w:firstLine="480"/>
              <w:jc w:val="left"/>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ign w:val="center"/>
          </w:tcPr>
          <w:p w14:paraId="607748A2">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教工餐厅</w:t>
            </w:r>
          </w:p>
        </w:tc>
        <w:tc>
          <w:tcPr>
            <w:tcW w:w="2164" w:type="dxa"/>
            <w:tcBorders>
              <w:top w:val="nil"/>
              <w:left w:val="nil"/>
              <w:bottom w:val="single" w:color="auto" w:sz="4" w:space="0"/>
              <w:right w:val="single" w:color="auto" w:sz="4" w:space="0"/>
            </w:tcBorders>
            <w:noWrap w:val="0"/>
            <w:vAlign w:val="center"/>
          </w:tcPr>
          <w:p w14:paraId="582F5C9B">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厕所（含洗漱间）</w:t>
            </w:r>
          </w:p>
        </w:tc>
        <w:tc>
          <w:tcPr>
            <w:tcW w:w="868" w:type="dxa"/>
            <w:tcBorders>
              <w:top w:val="nil"/>
              <w:left w:val="nil"/>
              <w:bottom w:val="single" w:color="auto" w:sz="4" w:space="0"/>
              <w:right w:val="single" w:color="auto" w:sz="4" w:space="0"/>
            </w:tcBorders>
            <w:noWrap w:val="0"/>
            <w:vAlign w:val="center"/>
          </w:tcPr>
          <w:p w14:paraId="736DB524">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30712EE8">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837" w:type="dxa"/>
            <w:tcBorders>
              <w:top w:val="nil"/>
              <w:left w:val="nil"/>
              <w:bottom w:val="single" w:color="auto" w:sz="4" w:space="0"/>
              <w:right w:val="single" w:color="auto" w:sz="4" w:space="0"/>
            </w:tcBorders>
            <w:noWrap w:val="0"/>
            <w:vAlign w:val="center"/>
          </w:tcPr>
          <w:p w14:paraId="4F4C5831">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947" w:type="dxa"/>
            <w:tcBorders>
              <w:top w:val="nil"/>
              <w:left w:val="nil"/>
              <w:bottom w:val="single" w:color="auto" w:sz="4" w:space="0"/>
              <w:right w:val="single" w:color="auto" w:sz="4" w:space="0"/>
            </w:tcBorders>
            <w:noWrap/>
            <w:vAlign w:val="center"/>
          </w:tcPr>
          <w:p w14:paraId="0896440C">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15</w:t>
            </w:r>
          </w:p>
        </w:tc>
        <w:tc>
          <w:tcPr>
            <w:tcW w:w="1011" w:type="dxa"/>
            <w:tcBorders>
              <w:top w:val="nil"/>
              <w:left w:val="nil"/>
              <w:bottom w:val="single" w:color="auto" w:sz="4" w:space="0"/>
              <w:right w:val="single" w:color="auto" w:sz="4" w:space="0"/>
            </w:tcBorders>
            <w:noWrap w:val="0"/>
            <w:vAlign w:val="center"/>
          </w:tcPr>
          <w:p w14:paraId="46BFD5CC">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w:t>
            </w:r>
          </w:p>
        </w:tc>
      </w:tr>
      <w:tr w14:paraId="79C62900">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79965739">
            <w:pPr>
              <w:ind w:firstLine="480"/>
              <w:jc w:val="left"/>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ign w:val="center"/>
          </w:tcPr>
          <w:p w14:paraId="475A7800">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一组团教室</w:t>
            </w:r>
          </w:p>
        </w:tc>
        <w:tc>
          <w:tcPr>
            <w:tcW w:w="2164" w:type="dxa"/>
            <w:vMerge w:val="restart"/>
            <w:tcBorders>
              <w:top w:val="nil"/>
              <w:left w:val="single" w:color="auto" w:sz="4" w:space="0"/>
              <w:bottom w:val="single" w:color="auto" w:sz="4" w:space="0"/>
              <w:right w:val="single" w:color="auto" w:sz="4" w:space="0"/>
            </w:tcBorders>
            <w:noWrap w:val="0"/>
            <w:vAlign w:val="center"/>
          </w:tcPr>
          <w:p w14:paraId="389EE0D2">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桌凳整理、保洁、夜自习开门。</w:t>
            </w:r>
          </w:p>
        </w:tc>
        <w:tc>
          <w:tcPr>
            <w:tcW w:w="868" w:type="dxa"/>
            <w:tcBorders>
              <w:top w:val="nil"/>
              <w:left w:val="nil"/>
              <w:bottom w:val="single" w:color="auto" w:sz="4" w:space="0"/>
              <w:right w:val="single" w:color="auto" w:sz="4" w:space="0"/>
            </w:tcBorders>
            <w:noWrap w:val="0"/>
            <w:vAlign w:val="center"/>
          </w:tcPr>
          <w:p w14:paraId="2D85E9B2">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0"/>
            <w:vAlign w:val="center"/>
          </w:tcPr>
          <w:p w14:paraId="78F1779C">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11</w:t>
            </w:r>
          </w:p>
        </w:tc>
        <w:tc>
          <w:tcPr>
            <w:tcW w:w="837" w:type="dxa"/>
            <w:tcBorders>
              <w:top w:val="nil"/>
              <w:left w:val="nil"/>
              <w:bottom w:val="single" w:color="auto" w:sz="4" w:space="0"/>
              <w:right w:val="single" w:color="auto" w:sz="4" w:space="0"/>
            </w:tcBorders>
            <w:noWrap w:val="0"/>
            <w:vAlign w:val="center"/>
          </w:tcPr>
          <w:p w14:paraId="7765092E">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66</w:t>
            </w:r>
          </w:p>
        </w:tc>
        <w:tc>
          <w:tcPr>
            <w:tcW w:w="947" w:type="dxa"/>
            <w:tcBorders>
              <w:top w:val="nil"/>
              <w:left w:val="nil"/>
              <w:bottom w:val="single" w:color="auto" w:sz="4" w:space="0"/>
              <w:right w:val="single" w:color="auto" w:sz="4" w:space="0"/>
            </w:tcBorders>
            <w:noWrap/>
            <w:vAlign w:val="center"/>
          </w:tcPr>
          <w:p w14:paraId="7123CF34">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100</w:t>
            </w:r>
          </w:p>
        </w:tc>
        <w:tc>
          <w:tcPr>
            <w:tcW w:w="1011" w:type="dxa"/>
            <w:tcBorders>
              <w:top w:val="nil"/>
              <w:left w:val="nil"/>
              <w:bottom w:val="single" w:color="auto" w:sz="4" w:space="0"/>
              <w:right w:val="single" w:color="auto" w:sz="4" w:space="0"/>
            </w:tcBorders>
            <w:noWrap w:val="0"/>
            <w:vAlign w:val="center"/>
          </w:tcPr>
          <w:p w14:paraId="4CAF9FE2">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6600</w:t>
            </w:r>
          </w:p>
        </w:tc>
      </w:tr>
      <w:tr w14:paraId="6B7D67AC">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011A0659">
            <w:pPr>
              <w:ind w:firstLine="480"/>
              <w:jc w:val="left"/>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ign w:val="center"/>
          </w:tcPr>
          <w:p w14:paraId="33D2B751">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二组团教室</w:t>
            </w:r>
          </w:p>
        </w:tc>
        <w:tc>
          <w:tcPr>
            <w:tcW w:w="2164" w:type="dxa"/>
            <w:vMerge w:val="continue"/>
            <w:tcBorders>
              <w:top w:val="nil"/>
              <w:left w:val="single" w:color="auto" w:sz="4" w:space="0"/>
              <w:bottom w:val="single" w:color="auto" w:sz="4" w:space="0"/>
              <w:right w:val="single" w:color="auto" w:sz="4" w:space="0"/>
            </w:tcBorders>
            <w:noWrap w:val="0"/>
            <w:vAlign w:val="center"/>
          </w:tcPr>
          <w:p w14:paraId="2438E47D">
            <w:pPr>
              <w:jc w:val="center"/>
              <w:rPr>
                <w:rFonts w:hint="default" w:ascii="Times New Roman" w:hAnsi="Times New Roman" w:eastAsia="宋体" w:cs="Times New Roman"/>
                <w:color w:val="auto"/>
                <w:kern w:val="0"/>
                <w:sz w:val="24"/>
                <w:szCs w:val="24"/>
              </w:rPr>
            </w:pPr>
          </w:p>
        </w:tc>
        <w:tc>
          <w:tcPr>
            <w:tcW w:w="868" w:type="dxa"/>
            <w:tcBorders>
              <w:top w:val="nil"/>
              <w:left w:val="nil"/>
              <w:bottom w:val="single" w:color="auto" w:sz="4" w:space="0"/>
              <w:right w:val="single" w:color="auto" w:sz="4" w:space="0"/>
            </w:tcBorders>
            <w:noWrap w:val="0"/>
            <w:vAlign w:val="center"/>
          </w:tcPr>
          <w:p w14:paraId="09FEEED1">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0"/>
            <w:vAlign w:val="center"/>
          </w:tcPr>
          <w:p w14:paraId="047A264E">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11</w:t>
            </w:r>
          </w:p>
        </w:tc>
        <w:tc>
          <w:tcPr>
            <w:tcW w:w="837" w:type="dxa"/>
            <w:tcBorders>
              <w:top w:val="nil"/>
              <w:left w:val="nil"/>
              <w:bottom w:val="single" w:color="auto" w:sz="4" w:space="0"/>
              <w:right w:val="single" w:color="auto" w:sz="4" w:space="0"/>
            </w:tcBorders>
            <w:noWrap w:val="0"/>
            <w:vAlign w:val="center"/>
          </w:tcPr>
          <w:p w14:paraId="30E379E2">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66</w:t>
            </w:r>
          </w:p>
        </w:tc>
        <w:tc>
          <w:tcPr>
            <w:tcW w:w="947" w:type="dxa"/>
            <w:tcBorders>
              <w:top w:val="nil"/>
              <w:left w:val="nil"/>
              <w:bottom w:val="single" w:color="auto" w:sz="4" w:space="0"/>
              <w:right w:val="single" w:color="auto" w:sz="4" w:space="0"/>
            </w:tcBorders>
            <w:noWrap/>
            <w:vAlign w:val="center"/>
          </w:tcPr>
          <w:p w14:paraId="34F11AB2">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100</w:t>
            </w:r>
          </w:p>
        </w:tc>
        <w:tc>
          <w:tcPr>
            <w:tcW w:w="1011" w:type="dxa"/>
            <w:tcBorders>
              <w:top w:val="nil"/>
              <w:left w:val="nil"/>
              <w:bottom w:val="single" w:color="auto" w:sz="4" w:space="0"/>
              <w:right w:val="single" w:color="auto" w:sz="4" w:space="0"/>
            </w:tcBorders>
            <w:noWrap w:val="0"/>
            <w:vAlign w:val="center"/>
          </w:tcPr>
          <w:p w14:paraId="6CA074AB">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6600</w:t>
            </w:r>
          </w:p>
        </w:tc>
      </w:tr>
      <w:tr w14:paraId="13B3C394">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175FDF1A">
            <w:pPr>
              <w:ind w:firstLine="480"/>
              <w:jc w:val="left"/>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ign w:val="center"/>
          </w:tcPr>
          <w:p w14:paraId="26449196">
            <w:pPr>
              <w:ind w:firstLine="482"/>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岗位</w:t>
            </w:r>
          </w:p>
        </w:tc>
        <w:tc>
          <w:tcPr>
            <w:tcW w:w="2164" w:type="dxa"/>
            <w:tcBorders>
              <w:top w:val="nil"/>
              <w:left w:val="single" w:color="auto" w:sz="4" w:space="0"/>
              <w:bottom w:val="single" w:color="auto" w:sz="4" w:space="0"/>
              <w:right w:val="single" w:color="auto" w:sz="4" w:space="0"/>
            </w:tcBorders>
            <w:noWrap w:val="0"/>
            <w:vAlign w:val="center"/>
          </w:tcPr>
          <w:p w14:paraId="7FC45AF9">
            <w:pPr>
              <w:ind w:firstLine="482"/>
              <w:jc w:val="center"/>
              <w:rPr>
                <w:rFonts w:hint="default" w:ascii="Times New Roman" w:hAnsi="Times New Roman" w:eastAsia="仿宋_GB2312" w:cs="Times New Roman"/>
                <w:b/>
                <w:bCs/>
                <w:color w:val="auto"/>
                <w:kern w:val="0"/>
                <w:sz w:val="24"/>
                <w:lang w:eastAsia="zh-CN"/>
              </w:rPr>
            </w:pPr>
            <w:r>
              <w:rPr>
                <w:rFonts w:hint="default" w:ascii="Times New Roman" w:hAnsi="Times New Roman" w:cs="Times New Roman"/>
                <w:b/>
                <w:bCs/>
                <w:color w:val="auto"/>
                <w:kern w:val="0"/>
                <w:sz w:val="24"/>
                <w:lang w:val="en-US" w:eastAsia="zh-CN"/>
              </w:rPr>
              <w:t>单位</w:t>
            </w:r>
          </w:p>
        </w:tc>
        <w:tc>
          <w:tcPr>
            <w:tcW w:w="4500" w:type="dxa"/>
            <w:gridSpan w:val="5"/>
            <w:tcBorders>
              <w:top w:val="nil"/>
              <w:left w:val="nil"/>
              <w:bottom w:val="single" w:color="auto" w:sz="4" w:space="0"/>
              <w:right w:val="single" w:color="auto" w:sz="4" w:space="0"/>
            </w:tcBorders>
            <w:noWrap w:val="0"/>
            <w:vAlign w:val="center"/>
          </w:tcPr>
          <w:p w14:paraId="79D043B6">
            <w:pPr>
              <w:ind w:firstLine="482"/>
              <w:jc w:val="center"/>
              <w:rPr>
                <w:rFonts w:hint="default" w:ascii="Times New Roman" w:hAnsi="Times New Roman" w:eastAsia="宋体" w:cs="Times New Roman"/>
                <w:color w:val="auto"/>
                <w:kern w:val="0"/>
                <w:sz w:val="24"/>
                <w:szCs w:val="24"/>
              </w:rPr>
            </w:pPr>
            <w:r>
              <w:rPr>
                <w:rFonts w:hint="default" w:ascii="Times New Roman" w:hAnsi="Times New Roman" w:cs="Times New Roman"/>
                <w:b/>
                <w:bCs/>
                <w:color w:val="auto"/>
                <w:kern w:val="0"/>
                <w:sz w:val="24"/>
              </w:rPr>
              <w:t>主要工作职责</w:t>
            </w:r>
          </w:p>
        </w:tc>
      </w:tr>
      <w:tr w14:paraId="30032EB0">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6F05344E">
            <w:pPr>
              <w:ind w:firstLine="480"/>
              <w:jc w:val="left"/>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ign w:val="center"/>
          </w:tcPr>
          <w:p w14:paraId="1F762FD0">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校园保洁</w:t>
            </w:r>
          </w:p>
        </w:tc>
        <w:tc>
          <w:tcPr>
            <w:tcW w:w="2164" w:type="dxa"/>
            <w:tcBorders>
              <w:top w:val="nil"/>
              <w:left w:val="nil"/>
              <w:bottom w:val="single" w:color="auto" w:sz="4" w:space="0"/>
              <w:right w:val="single" w:color="auto" w:sz="4" w:space="0"/>
            </w:tcBorders>
            <w:noWrap w:val="0"/>
            <w:vAlign w:val="center"/>
          </w:tcPr>
          <w:p w14:paraId="0A2DDDE9">
            <w:pPr>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1项</w:t>
            </w:r>
          </w:p>
        </w:tc>
        <w:tc>
          <w:tcPr>
            <w:tcW w:w="4500" w:type="dxa"/>
            <w:gridSpan w:val="5"/>
            <w:tcBorders>
              <w:top w:val="nil"/>
              <w:left w:val="nil"/>
              <w:bottom w:val="single" w:color="auto" w:sz="4" w:space="0"/>
              <w:right w:val="single" w:color="auto" w:sz="4" w:space="0"/>
            </w:tcBorders>
            <w:noWrap w:val="0"/>
            <w:vAlign w:val="center"/>
          </w:tcPr>
          <w:p w14:paraId="7862BE28">
            <w:pPr>
              <w:jc w:val="left"/>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spacing w:val="0"/>
                <w:sz w:val="24"/>
                <w:szCs w:val="24"/>
              </w:rPr>
              <w:t>负责校园道路</w:t>
            </w:r>
            <w:r>
              <w:rPr>
                <w:rFonts w:hint="default" w:ascii="Times New Roman" w:hAnsi="Times New Roman" w:eastAsia="宋体" w:cs="Times New Roman"/>
                <w:color w:val="auto"/>
                <w:spacing w:val="0"/>
                <w:sz w:val="24"/>
                <w:szCs w:val="24"/>
                <w:highlight w:val="none"/>
              </w:rPr>
              <w:t>（约1</w:t>
            </w:r>
            <w:r>
              <w:rPr>
                <w:rFonts w:hint="default" w:ascii="Times New Roman" w:hAnsi="Times New Roman" w:eastAsia="宋体" w:cs="Times New Roman"/>
                <w:color w:val="auto"/>
                <w:spacing w:val="0"/>
                <w:sz w:val="24"/>
                <w:szCs w:val="24"/>
                <w:highlight w:val="none"/>
                <w:lang w:val="en-US" w:eastAsia="zh-CN"/>
              </w:rPr>
              <w:t>30</w:t>
            </w:r>
            <w:r>
              <w:rPr>
                <w:rFonts w:hint="default" w:ascii="Times New Roman" w:hAnsi="Times New Roman" w:eastAsia="宋体" w:cs="Times New Roman"/>
                <w:color w:val="auto"/>
                <w:spacing w:val="0"/>
                <w:sz w:val="24"/>
                <w:szCs w:val="24"/>
                <w:highlight w:val="none"/>
              </w:rPr>
              <w:t>00平方米</w:t>
            </w:r>
            <w:r>
              <w:rPr>
                <w:rFonts w:hint="default" w:ascii="Times New Roman" w:hAnsi="Times New Roman" w:eastAsia="宋体" w:cs="Times New Roman"/>
                <w:color w:val="auto"/>
                <w:spacing w:val="0"/>
                <w:sz w:val="24"/>
                <w:szCs w:val="24"/>
              </w:rPr>
              <w:t>）包括人行步道、广场卫生打扫，下水道清理等工作</w:t>
            </w:r>
            <w:r>
              <w:rPr>
                <w:rFonts w:hint="eastAsia"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z w:val="24"/>
                <w:szCs w:val="24"/>
              </w:rPr>
              <w:t>校园</w:t>
            </w:r>
            <w:r>
              <w:rPr>
                <w:rFonts w:hint="eastAsia" w:ascii="Times New Roman" w:hAnsi="Times New Roman" w:eastAsia="宋体" w:cs="Times New Roman"/>
                <w:color w:val="auto"/>
                <w:sz w:val="24"/>
                <w:szCs w:val="24"/>
                <w:lang w:val="en-US" w:eastAsia="zh-CN"/>
              </w:rPr>
              <w:t>绿化区域（约</w:t>
            </w:r>
            <w:r>
              <w:rPr>
                <w:rFonts w:hint="default" w:ascii="Times New Roman" w:hAnsi="Times New Roman" w:eastAsia="宋体" w:cs="Times New Roman"/>
                <w:color w:val="auto"/>
                <w:sz w:val="24"/>
                <w:szCs w:val="24"/>
              </w:rPr>
              <w:t>190.2亩</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pacing w:val="0"/>
                <w:sz w:val="24"/>
                <w:szCs w:val="24"/>
              </w:rPr>
              <w:t>垃圾袋、树枝、石头等卫生清理工作。</w:t>
            </w:r>
          </w:p>
        </w:tc>
      </w:tr>
      <w:tr w14:paraId="4EAB868A">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bottom w:val="single" w:color="auto" w:sz="4" w:space="0"/>
              <w:right w:val="single" w:color="auto" w:sz="4" w:space="0"/>
            </w:tcBorders>
            <w:noWrap w:val="0"/>
            <w:vAlign w:val="center"/>
          </w:tcPr>
          <w:p w14:paraId="6119A924">
            <w:pPr>
              <w:ind w:firstLine="480"/>
              <w:jc w:val="left"/>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ign w:val="center"/>
          </w:tcPr>
          <w:p w14:paraId="0B1F5974">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校园垃圾外运</w:t>
            </w:r>
          </w:p>
        </w:tc>
        <w:tc>
          <w:tcPr>
            <w:tcW w:w="2164" w:type="dxa"/>
            <w:tcBorders>
              <w:top w:val="nil"/>
              <w:left w:val="nil"/>
              <w:bottom w:val="single" w:color="auto" w:sz="4" w:space="0"/>
              <w:right w:val="single" w:color="auto" w:sz="4" w:space="0"/>
            </w:tcBorders>
            <w:noWrap w:val="0"/>
            <w:vAlign w:val="center"/>
          </w:tcPr>
          <w:p w14:paraId="5901CBCD">
            <w:pPr>
              <w:jc w:val="center"/>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2</w:t>
            </w:r>
            <w:r>
              <w:rPr>
                <w:rFonts w:hint="default" w:ascii="Times New Roman" w:hAnsi="Times New Roman" w:eastAsia="宋体" w:cs="Times New Roman"/>
                <w:color w:val="auto"/>
                <w:kern w:val="0"/>
                <w:sz w:val="24"/>
                <w:szCs w:val="24"/>
                <w:lang w:eastAsia="zh-CN"/>
              </w:rPr>
              <w:t>人</w:t>
            </w:r>
          </w:p>
        </w:tc>
        <w:tc>
          <w:tcPr>
            <w:tcW w:w="4500" w:type="dxa"/>
            <w:gridSpan w:val="5"/>
            <w:tcBorders>
              <w:top w:val="nil"/>
              <w:left w:val="nil"/>
              <w:bottom w:val="single" w:color="auto" w:sz="4" w:space="0"/>
              <w:right w:val="single" w:color="auto" w:sz="4" w:space="0"/>
            </w:tcBorders>
            <w:noWrap w:val="0"/>
            <w:vAlign w:val="center"/>
          </w:tcPr>
          <w:p w14:paraId="54A1A589">
            <w:pPr>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负责校内垃圾装车并运送至指定垃圾站。</w:t>
            </w:r>
          </w:p>
        </w:tc>
      </w:tr>
      <w:tr w14:paraId="03A399B9">
        <w:tblPrEx>
          <w:tblCellMar>
            <w:top w:w="0" w:type="dxa"/>
            <w:left w:w="108" w:type="dxa"/>
            <w:bottom w:w="0" w:type="dxa"/>
            <w:right w:w="108" w:type="dxa"/>
          </w:tblCellMar>
        </w:tblPrEx>
        <w:trPr>
          <w:trHeight w:val="510" w:hRule="atLeast"/>
          <w:jc w:val="center"/>
        </w:trPr>
        <w:tc>
          <w:tcPr>
            <w:tcW w:w="814" w:type="dxa"/>
            <w:vMerge w:val="restart"/>
            <w:tcBorders>
              <w:top w:val="nil"/>
              <w:left w:val="single" w:color="auto" w:sz="4" w:space="0"/>
              <w:right w:val="single" w:color="auto" w:sz="4" w:space="0"/>
            </w:tcBorders>
            <w:noWrap/>
            <w:vAlign w:val="center"/>
          </w:tcPr>
          <w:p w14:paraId="62FCD933">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宿舍管理</w:t>
            </w:r>
          </w:p>
        </w:tc>
        <w:tc>
          <w:tcPr>
            <w:tcW w:w="1942" w:type="dxa"/>
            <w:gridSpan w:val="2"/>
            <w:tcBorders>
              <w:top w:val="single" w:color="auto" w:sz="4" w:space="0"/>
              <w:left w:val="nil"/>
              <w:bottom w:val="single" w:color="auto" w:sz="4" w:space="0"/>
              <w:right w:val="single" w:color="auto" w:sz="4" w:space="0"/>
            </w:tcBorders>
            <w:noWrap/>
            <w:vAlign w:val="center"/>
          </w:tcPr>
          <w:p w14:paraId="7F891ACD">
            <w:pPr>
              <w:ind w:firstLine="482"/>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位置</w:t>
            </w:r>
          </w:p>
        </w:tc>
        <w:tc>
          <w:tcPr>
            <w:tcW w:w="2164" w:type="dxa"/>
            <w:tcBorders>
              <w:top w:val="nil"/>
              <w:left w:val="nil"/>
              <w:bottom w:val="single" w:color="auto" w:sz="4" w:space="0"/>
              <w:right w:val="single" w:color="auto" w:sz="4" w:space="0"/>
            </w:tcBorders>
            <w:noWrap/>
            <w:vAlign w:val="center"/>
          </w:tcPr>
          <w:p w14:paraId="68E070A6">
            <w:pPr>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岗位</w:t>
            </w:r>
          </w:p>
        </w:tc>
        <w:tc>
          <w:tcPr>
            <w:tcW w:w="868" w:type="dxa"/>
            <w:tcBorders>
              <w:top w:val="nil"/>
              <w:left w:val="nil"/>
              <w:bottom w:val="single" w:color="auto" w:sz="4" w:space="0"/>
              <w:right w:val="single" w:color="auto" w:sz="4" w:space="0"/>
            </w:tcBorders>
            <w:noWrap/>
            <w:vAlign w:val="center"/>
          </w:tcPr>
          <w:p w14:paraId="01A6B139">
            <w:pPr>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数量</w:t>
            </w:r>
          </w:p>
        </w:tc>
        <w:tc>
          <w:tcPr>
            <w:tcW w:w="3632" w:type="dxa"/>
            <w:gridSpan w:val="4"/>
            <w:tcBorders>
              <w:top w:val="nil"/>
              <w:left w:val="nil"/>
              <w:bottom w:val="single" w:color="auto" w:sz="4" w:space="0"/>
              <w:right w:val="single" w:color="auto" w:sz="4" w:space="0"/>
            </w:tcBorders>
            <w:noWrap/>
            <w:vAlign w:val="center"/>
          </w:tcPr>
          <w:p w14:paraId="43E0CC2E">
            <w:pPr>
              <w:ind w:firstLine="482"/>
              <w:jc w:val="center"/>
              <w:rPr>
                <w:rFonts w:hint="default" w:ascii="Times New Roman" w:hAnsi="Times New Roman" w:eastAsia="宋体" w:cs="Times New Roman"/>
                <w:b/>
                <w:bCs/>
                <w:color w:val="auto"/>
                <w:kern w:val="0"/>
                <w:sz w:val="24"/>
                <w:szCs w:val="24"/>
              </w:rPr>
            </w:pPr>
            <w:r>
              <w:rPr>
                <w:rFonts w:hint="default" w:ascii="Times New Roman" w:hAnsi="Times New Roman" w:cs="Times New Roman"/>
                <w:b/>
                <w:bCs/>
                <w:color w:val="auto"/>
                <w:kern w:val="0"/>
                <w:sz w:val="24"/>
              </w:rPr>
              <w:t>主要工作职责</w:t>
            </w:r>
          </w:p>
        </w:tc>
      </w:tr>
      <w:tr w14:paraId="1BFF5DD8">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7E99AA39">
            <w:pPr>
              <w:ind w:firstLine="480"/>
              <w:jc w:val="left"/>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ign w:val="center"/>
          </w:tcPr>
          <w:p w14:paraId="09E4F974">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1号宿舍楼</w:t>
            </w:r>
          </w:p>
        </w:tc>
        <w:tc>
          <w:tcPr>
            <w:tcW w:w="2164" w:type="dxa"/>
            <w:tcBorders>
              <w:top w:val="nil"/>
              <w:left w:val="nil"/>
              <w:bottom w:val="single" w:color="auto" w:sz="4" w:space="0"/>
              <w:right w:val="single" w:color="auto" w:sz="4" w:space="0"/>
            </w:tcBorders>
            <w:noWrap w:val="0"/>
            <w:vAlign w:val="center"/>
          </w:tcPr>
          <w:p w14:paraId="270DEF5A">
            <w:pPr>
              <w:jc w:val="center"/>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宿舍管理员</w:t>
            </w:r>
          </w:p>
        </w:tc>
        <w:tc>
          <w:tcPr>
            <w:tcW w:w="868" w:type="dxa"/>
            <w:tcBorders>
              <w:top w:val="nil"/>
              <w:left w:val="nil"/>
              <w:bottom w:val="single" w:color="auto" w:sz="4" w:space="0"/>
              <w:right w:val="single" w:color="auto" w:sz="4" w:space="0"/>
            </w:tcBorders>
            <w:noWrap w:val="0"/>
            <w:vAlign w:val="center"/>
          </w:tcPr>
          <w:p w14:paraId="1B81D95B">
            <w:pPr>
              <w:jc w:val="center"/>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rPr>
              <w:t>3</w:t>
            </w:r>
          </w:p>
        </w:tc>
        <w:tc>
          <w:tcPr>
            <w:tcW w:w="3632" w:type="dxa"/>
            <w:gridSpan w:val="4"/>
            <w:vMerge w:val="restart"/>
            <w:tcBorders>
              <w:top w:val="nil"/>
              <w:left w:val="nil"/>
              <w:right w:val="single" w:color="auto" w:sz="4" w:space="0"/>
            </w:tcBorders>
            <w:noWrap w:val="0"/>
            <w:vAlign w:val="center"/>
          </w:tcPr>
          <w:p w14:paraId="4E1383FD">
            <w:pPr>
              <w:spacing w:before="78" w:line="220" w:lineRule="auto"/>
              <w:ind w:left="114"/>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5"/>
                <w:sz w:val="24"/>
                <w:szCs w:val="24"/>
              </w:rPr>
              <w:t>开门期间有人值守。</w:t>
            </w:r>
          </w:p>
          <w:p w14:paraId="13B54B78">
            <w:pPr>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pacing w:val="6"/>
                <w:sz w:val="24"/>
                <w:szCs w:val="24"/>
              </w:rPr>
              <w:t>每个楼开两个门，其中一个门 24</w:t>
            </w:r>
            <w:r>
              <w:rPr>
                <w:rFonts w:hint="default" w:ascii="Times New Roman" w:hAnsi="Times New Roman" w:eastAsia="宋体" w:cs="Times New Roman"/>
                <w:color w:val="auto"/>
                <w:spacing w:val="-4"/>
                <w:sz w:val="24"/>
                <w:szCs w:val="24"/>
              </w:rPr>
              <w:t>小时开门，一个门仅白天开门</w:t>
            </w:r>
          </w:p>
        </w:tc>
      </w:tr>
      <w:tr w14:paraId="2DB45A70">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7C58ABB6">
            <w:pPr>
              <w:ind w:firstLine="480"/>
              <w:jc w:val="left"/>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ign w:val="center"/>
          </w:tcPr>
          <w:p w14:paraId="373ECC21">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2号宿舍楼</w:t>
            </w:r>
          </w:p>
        </w:tc>
        <w:tc>
          <w:tcPr>
            <w:tcW w:w="2164" w:type="dxa"/>
            <w:tcBorders>
              <w:top w:val="nil"/>
              <w:left w:val="nil"/>
              <w:bottom w:val="single" w:color="auto" w:sz="4" w:space="0"/>
              <w:right w:val="single" w:color="auto" w:sz="4" w:space="0"/>
            </w:tcBorders>
            <w:noWrap w:val="0"/>
            <w:vAlign w:val="center"/>
          </w:tcPr>
          <w:p w14:paraId="251C87FA">
            <w:pPr>
              <w:jc w:val="center"/>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宿舍管理员</w:t>
            </w:r>
          </w:p>
        </w:tc>
        <w:tc>
          <w:tcPr>
            <w:tcW w:w="868" w:type="dxa"/>
            <w:tcBorders>
              <w:top w:val="nil"/>
              <w:left w:val="nil"/>
              <w:bottom w:val="single" w:color="auto" w:sz="4" w:space="0"/>
              <w:right w:val="single" w:color="auto" w:sz="4" w:space="0"/>
            </w:tcBorders>
            <w:noWrap w:val="0"/>
            <w:vAlign w:val="center"/>
          </w:tcPr>
          <w:p w14:paraId="1A4B46EF">
            <w:pPr>
              <w:jc w:val="center"/>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rPr>
              <w:t>3</w:t>
            </w:r>
          </w:p>
        </w:tc>
        <w:tc>
          <w:tcPr>
            <w:tcW w:w="3632" w:type="dxa"/>
            <w:gridSpan w:val="4"/>
            <w:vMerge w:val="continue"/>
            <w:tcBorders>
              <w:left w:val="nil"/>
              <w:right w:val="single" w:color="auto" w:sz="4" w:space="0"/>
            </w:tcBorders>
            <w:noWrap w:val="0"/>
            <w:vAlign w:val="center"/>
          </w:tcPr>
          <w:p w14:paraId="3621D3E7">
            <w:pPr>
              <w:ind w:firstLine="480"/>
              <w:jc w:val="center"/>
              <w:rPr>
                <w:rFonts w:hint="default" w:ascii="Times New Roman" w:hAnsi="Times New Roman" w:eastAsia="宋体" w:cs="Times New Roman"/>
                <w:color w:val="auto"/>
                <w:kern w:val="0"/>
                <w:sz w:val="24"/>
                <w:szCs w:val="24"/>
              </w:rPr>
            </w:pPr>
          </w:p>
        </w:tc>
      </w:tr>
      <w:tr w14:paraId="48EA6959">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55923D45">
            <w:pPr>
              <w:ind w:firstLine="480"/>
              <w:jc w:val="left"/>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ign w:val="center"/>
          </w:tcPr>
          <w:p w14:paraId="798DC927">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3号宿舍楼</w:t>
            </w:r>
          </w:p>
        </w:tc>
        <w:tc>
          <w:tcPr>
            <w:tcW w:w="2164" w:type="dxa"/>
            <w:tcBorders>
              <w:top w:val="nil"/>
              <w:left w:val="nil"/>
              <w:bottom w:val="single" w:color="auto" w:sz="4" w:space="0"/>
              <w:right w:val="single" w:color="auto" w:sz="4" w:space="0"/>
            </w:tcBorders>
            <w:noWrap w:val="0"/>
            <w:vAlign w:val="center"/>
          </w:tcPr>
          <w:p w14:paraId="1F8E6668">
            <w:pPr>
              <w:jc w:val="center"/>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宿舍管理员</w:t>
            </w:r>
          </w:p>
        </w:tc>
        <w:tc>
          <w:tcPr>
            <w:tcW w:w="868" w:type="dxa"/>
            <w:tcBorders>
              <w:top w:val="nil"/>
              <w:left w:val="nil"/>
              <w:bottom w:val="single" w:color="auto" w:sz="4" w:space="0"/>
              <w:right w:val="single" w:color="auto" w:sz="4" w:space="0"/>
            </w:tcBorders>
            <w:noWrap w:val="0"/>
            <w:vAlign w:val="center"/>
          </w:tcPr>
          <w:p w14:paraId="3CFA5F86">
            <w:pPr>
              <w:jc w:val="center"/>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rPr>
              <w:t>3</w:t>
            </w:r>
          </w:p>
        </w:tc>
        <w:tc>
          <w:tcPr>
            <w:tcW w:w="3632" w:type="dxa"/>
            <w:gridSpan w:val="4"/>
            <w:vMerge w:val="continue"/>
            <w:tcBorders>
              <w:left w:val="nil"/>
              <w:right w:val="single" w:color="auto" w:sz="4" w:space="0"/>
            </w:tcBorders>
            <w:noWrap w:val="0"/>
            <w:vAlign w:val="center"/>
          </w:tcPr>
          <w:p w14:paraId="1E03E4CE">
            <w:pPr>
              <w:ind w:firstLine="480"/>
              <w:jc w:val="center"/>
              <w:rPr>
                <w:rFonts w:hint="default" w:ascii="Times New Roman" w:hAnsi="Times New Roman" w:eastAsia="宋体" w:cs="Times New Roman"/>
                <w:color w:val="auto"/>
                <w:kern w:val="0"/>
                <w:sz w:val="24"/>
                <w:szCs w:val="24"/>
              </w:rPr>
            </w:pPr>
          </w:p>
        </w:tc>
      </w:tr>
      <w:tr w14:paraId="29F53164">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2828FE56">
            <w:pPr>
              <w:ind w:firstLine="480"/>
              <w:jc w:val="left"/>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ign w:val="center"/>
          </w:tcPr>
          <w:p w14:paraId="06D1CEC8">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4号宿舍楼</w:t>
            </w:r>
          </w:p>
        </w:tc>
        <w:tc>
          <w:tcPr>
            <w:tcW w:w="2164" w:type="dxa"/>
            <w:tcBorders>
              <w:top w:val="nil"/>
              <w:left w:val="nil"/>
              <w:bottom w:val="single" w:color="auto" w:sz="4" w:space="0"/>
              <w:right w:val="single" w:color="auto" w:sz="4" w:space="0"/>
            </w:tcBorders>
            <w:noWrap w:val="0"/>
            <w:vAlign w:val="center"/>
          </w:tcPr>
          <w:p w14:paraId="5F96532C">
            <w:pPr>
              <w:jc w:val="center"/>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宿舍管理员</w:t>
            </w:r>
          </w:p>
        </w:tc>
        <w:tc>
          <w:tcPr>
            <w:tcW w:w="868" w:type="dxa"/>
            <w:tcBorders>
              <w:top w:val="nil"/>
              <w:left w:val="nil"/>
              <w:bottom w:val="single" w:color="auto" w:sz="4" w:space="0"/>
              <w:right w:val="single" w:color="auto" w:sz="4" w:space="0"/>
            </w:tcBorders>
            <w:noWrap w:val="0"/>
            <w:vAlign w:val="center"/>
          </w:tcPr>
          <w:p w14:paraId="29975039">
            <w:pPr>
              <w:jc w:val="center"/>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rPr>
              <w:t>3</w:t>
            </w:r>
          </w:p>
        </w:tc>
        <w:tc>
          <w:tcPr>
            <w:tcW w:w="3632" w:type="dxa"/>
            <w:gridSpan w:val="4"/>
            <w:vMerge w:val="continue"/>
            <w:tcBorders>
              <w:left w:val="nil"/>
              <w:right w:val="single" w:color="auto" w:sz="4" w:space="0"/>
            </w:tcBorders>
            <w:noWrap w:val="0"/>
            <w:vAlign w:val="center"/>
          </w:tcPr>
          <w:p w14:paraId="62DDA085">
            <w:pPr>
              <w:ind w:firstLine="480"/>
              <w:jc w:val="center"/>
              <w:rPr>
                <w:rFonts w:hint="default" w:ascii="Times New Roman" w:hAnsi="Times New Roman" w:eastAsia="宋体" w:cs="Times New Roman"/>
                <w:color w:val="auto"/>
                <w:kern w:val="0"/>
                <w:sz w:val="24"/>
                <w:szCs w:val="24"/>
              </w:rPr>
            </w:pPr>
          </w:p>
        </w:tc>
      </w:tr>
      <w:tr w14:paraId="5C9A1131">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0C63017F">
            <w:pPr>
              <w:ind w:firstLine="480"/>
              <w:jc w:val="left"/>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ign w:val="center"/>
          </w:tcPr>
          <w:p w14:paraId="28BC37FB">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5号宿舍楼</w:t>
            </w:r>
          </w:p>
        </w:tc>
        <w:tc>
          <w:tcPr>
            <w:tcW w:w="2164" w:type="dxa"/>
            <w:tcBorders>
              <w:top w:val="nil"/>
              <w:left w:val="nil"/>
              <w:bottom w:val="single" w:color="auto" w:sz="4" w:space="0"/>
              <w:right w:val="single" w:color="auto" w:sz="4" w:space="0"/>
            </w:tcBorders>
            <w:noWrap w:val="0"/>
            <w:vAlign w:val="center"/>
          </w:tcPr>
          <w:p w14:paraId="676C4AFF">
            <w:pPr>
              <w:jc w:val="center"/>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宿舍管理员</w:t>
            </w:r>
          </w:p>
        </w:tc>
        <w:tc>
          <w:tcPr>
            <w:tcW w:w="868" w:type="dxa"/>
            <w:tcBorders>
              <w:top w:val="nil"/>
              <w:left w:val="nil"/>
              <w:bottom w:val="single" w:color="auto" w:sz="4" w:space="0"/>
              <w:right w:val="single" w:color="auto" w:sz="4" w:space="0"/>
            </w:tcBorders>
            <w:noWrap w:val="0"/>
            <w:vAlign w:val="center"/>
          </w:tcPr>
          <w:p w14:paraId="275302F8">
            <w:pPr>
              <w:jc w:val="center"/>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rPr>
              <w:t>3</w:t>
            </w:r>
          </w:p>
        </w:tc>
        <w:tc>
          <w:tcPr>
            <w:tcW w:w="3632" w:type="dxa"/>
            <w:gridSpan w:val="4"/>
            <w:vMerge w:val="continue"/>
            <w:tcBorders>
              <w:left w:val="nil"/>
              <w:right w:val="single" w:color="auto" w:sz="4" w:space="0"/>
            </w:tcBorders>
            <w:noWrap w:val="0"/>
            <w:vAlign w:val="center"/>
          </w:tcPr>
          <w:p w14:paraId="064E1BD7">
            <w:pPr>
              <w:ind w:firstLine="480"/>
              <w:jc w:val="center"/>
              <w:rPr>
                <w:rFonts w:hint="default" w:ascii="Times New Roman" w:hAnsi="Times New Roman" w:eastAsia="宋体" w:cs="Times New Roman"/>
                <w:color w:val="auto"/>
                <w:kern w:val="0"/>
                <w:sz w:val="24"/>
                <w:szCs w:val="24"/>
              </w:rPr>
            </w:pPr>
          </w:p>
        </w:tc>
      </w:tr>
      <w:tr w14:paraId="23913A54">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07AA20B6">
            <w:pPr>
              <w:ind w:firstLine="480"/>
              <w:jc w:val="left"/>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ign w:val="center"/>
          </w:tcPr>
          <w:p w14:paraId="3C010369">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6号宿舍楼</w:t>
            </w:r>
          </w:p>
        </w:tc>
        <w:tc>
          <w:tcPr>
            <w:tcW w:w="2164" w:type="dxa"/>
            <w:tcBorders>
              <w:top w:val="nil"/>
              <w:left w:val="nil"/>
              <w:bottom w:val="single" w:color="auto" w:sz="4" w:space="0"/>
              <w:right w:val="single" w:color="auto" w:sz="4" w:space="0"/>
            </w:tcBorders>
            <w:noWrap w:val="0"/>
            <w:vAlign w:val="center"/>
          </w:tcPr>
          <w:p w14:paraId="4D367418">
            <w:pPr>
              <w:jc w:val="center"/>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宿舍管理员</w:t>
            </w:r>
          </w:p>
        </w:tc>
        <w:tc>
          <w:tcPr>
            <w:tcW w:w="868" w:type="dxa"/>
            <w:tcBorders>
              <w:top w:val="nil"/>
              <w:left w:val="nil"/>
              <w:bottom w:val="single" w:color="auto" w:sz="4" w:space="0"/>
              <w:right w:val="single" w:color="auto" w:sz="4" w:space="0"/>
            </w:tcBorders>
            <w:noWrap w:val="0"/>
            <w:vAlign w:val="center"/>
          </w:tcPr>
          <w:p w14:paraId="1D4575C2">
            <w:pPr>
              <w:jc w:val="center"/>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rPr>
              <w:t>3</w:t>
            </w:r>
          </w:p>
        </w:tc>
        <w:tc>
          <w:tcPr>
            <w:tcW w:w="3632" w:type="dxa"/>
            <w:gridSpan w:val="4"/>
            <w:vMerge w:val="continue"/>
            <w:tcBorders>
              <w:left w:val="nil"/>
              <w:right w:val="single" w:color="auto" w:sz="4" w:space="0"/>
            </w:tcBorders>
            <w:noWrap w:val="0"/>
            <w:vAlign w:val="center"/>
          </w:tcPr>
          <w:p w14:paraId="3CA1CA4C">
            <w:pPr>
              <w:ind w:firstLine="480"/>
              <w:jc w:val="center"/>
              <w:rPr>
                <w:rFonts w:hint="default" w:ascii="Times New Roman" w:hAnsi="Times New Roman" w:eastAsia="宋体" w:cs="Times New Roman"/>
                <w:color w:val="auto"/>
                <w:kern w:val="0"/>
                <w:sz w:val="24"/>
                <w:szCs w:val="24"/>
              </w:rPr>
            </w:pPr>
          </w:p>
        </w:tc>
      </w:tr>
      <w:tr w14:paraId="49465719">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239461EA">
            <w:pPr>
              <w:ind w:firstLine="480"/>
              <w:jc w:val="left"/>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ign w:val="center"/>
          </w:tcPr>
          <w:p w14:paraId="7B0DE162">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8号宿舍楼</w:t>
            </w:r>
          </w:p>
        </w:tc>
        <w:tc>
          <w:tcPr>
            <w:tcW w:w="2164" w:type="dxa"/>
            <w:tcBorders>
              <w:top w:val="nil"/>
              <w:left w:val="nil"/>
              <w:bottom w:val="single" w:color="auto" w:sz="4" w:space="0"/>
              <w:right w:val="single" w:color="auto" w:sz="4" w:space="0"/>
            </w:tcBorders>
            <w:noWrap w:val="0"/>
            <w:vAlign w:val="center"/>
          </w:tcPr>
          <w:p w14:paraId="60296DF0">
            <w:pPr>
              <w:jc w:val="center"/>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宿舍管理员</w:t>
            </w:r>
          </w:p>
        </w:tc>
        <w:tc>
          <w:tcPr>
            <w:tcW w:w="868" w:type="dxa"/>
            <w:tcBorders>
              <w:top w:val="nil"/>
              <w:left w:val="nil"/>
              <w:bottom w:val="single" w:color="auto" w:sz="4" w:space="0"/>
              <w:right w:val="single" w:color="auto" w:sz="4" w:space="0"/>
            </w:tcBorders>
            <w:noWrap w:val="0"/>
            <w:vAlign w:val="center"/>
          </w:tcPr>
          <w:p w14:paraId="03C0CBAE">
            <w:pPr>
              <w:jc w:val="center"/>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rPr>
              <w:t>3</w:t>
            </w:r>
          </w:p>
        </w:tc>
        <w:tc>
          <w:tcPr>
            <w:tcW w:w="3632" w:type="dxa"/>
            <w:gridSpan w:val="4"/>
            <w:vMerge w:val="continue"/>
            <w:tcBorders>
              <w:left w:val="nil"/>
              <w:right w:val="single" w:color="auto" w:sz="4" w:space="0"/>
            </w:tcBorders>
            <w:noWrap w:val="0"/>
            <w:vAlign w:val="center"/>
          </w:tcPr>
          <w:p w14:paraId="4AAE29F3">
            <w:pPr>
              <w:ind w:firstLine="480"/>
              <w:jc w:val="center"/>
              <w:rPr>
                <w:rFonts w:hint="default" w:ascii="Times New Roman" w:hAnsi="Times New Roman" w:eastAsia="宋体" w:cs="Times New Roman"/>
                <w:color w:val="auto"/>
                <w:kern w:val="0"/>
                <w:sz w:val="24"/>
                <w:szCs w:val="24"/>
              </w:rPr>
            </w:pPr>
          </w:p>
        </w:tc>
      </w:tr>
      <w:tr w14:paraId="2F5C7803">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3F8E4BF5">
            <w:pPr>
              <w:ind w:firstLine="480"/>
              <w:jc w:val="left"/>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ign w:val="center"/>
          </w:tcPr>
          <w:p w14:paraId="0CB96691">
            <w:pPr>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14号宿舍楼</w:t>
            </w:r>
          </w:p>
        </w:tc>
        <w:tc>
          <w:tcPr>
            <w:tcW w:w="2164" w:type="dxa"/>
            <w:tcBorders>
              <w:top w:val="nil"/>
              <w:left w:val="nil"/>
              <w:bottom w:val="single" w:color="auto" w:sz="4" w:space="0"/>
              <w:right w:val="single" w:color="auto" w:sz="4" w:space="0"/>
            </w:tcBorders>
            <w:noWrap w:val="0"/>
            <w:vAlign w:val="center"/>
          </w:tcPr>
          <w:p w14:paraId="629CEDFC">
            <w:pPr>
              <w:jc w:val="center"/>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宿舍管理员</w:t>
            </w:r>
          </w:p>
        </w:tc>
        <w:tc>
          <w:tcPr>
            <w:tcW w:w="868" w:type="dxa"/>
            <w:tcBorders>
              <w:top w:val="nil"/>
              <w:left w:val="nil"/>
              <w:bottom w:val="single" w:color="auto" w:sz="4" w:space="0"/>
              <w:right w:val="single" w:color="auto" w:sz="4" w:space="0"/>
            </w:tcBorders>
            <w:noWrap w:val="0"/>
            <w:vAlign w:val="center"/>
          </w:tcPr>
          <w:p w14:paraId="2D0A5369">
            <w:pPr>
              <w:jc w:val="center"/>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rPr>
              <w:t>3</w:t>
            </w:r>
          </w:p>
        </w:tc>
        <w:tc>
          <w:tcPr>
            <w:tcW w:w="3632" w:type="dxa"/>
            <w:gridSpan w:val="4"/>
            <w:vMerge w:val="continue"/>
            <w:tcBorders>
              <w:left w:val="nil"/>
              <w:bottom w:val="single" w:color="auto" w:sz="4" w:space="0"/>
              <w:right w:val="single" w:color="auto" w:sz="4" w:space="0"/>
            </w:tcBorders>
            <w:noWrap w:val="0"/>
            <w:vAlign w:val="center"/>
          </w:tcPr>
          <w:p w14:paraId="73F5BFAE">
            <w:pPr>
              <w:ind w:firstLine="480"/>
              <w:jc w:val="center"/>
              <w:rPr>
                <w:rFonts w:hint="default" w:ascii="Times New Roman" w:hAnsi="Times New Roman" w:eastAsia="宋体" w:cs="Times New Roman"/>
                <w:color w:val="auto"/>
                <w:kern w:val="0"/>
                <w:sz w:val="24"/>
                <w:szCs w:val="24"/>
              </w:rPr>
            </w:pPr>
          </w:p>
        </w:tc>
      </w:tr>
      <w:tr w14:paraId="08EF1D7E">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4B552CF4">
            <w:pPr>
              <w:ind w:firstLine="480"/>
              <w:jc w:val="left"/>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ign w:val="center"/>
          </w:tcPr>
          <w:p w14:paraId="697F4CB3">
            <w:pPr>
              <w:jc w:val="center"/>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校园</w:t>
            </w:r>
          </w:p>
        </w:tc>
        <w:tc>
          <w:tcPr>
            <w:tcW w:w="2164" w:type="dxa"/>
            <w:tcBorders>
              <w:top w:val="nil"/>
              <w:left w:val="nil"/>
              <w:bottom w:val="single" w:color="auto" w:sz="4" w:space="0"/>
              <w:right w:val="single" w:color="auto" w:sz="4" w:space="0"/>
            </w:tcBorders>
            <w:noWrap w:val="0"/>
            <w:vAlign w:val="center"/>
          </w:tcPr>
          <w:p w14:paraId="59A99BF7">
            <w:pPr>
              <w:jc w:val="center"/>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校园整体维修人员</w:t>
            </w:r>
          </w:p>
        </w:tc>
        <w:tc>
          <w:tcPr>
            <w:tcW w:w="868" w:type="dxa"/>
            <w:tcBorders>
              <w:top w:val="nil"/>
              <w:left w:val="nil"/>
              <w:bottom w:val="single" w:color="auto" w:sz="4" w:space="0"/>
              <w:right w:val="single" w:color="auto" w:sz="4" w:space="0"/>
            </w:tcBorders>
            <w:noWrap w:val="0"/>
            <w:vAlign w:val="center"/>
          </w:tcPr>
          <w:p w14:paraId="1B489A62">
            <w:pPr>
              <w:jc w:val="center"/>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rPr>
              <w:t>8</w:t>
            </w:r>
          </w:p>
        </w:tc>
        <w:tc>
          <w:tcPr>
            <w:tcW w:w="3632" w:type="dxa"/>
            <w:gridSpan w:val="4"/>
            <w:tcBorders>
              <w:left w:val="nil"/>
              <w:bottom w:val="single" w:color="auto" w:sz="4" w:space="0"/>
              <w:right w:val="single" w:color="auto" w:sz="4" w:space="0"/>
            </w:tcBorders>
            <w:noWrap w:val="0"/>
            <w:vAlign w:val="center"/>
          </w:tcPr>
          <w:p w14:paraId="53DFF0DE">
            <w:pP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pacing w:val="-2"/>
                <w:sz w:val="24"/>
                <w:szCs w:val="24"/>
                <w:highlight w:val="none"/>
              </w:rPr>
              <w:t>负责</w:t>
            </w:r>
            <w:r>
              <w:rPr>
                <w:rFonts w:hint="default" w:ascii="Times New Roman" w:hAnsi="Times New Roman" w:eastAsia="宋体" w:cs="Times New Roman"/>
                <w:color w:val="auto"/>
                <w:spacing w:val="-2"/>
                <w:sz w:val="24"/>
                <w:szCs w:val="24"/>
                <w:highlight w:val="none"/>
                <w:lang w:eastAsia="zh-CN"/>
              </w:rPr>
              <w:t>校园整体</w:t>
            </w:r>
            <w:r>
              <w:rPr>
                <w:rFonts w:hint="default" w:ascii="Times New Roman" w:hAnsi="Times New Roman" w:eastAsia="宋体" w:cs="Times New Roman"/>
                <w:color w:val="auto"/>
                <w:spacing w:val="-2"/>
                <w:sz w:val="24"/>
                <w:szCs w:val="24"/>
                <w:highlight w:val="none"/>
              </w:rPr>
              <w:t>水电五金维修</w:t>
            </w:r>
          </w:p>
        </w:tc>
      </w:tr>
      <w:tr w14:paraId="4B06958C">
        <w:tblPrEx>
          <w:tblCellMar>
            <w:top w:w="0" w:type="dxa"/>
            <w:left w:w="108" w:type="dxa"/>
            <w:bottom w:w="0" w:type="dxa"/>
            <w:right w:w="108" w:type="dxa"/>
          </w:tblCellMar>
        </w:tblPrEx>
        <w:trPr>
          <w:trHeight w:val="70" w:hRule="atLeast"/>
          <w:jc w:val="center"/>
        </w:trPr>
        <w:tc>
          <w:tcPr>
            <w:tcW w:w="9420" w:type="dxa"/>
            <w:gridSpan w:val="9"/>
            <w:tcBorders>
              <w:top w:val="single" w:color="auto" w:sz="4" w:space="0"/>
              <w:left w:val="single" w:color="auto" w:sz="4" w:space="0"/>
              <w:bottom w:val="single" w:color="auto" w:sz="4" w:space="0"/>
              <w:right w:val="single" w:color="auto" w:sz="4" w:space="0"/>
            </w:tcBorders>
            <w:noWrap/>
            <w:vAlign w:val="center"/>
          </w:tcPr>
          <w:p w14:paraId="58CD7C41">
            <w:pPr>
              <w:spacing w:before="100" w:line="244" w:lineRule="auto"/>
              <w:ind w:left="118" w:right="202" w:firstLine="484"/>
              <w:rPr>
                <w:rFonts w:hint="default" w:ascii="Times New Roman" w:hAnsi="Times New Roman" w:eastAsia="微软雅黑" w:cs="Times New Roman"/>
                <w:color w:val="auto"/>
                <w:sz w:val="24"/>
                <w:szCs w:val="24"/>
              </w:rPr>
            </w:pPr>
            <w:r>
              <w:rPr>
                <w:rFonts w:hint="default" w:ascii="Times New Roman" w:hAnsi="Times New Roman" w:eastAsia="微软雅黑" w:cs="Times New Roman"/>
                <w:color w:val="auto"/>
                <w:spacing w:val="-1"/>
                <w:sz w:val="24"/>
                <w:szCs w:val="24"/>
              </w:rPr>
              <w:t>注：</w:t>
            </w:r>
            <w:r>
              <w:rPr>
                <w:rFonts w:hint="default" w:ascii="Times New Roman" w:hAnsi="Times New Roman" w:eastAsia="宋体" w:cs="Times New Roman"/>
                <w:color w:val="auto"/>
                <w:spacing w:val="-1"/>
                <w:sz w:val="24"/>
                <w:szCs w:val="24"/>
              </w:rPr>
              <w:t>1.</w:t>
            </w:r>
            <w:r>
              <w:rPr>
                <w:rFonts w:hint="default" w:ascii="Times New Roman" w:hAnsi="Times New Roman" w:eastAsia="微软雅黑" w:cs="Times New Roman"/>
                <w:color w:val="auto"/>
                <w:spacing w:val="-1"/>
                <w:sz w:val="24"/>
                <w:szCs w:val="24"/>
              </w:rPr>
              <w:t>除活动中心、</w:t>
            </w:r>
            <w:r>
              <w:rPr>
                <w:rFonts w:hint="default" w:ascii="Times New Roman" w:hAnsi="Times New Roman" w:eastAsia="宋体" w:cs="Times New Roman"/>
                <w:color w:val="auto"/>
                <w:spacing w:val="-1"/>
                <w:sz w:val="24"/>
                <w:szCs w:val="24"/>
              </w:rPr>
              <w:t>8</w:t>
            </w:r>
            <w:r>
              <w:rPr>
                <w:rFonts w:hint="default" w:ascii="Times New Roman" w:hAnsi="Times New Roman" w:eastAsia="宋体" w:cs="Times New Roman"/>
                <w:color w:val="auto"/>
                <w:spacing w:val="-44"/>
                <w:sz w:val="24"/>
                <w:szCs w:val="24"/>
              </w:rPr>
              <w:t xml:space="preserve"> </w:t>
            </w:r>
            <w:r>
              <w:rPr>
                <w:rFonts w:hint="default" w:ascii="Times New Roman" w:hAnsi="Times New Roman" w:eastAsia="微软雅黑" w:cs="Times New Roman"/>
                <w:color w:val="auto"/>
                <w:spacing w:val="-1"/>
                <w:sz w:val="24"/>
                <w:szCs w:val="24"/>
              </w:rPr>
              <w:t>号宿舍楼、</w:t>
            </w:r>
            <w:r>
              <w:rPr>
                <w:rFonts w:hint="default" w:ascii="Times New Roman" w:hAnsi="Times New Roman" w:eastAsia="宋体" w:cs="Times New Roman"/>
                <w:color w:val="auto"/>
                <w:spacing w:val="-1"/>
                <w:sz w:val="24"/>
                <w:szCs w:val="24"/>
              </w:rPr>
              <w:t>14</w:t>
            </w:r>
            <w:r>
              <w:rPr>
                <w:rFonts w:hint="default" w:ascii="Times New Roman" w:hAnsi="Times New Roman" w:eastAsia="宋体" w:cs="Times New Roman"/>
                <w:color w:val="auto"/>
                <w:spacing w:val="-44"/>
                <w:sz w:val="24"/>
                <w:szCs w:val="24"/>
              </w:rPr>
              <w:t xml:space="preserve"> </w:t>
            </w:r>
            <w:r>
              <w:rPr>
                <w:rFonts w:hint="default" w:ascii="Times New Roman" w:hAnsi="Times New Roman" w:eastAsia="微软雅黑" w:cs="Times New Roman"/>
                <w:color w:val="auto"/>
                <w:spacing w:val="-1"/>
                <w:sz w:val="24"/>
                <w:szCs w:val="24"/>
              </w:rPr>
              <w:t>号宿舍楼、二期指挥部外其余厕所都采</w:t>
            </w:r>
            <w:r>
              <w:rPr>
                <w:rFonts w:hint="default" w:ascii="Times New Roman" w:hAnsi="Times New Roman" w:eastAsia="微软雅黑" w:cs="Times New Roman"/>
                <w:color w:val="auto"/>
                <w:spacing w:val="-2"/>
                <w:sz w:val="24"/>
                <w:szCs w:val="24"/>
              </w:rPr>
              <w:t>用自动水冲沟槽式蹲位，男厕所小便池采用自动水冲沟槽式。</w:t>
            </w:r>
          </w:p>
          <w:p w14:paraId="29F3AB4F">
            <w:pPr>
              <w:spacing w:before="1" w:line="186" w:lineRule="auto"/>
              <w:ind w:left="540"/>
              <w:rPr>
                <w:rFonts w:hint="default" w:ascii="Times New Roman" w:hAnsi="Times New Roman" w:eastAsia="微软雅黑" w:cs="Times New Roman"/>
                <w:color w:val="auto"/>
                <w:sz w:val="24"/>
                <w:szCs w:val="24"/>
              </w:rPr>
            </w:pPr>
            <w:r>
              <w:rPr>
                <w:rFonts w:hint="default" w:ascii="Times New Roman" w:hAnsi="Times New Roman" w:eastAsia="宋体" w:cs="Times New Roman"/>
                <w:color w:val="auto"/>
                <w:spacing w:val="-3"/>
                <w:sz w:val="24"/>
                <w:szCs w:val="24"/>
              </w:rPr>
              <w:t>2.</w:t>
            </w:r>
            <w:r>
              <w:rPr>
                <w:rFonts w:hint="default" w:ascii="Times New Roman" w:hAnsi="Times New Roman" w:eastAsia="微软雅黑" w:cs="Times New Roman"/>
                <w:color w:val="auto"/>
                <w:spacing w:val="-3"/>
                <w:sz w:val="24"/>
                <w:szCs w:val="24"/>
              </w:rPr>
              <w:t>保洁工作含公共区域楼层垃圾清理工作。</w:t>
            </w:r>
          </w:p>
          <w:p w14:paraId="4A6218F0">
            <w:pPr>
              <w:ind w:firstLine="480"/>
              <w:rPr>
                <w:rFonts w:hint="default" w:ascii="Times New Roman" w:hAnsi="Times New Roman" w:eastAsia="微软雅黑" w:cs="Times New Roman"/>
                <w:color w:val="auto"/>
                <w:spacing w:val="-1"/>
                <w:sz w:val="24"/>
                <w:szCs w:val="24"/>
                <w:lang w:val="en-US" w:eastAsia="zh-CN"/>
              </w:rPr>
            </w:pPr>
            <w:r>
              <w:rPr>
                <w:rFonts w:hint="default" w:ascii="Times New Roman" w:hAnsi="Times New Roman" w:eastAsia="宋体" w:cs="Times New Roman"/>
                <w:color w:val="auto"/>
                <w:spacing w:val="-1"/>
                <w:sz w:val="24"/>
                <w:szCs w:val="24"/>
              </w:rPr>
              <w:t>3.</w:t>
            </w:r>
            <w:r>
              <w:rPr>
                <w:rFonts w:hint="default" w:ascii="Times New Roman" w:hAnsi="Times New Roman" w:eastAsia="微软雅黑" w:cs="Times New Roman"/>
                <w:color w:val="auto"/>
                <w:spacing w:val="-1"/>
                <w:sz w:val="24"/>
                <w:szCs w:val="24"/>
              </w:rPr>
              <w:t>含人数的是保证此项工作的最少人数。</w:t>
            </w:r>
          </w:p>
        </w:tc>
      </w:tr>
    </w:tbl>
    <w:p w14:paraId="03ED1FF6">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outlineLvl w:val="1"/>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二、投标人投入设备要求</w:t>
      </w:r>
    </w:p>
    <w:p w14:paraId="4F8CC8D7">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1.校园驾驶式扫地车不少于2台</w:t>
      </w:r>
    </w:p>
    <w:p w14:paraId="6E618A2C">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2.手推式洗地机不少于5台</w:t>
      </w:r>
    </w:p>
    <w:p w14:paraId="27A53A94">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3.保洁巡逻车不少于1辆</w:t>
      </w:r>
    </w:p>
    <w:p w14:paraId="758F6B63">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4.尘推车不少于5辆</w:t>
      </w:r>
    </w:p>
    <w:p w14:paraId="59531C9B">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5.高压洗地车不少于1辆</w:t>
      </w:r>
    </w:p>
    <w:p w14:paraId="66DC6C6F">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6.电动三轮车不少于1辆</w:t>
      </w:r>
    </w:p>
    <w:p w14:paraId="53B9491B">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注：根据实际工作需求，</w:t>
      </w:r>
      <w:r>
        <w:rPr>
          <w:rFonts w:hint="eastAsia" w:ascii="Times New Roman" w:hAnsi="Times New Roman" w:eastAsia="宋体" w:cs="Times New Roman"/>
          <w:color w:val="auto"/>
          <w:sz w:val="28"/>
          <w:szCs w:val="28"/>
          <w:lang w:val="en-US" w:eastAsia="zh-CN"/>
        </w:rPr>
        <w:t>中标人</w:t>
      </w:r>
      <w:r>
        <w:rPr>
          <w:rFonts w:hint="default" w:ascii="Times New Roman" w:hAnsi="Times New Roman" w:eastAsia="宋体" w:cs="Times New Roman"/>
          <w:color w:val="auto"/>
          <w:sz w:val="28"/>
          <w:szCs w:val="28"/>
          <w:lang w:val="en-US" w:eastAsia="zh-CN"/>
        </w:rPr>
        <w:t>应适当配备其他必要的保洁设备。</w:t>
      </w:r>
    </w:p>
    <w:p w14:paraId="4BF95C8E">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outlineLvl w:val="3"/>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三、人员要求</w:t>
      </w:r>
    </w:p>
    <w:p w14:paraId="2C614FAE">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1.进驻人员包括项目经理1名，项目经理具有3年以上类似项目管理服务经验，年龄50周岁以内，大专以上学历，具有政府单位颁发的中级职称证书，身心健康能胜任工作，工作经验丰富的可以适当放宽条件。</w:t>
      </w:r>
    </w:p>
    <w:p w14:paraId="600D32AB">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2.保洁</w:t>
      </w:r>
      <w:r>
        <w:rPr>
          <w:rFonts w:hint="eastAsia" w:ascii="Times New Roman" w:hAnsi="Times New Roman" w:eastAsia="宋体" w:cs="Times New Roman"/>
          <w:color w:val="auto"/>
          <w:sz w:val="28"/>
          <w:szCs w:val="28"/>
          <w:lang w:val="en-US" w:eastAsia="zh-CN"/>
        </w:rPr>
        <w:t>人</w:t>
      </w:r>
      <w:r>
        <w:rPr>
          <w:rFonts w:hint="default" w:ascii="Times New Roman" w:hAnsi="Times New Roman" w:eastAsia="宋体" w:cs="Times New Roman"/>
          <w:color w:val="auto"/>
          <w:sz w:val="28"/>
          <w:szCs w:val="28"/>
          <w:lang w:val="en-US" w:eastAsia="zh-CN"/>
        </w:rPr>
        <w:t>员及垃圾清</w:t>
      </w:r>
      <w:r>
        <w:rPr>
          <w:rFonts w:hint="eastAsia" w:ascii="Times New Roman" w:hAnsi="Times New Roman" w:eastAsia="宋体" w:cs="Times New Roman"/>
          <w:color w:val="auto"/>
          <w:sz w:val="28"/>
          <w:szCs w:val="28"/>
          <w:lang w:val="en-US" w:eastAsia="zh-CN"/>
        </w:rPr>
        <w:t>运</w:t>
      </w:r>
      <w:r>
        <w:rPr>
          <w:rFonts w:hint="default" w:ascii="Times New Roman" w:hAnsi="Times New Roman" w:eastAsia="宋体" w:cs="Times New Roman"/>
          <w:color w:val="auto"/>
          <w:sz w:val="28"/>
          <w:szCs w:val="28"/>
          <w:lang w:val="en-US" w:eastAsia="zh-CN"/>
        </w:rPr>
        <w:t>人员：男55周岁以内；女50周岁以内，身体健康，品貌端正，吃苦耐劳，具有一定的类似项目工作经验。</w:t>
      </w:r>
    </w:p>
    <w:p w14:paraId="3CA62A21">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3.宿舍管理员，男55周岁以内，女55周岁以内，初中以上文化程度，身体健康、品貌端正、平易近人、善于沟通、有责任心、有爱心，有耐心，具有一定的工作经验和管理能力。</w:t>
      </w:r>
    </w:p>
    <w:p w14:paraId="570D341B">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4.</w:t>
      </w:r>
      <w:r>
        <w:rPr>
          <w:rFonts w:hint="eastAsia" w:ascii="Times New Roman" w:hAnsi="Times New Roman" w:eastAsia="宋体" w:cs="Times New Roman"/>
          <w:color w:val="auto"/>
          <w:sz w:val="28"/>
          <w:szCs w:val="28"/>
          <w:lang w:val="en-US" w:eastAsia="zh-CN"/>
        </w:rPr>
        <w:t>校园整体维修人员</w:t>
      </w:r>
      <w:r>
        <w:rPr>
          <w:rFonts w:hint="default" w:ascii="Times New Roman" w:hAnsi="Times New Roman" w:eastAsia="宋体" w:cs="Times New Roman"/>
          <w:color w:val="auto"/>
          <w:sz w:val="28"/>
          <w:szCs w:val="28"/>
          <w:lang w:val="en-US" w:eastAsia="zh-CN"/>
        </w:rPr>
        <w:t>，男55周岁以内，初中以上文化程度，身体健康、品貌端正、平易近人、善于沟通、有责任心、有爱心，有耐心，具有5年以上类似工作经验，具有水电维修相关证书，能基本处理各种水电五金维修问题。</w:t>
      </w:r>
    </w:p>
    <w:p w14:paraId="2D625AEE">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5.项目整体人数不得低于69人。寒暑假期间不得低于33人。</w:t>
      </w:r>
    </w:p>
    <w:p w14:paraId="4A02C2AD">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开学期间（约9个月）：全勤。</w:t>
      </w:r>
    </w:p>
    <w:p w14:paraId="37DC6F96">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寒暑假期间（约3个月）：不低于33人，其中必须保留维修8人，</w:t>
      </w:r>
      <w:r>
        <w:rPr>
          <w:rFonts w:hint="eastAsia" w:ascii="Times New Roman" w:hAnsi="Times New Roman" w:eastAsia="宋体" w:cs="Times New Roman"/>
          <w:color w:val="auto"/>
          <w:sz w:val="28"/>
          <w:szCs w:val="28"/>
          <w:lang w:val="en-US" w:eastAsia="zh-CN"/>
        </w:rPr>
        <w:t>宿舍管理员</w:t>
      </w:r>
      <w:r>
        <w:rPr>
          <w:rFonts w:hint="default" w:ascii="Times New Roman" w:hAnsi="Times New Roman" w:eastAsia="宋体" w:cs="Times New Roman"/>
          <w:color w:val="auto"/>
          <w:sz w:val="28"/>
          <w:szCs w:val="28"/>
          <w:lang w:val="en-US" w:eastAsia="zh-CN"/>
        </w:rPr>
        <w:t>8人，其余人员保证校园和办公区域卫生。</w:t>
      </w:r>
    </w:p>
    <w:p w14:paraId="02B11CAB">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黑体" w:cs="Times New Roman"/>
          <w:color w:val="auto"/>
          <w:sz w:val="28"/>
          <w:szCs w:val="28"/>
          <w:lang w:val="en-US" w:eastAsia="zh-CN"/>
        </w:rPr>
      </w:pPr>
      <w:r>
        <w:rPr>
          <w:rFonts w:hint="default" w:ascii="Times New Roman" w:hAnsi="Times New Roman" w:eastAsia="黑体" w:cs="Times New Roman"/>
          <w:color w:val="auto"/>
          <w:sz w:val="28"/>
          <w:szCs w:val="28"/>
          <w:lang w:val="en-US" w:eastAsia="zh-CN"/>
        </w:rPr>
        <w:t>第三部分   物业服务具体内容及质量要求</w:t>
      </w:r>
    </w:p>
    <w:p w14:paraId="5E808D2B">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一、中标人要求</w:t>
      </w:r>
    </w:p>
    <w:p w14:paraId="7111E306">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1.负责河南工业和信息化职业学院公共区域保洁、垃圾清运、宿舍楼管理等服务工作；及时了解学生生活动态，协助学校有关部门做好学生在学校及宿舍内日常行为的教育和管理工作、人文环境及公寓文化和文明建设、特色服务工作。</w:t>
      </w:r>
    </w:p>
    <w:p w14:paraId="25B441C2">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2.中标人需安排专职项目经理，不得兼职；项目经理应具有</w:t>
      </w:r>
      <w:r>
        <w:rPr>
          <w:rFonts w:hint="eastAsia" w:ascii="Times New Roman" w:hAnsi="Times New Roman" w:eastAsia="宋体" w:cs="Times New Roman"/>
          <w:color w:val="auto"/>
          <w:sz w:val="28"/>
          <w:szCs w:val="28"/>
          <w:lang w:val="en-US" w:eastAsia="zh-CN"/>
        </w:rPr>
        <w:t>类似项目</w:t>
      </w:r>
      <w:r>
        <w:rPr>
          <w:rFonts w:hint="default" w:ascii="Times New Roman" w:hAnsi="Times New Roman" w:eastAsia="宋体" w:cs="Times New Roman"/>
          <w:color w:val="auto"/>
          <w:sz w:val="28"/>
          <w:szCs w:val="28"/>
          <w:lang w:val="en-US" w:eastAsia="zh-CN"/>
        </w:rPr>
        <w:t>管理经验，负责每天工作的安排、督促和检查。其他人员配 备应精干满员，身体健康，年龄符合劳动法要求，人数不少于招标文件要求。</w:t>
      </w:r>
    </w:p>
    <w:p w14:paraId="2B1AAE42">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3.中标人应有健全的组织机构和物业服务管理制度、岗位责任制度、员工管理制度，建立物业标准服务、服务质量管理、服务质量监督等切实可靠的规章制度和操作规范。选派的服务人员应有较高的管理水平，且具备一定的学生管理工作和思想政治工作经验。</w:t>
      </w:r>
    </w:p>
    <w:p w14:paraId="4FD89D89">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4.建立各种公共突发性事件（如：水、电、公共卫生、自然灾害等）的处理机制和预案，包括组织机构、人员和具体措施等，服务人员应具备应急能力，一旦发生突发事件即能随时启动预案立即付诸实施。及时处理安全隐患、防火防盗、安全用电指导和不稳定因素排查，有突发事件及时处理，并迅速报告有关部门，确保学生人身和财产安全，公寓内无恶性治安案件发生。</w:t>
      </w:r>
    </w:p>
    <w:p w14:paraId="00EE5A30">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5.加强对所有岗位员工的法纪教育和业务学习训练，需要定期 集中理论学习；规范化物业服务；有培训计划和培训记录，并作为本项目服务队伍考核的凭证之一。上岗后采购人对所有岗位人员进行考核，不符合要求采购人有权直接进行更换和管理。</w:t>
      </w:r>
    </w:p>
    <w:p w14:paraId="05BFBDF1">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6.为加强企业服务台帐资料档案管理，夯实物业管理基础工作，合理利用物业服务台帐资料档案信息资源，做好档案管理有且不仅限于：①人员入职申请表；②员工劳动合同；③员工花名册；④员工排班表与考勤表。</w:t>
      </w:r>
    </w:p>
    <w:p w14:paraId="0EF93870">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7.所有员工基本信息、身份证明等要在采购人负责处填写登记表备案并保证队伍的相对稳定。服务人员分岗位统一着装、佩戴标志；行为规范，服务主动、细致、周到，用语文明。</w:t>
      </w:r>
    </w:p>
    <w:p w14:paraId="09BCAE95">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8.所有岗位人员食宿、服装、保洁、维修等设备由物业公司自行解决。</w:t>
      </w:r>
    </w:p>
    <w:p w14:paraId="29ACE49C">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9.用工约定</w:t>
      </w:r>
    </w:p>
    <w:p w14:paraId="3E697D88">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①中标人派出的服务人员符合国家用工要求。中标人必须与用工人员签订劳动合同，购买保险。</w:t>
      </w:r>
    </w:p>
    <w:p w14:paraId="5F0E21D0">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②服务人员须向管理部门提供身份证复印件、健康证、体检证明。</w:t>
      </w:r>
    </w:p>
    <w:p w14:paraId="19245F0B">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③服务人员的住宿、就餐、医疗、工伤、意外保险、治安等问题由中标人自行解决，与采购人无任何关系。服务期间，若出现安全责任事故及纠纷等，由中标人承担全部责任、自行处置，与采购人无任何关系。</w:t>
      </w:r>
    </w:p>
    <w:p w14:paraId="001C15A4">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④服务人员必须统一配备服装，挂牌上岗。</w:t>
      </w:r>
    </w:p>
    <w:p w14:paraId="2D287F71">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⑤遇有重大活动、上级检查或临时性任务时，中标人必须服从采购人的统一调度和安排。</w:t>
      </w:r>
    </w:p>
    <w:p w14:paraId="7FD19E4A">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⑥协议期间，若因中标人管理不当，影响采购人正常的教学办公秩序，造成不良影响的，每次扣除履约保证金3000元，连续发生3次的，履约保证金没收，协议解除。</w:t>
      </w:r>
    </w:p>
    <w:p w14:paraId="70C362EE">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⑦中标人必须保证工作日内上岗人员出勤率在100%，若有员工请假须提前向管理部门说明。若在1个月内5次出现出勤率低 于相应标准，将根据实际出勤情况参照日工资标准扣除相应费用。</w:t>
      </w:r>
    </w:p>
    <w:p w14:paraId="0DB1CD9D">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⑧周六周日、法定节假日、寒暑假期间必须按照检查标准保质保量完成学校的工作任务。</w:t>
      </w:r>
    </w:p>
    <w:p w14:paraId="2C767D4E">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⑨服务人员必须遵守采购人各项规章制度的规定，绝对禁止随意进入及动用与基本工作无关的区域及物品。</w:t>
      </w:r>
    </w:p>
    <w:p w14:paraId="4ECB03A5">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二、服务要求</w:t>
      </w:r>
    </w:p>
    <w:p w14:paraId="5D3620BD">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（一）项目经理服务要求</w:t>
      </w:r>
    </w:p>
    <w:p w14:paraId="6B2E5DA5">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1.在学校资源保障中心的领导下，负责各项物业工作和组织安排和落实。</w:t>
      </w:r>
    </w:p>
    <w:p w14:paraId="60805F3C">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2.负责制定并不断完善物业的岗位设置、工作职责和考核办法，根据用工规定，管理、检查和考核物业服务人员。</w:t>
      </w:r>
    </w:p>
    <w:p w14:paraId="325B2EA5">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3.负责校园环境和公共场所的卫生、美化等工作的组织、落实和检查。</w:t>
      </w:r>
    </w:p>
    <w:p w14:paraId="72B43700">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4.协助学校做好考场布置、突击性爱国卫生检查及重大活动的 会场布置和后勤保障工作。</w:t>
      </w:r>
    </w:p>
    <w:p w14:paraId="48DE532D">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5.负责对物业服务人员安全教育和文明教育，定期对服务人员 进行职业道德教育，组织服务人员学习和执行国家有关政策、技术 规范、文件等。</w:t>
      </w:r>
    </w:p>
    <w:p w14:paraId="5C1541A2">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6.负责落实下达上级指定的各项政治任务和生产任务。</w:t>
      </w:r>
    </w:p>
    <w:p w14:paraId="12C8B630">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7.管理与使用好维修设备工具、配件材料，做好进货、出货登记、造册，做好各类报表。</w:t>
      </w:r>
    </w:p>
    <w:p w14:paraId="1D3E3F07">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8.负责落实、检查维修的及时率和师生的满意率。</w:t>
      </w:r>
    </w:p>
    <w:p w14:paraId="1583F56D">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（二）保洁服务要求</w:t>
      </w:r>
    </w:p>
    <w:p w14:paraId="0F23B99E">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中标人应具有“管理育人、服务育人”的责任，必须为采购 人提供优质高效的服务，把保洁管理工作作为精神文明建设的重要 载体，以规范合理的管理来保证保洁工作的顺利进行。</w:t>
      </w:r>
    </w:p>
    <w:p w14:paraId="61343A20">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1.保洁区域门厅（含门前台阶）、走廊、楼梯、公共卫生间、公共洗漱间等公共部位每天清扫2次以上、拖洗1次，并全天保持保洁。做到地面无积水、无污垢、无痰迹、无纸屑、无瓜皮果壳等。</w:t>
      </w:r>
    </w:p>
    <w:p w14:paraId="578F9055">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2.校园内日常卫生保持，做到地面无积水、无污垢、无纸屑、无瓜皮果壳等。并全天保持保洁。未硬化区域（含绿化带、草坪等）做到无纸屑、无一次性垃圾袋等。</w:t>
      </w:r>
    </w:p>
    <w:p w14:paraId="251772A6">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3.公共卫生间、公共洗漱间无异味、无积水、无污垢。</w:t>
      </w:r>
    </w:p>
    <w:p w14:paraId="0FA3DF3B">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4.学生公寓内楼道及楼梯保持干净整洁，每天打扫2次、拖洗1次，并全天保持整洁。做到地面无积水、无污垢、无痰迹、无纸屑、无瓜皮果壳等。</w:t>
      </w:r>
    </w:p>
    <w:p w14:paraId="23077E6B">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5.墙面保持整洁，无污迹、无乱悬挂、无乱张贴等现象。</w:t>
      </w:r>
    </w:p>
    <w:p w14:paraId="37F80B72">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6.垃圾清理每天至少2次，垃圾箱内垃圾每天必须清理干净，垃圾箱附近卫生保持干净整洁。</w:t>
      </w:r>
    </w:p>
    <w:p w14:paraId="5C8DF5F1">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7.门厅、走廊、楼梯等公共部位的窗户玻璃保持整洁，每周擦洗1次以上。</w:t>
      </w:r>
    </w:p>
    <w:p w14:paraId="4EEAA9DF">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8.保洁区域内无卫生死角，师生对公共部位环境卫生满意度90%以上。</w:t>
      </w:r>
    </w:p>
    <w:p w14:paraId="47F79594">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9.做好节水节电工作，无常流水、常明灯现象，制止违章用电。</w:t>
      </w:r>
    </w:p>
    <w:p w14:paraId="76467E2B">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10.日常保洁过程中必须使用与被保洁对象材质相对应的保洁设 备、保洁用品及日常护理用品。</w:t>
      </w:r>
    </w:p>
    <w:p w14:paraId="6D1E3019">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11.按照学院有关规定，主动配合学院开展学生管理创新、服务创新工作。</w:t>
      </w:r>
    </w:p>
    <w:p w14:paraId="213806CA">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12.做好节水节电工作，校内公共区域、卫生间、公寓内无常流水、常明灯现象。</w:t>
      </w:r>
    </w:p>
    <w:p w14:paraId="5D5F83D5">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（三）宿舍门卫服务要求</w:t>
      </w:r>
    </w:p>
    <w:p w14:paraId="5C7B51B6">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为强化管理，维护学校的正常秩序，创造安全文明的生活环境，保持消防通道的畅通，对宿管服务提出以下要求。</w:t>
      </w:r>
    </w:p>
    <w:p w14:paraId="7957CA4E">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1.宿舍门卫要坚守工作岗位，做到24小时有人值守。</w:t>
      </w:r>
    </w:p>
    <w:p w14:paraId="492BF262">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2.宿舍门卫要忠于职守，严格管理，热情服务，遇到重大和突发事件应及时报告在场值班老师和保卫处等部门。</w:t>
      </w:r>
    </w:p>
    <w:p w14:paraId="19CD47A1">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3.严格交接班制度，交接班双方要当面交代好工作内容和注意 事项，双方在交接本上签字确认。接班人未到，交班人不得擅自离岗，否则，由此产生的一切后果由交班人负责；交接班后产生的一切后果由接班人负责。</w:t>
      </w:r>
    </w:p>
    <w:p w14:paraId="449D203D">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4.执行证件查验制度，避免社会闲杂人员进入服务区域，威胁师生人身和财产安全，影响学校正常生活秩序；对来访人员要严格盘查，在有受访者在场的情况下、详细登记有效证件后，方可进入。</w:t>
      </w:r>
    </w:p>
    <w:p w14:paraId="0CB85212">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5.严格物品出入登记检查，物证相符、登记后方可出入服务区域，严防大件贵重物品丢失和危险物品进入服务区域内。</w:t>
      </w:r>
    </w:p>
    <w:p w14:paraId="0507733E">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6.严格控制车辆进入学生公寓楼内；学生公寓楼大门前禁止摆 摊设点和停放车辆。</w:t>
      </w:r>
    </w:p>
    <w:p w14:paraId="7DAE7B40">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7.对晚归的学生，检查证件、详细登记后方可进入学生公寓楼。</w:t>
      </w:r>
    </w:p>
    <w:p w14:paraId="7E7A8FE7">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8.擅自离岗、脱岗的，视情节轻重给予相应处罚；因脱岗、缺岗造成公私财产损失、师生人身受到伤害的，承担相应责任。</w:t>
      </w:r>
    </w:p>
    <w:p w14:paraId="285287C6">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9.女生公寓楼严禁外来人员尤其是男士进入，值班检查的男老师、维修人员需2人以上、经登记后方可进入；男生公寓楼，女生禁入。</w:t>
      </w:r>
    </w:p>
    <w:p w14:paraId="7B34EA25">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10.禁止在值班室及其他负责区域有私拉电线、违章用电行为。</w:t>
      </w:r>
    </w:p>
    <w:p w14:paraId="13664545">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（四）</w:t>
      </w:r>
      <w:r>
        <w:rPr>
          <w:rFonts w:hint="eastAsia" w:ascii="Times New Roman" w:hAnsi="Times New Roman" w:eastAsia="宋体" w:cs="Times New Roman"/>
          <w:color w:val="auto"/>
          <w:sz w:val="28"/>
          <w:szCs w:val="28"/>
          <w:lang w:val="en-US" w:eastAsia="zh-CN"/>
        </w:rPr>
        <w:t>校园整体</w:t>
      </w:r>
      <w:r>
        <w:rPr>
          <w:rFonts w:hint="default" w:ascii="Times New Roman" w:hAnsi="Times New Roman" w:eastAsia="宋体" w:cs="Times New Roman"/>
          <w:color w:val="auto"/>
          <w:sz w:val="28"/>
          <w:szCs w:val="28"/>
          <w:lang w:val="en-US" w:eastAsia="zh-CN"/>
        </w:rPr>
        <w:t>维修人员服务要求</w:t>
      </w:r>
    </w:p>
    <w:p w14:paraId="73058A6B">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1.遵守学校规章制度，服从管理，配合学校、项目经理的工作。</w:t>
      </w:r>
    </w:p>
    <w:p w14:paraId="7D1DC591">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2.负责学生宿舍水、电、门窗、损坏家具的维修及更换等工作。</w:t>
      </w:r>
    </w:p>
    <w:p w14:paraId="3DF219CD">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3.做好学生宿舍急修抢修任务。</w:t>
      </w:r>
    </w:p>
    <w:p w14:paraId="34B44732">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4.负责定期对学生宿舍及周围设施的检查、维修工作。</w:t>
      </w:r>
    </w:p>
    <w:p w14:paraId="3477AA96">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5.完成安排的其他工作。</w:t>
      </w:r>
    </w:p>
    <w:p w14:paraId="4D854209">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三、中标人承担费用</w:t>
      </w:r>
    </w:p>
    <w:p w14:paraId="6C8FF962">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1.物业服务过程中所需要的低值易耗品、清洁用品、用具（含手推式尘推车、高压冲洗车等）、设备器材、物业管理办公费（包括电话费、网费）和服务中损坏公物赔偿费等；由此产生的一切费用由中标人承担。</w:t>
      </w:r>
    </w:p>
    <w:p w14:paraId="4C510369">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2.人员工资及税金：包括所有服务人员的工资、奖金等劳动报酬；国家规定的各类社会保障、社会统筹费用等。</w:t>
      </w:r>
    </w:p>
    <w:p w14:paraId="5B3E9915">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3.卫生保洁工具和消毒费用。</w:t>
      </w:r>
    </w:p>
    <w:p w14:paraId="000D33C2">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4.其他不可预见性开支。</w:t>
      </w:r>
    </w:p>
    <w:p w14:paraId="101E6D28">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四、考核办法</w:t>
      </w:r>
    </w:p>
    <w:p w14:paraId="2D9AD222">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1.考核办法：考核实行百分制。月度考核参照《河南工业和信息化职业学院卫生保洁及劳务派遣物业服务监督考核测评体系（试行）》（附件1）、《河南工业和信息化职业学院物业招标项目物业服务监督考核办法》（附件2）执行。每月1次检查抽查，月度考核得分90分以上的为合格、80-89分的（含80分）为基本合格、60-79分（含60分）的为不合格；60分以下的为严重不合格。</w:t>
      </w:r>
    </w:p>
    <w:p w14:paraId="07FB9B09">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2.考核结果运用</w:t>
      </w:r>
    </w:p>
    <w:p w14:paraId="6C26A674">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（1）月度考核合格的，月度物业服务费足额拨付。</w:t>
      </w:r>
    </w:p>
    <w:p w14:paraId="4E0ABA32">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（2）月度考核基本合格分数在80-89分（含80分）的，扣拨月度物业服务费的</w:t>
      </w:r>
      <w:r>
        <w:rPr>
          <w:rFonts w:hint="eastAsia" w:ascii="Times New Roman" w:hAnsi="Times New Roman" w:eastAsia="宋体" w:cs="Times New Roman"/>
          <w:color w:val="auto"/>
          <w:sz w:val="28"/>
          <w:szCs w:val="28"/>
          <w:lang w:val="en-US" w:eastAsia="zh-CN"/>
        </w:rPr>
        <w:t>百分之一</w:t>
      </w:r>
      <w:r>
        <w:rPr>
          <w:rFonts w:hint="default" w:ascii="Times New Roman" w:hAnsi="Times New Roman" w:eastAsia="宋体" w:cs="Times New Roman"/>
          <w:color w:val="auto"/>
          <w:sz w:val="28"/>
          <w:szCs w:val="28"/>
          <w:lang w:val="en-US" w:eastAsia="zh-CN"/>
        </w:rPr>
        <w:t>。</w:t>
      </w:r>
    </w:p>
    <w:p w14:paraId="5C6B4EDA">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（3）月度考核不合格的分数在60-79分（含60分）的扣拨月度物业服务费的</w:t>
      </w:r>
      <w:r>
        <w:rPr>
          <w:rFonts w:hint="eastAsia" w:ascii="Times New Roman" w:hAnsi="Times New Roman" w:eastAsia="宋体" w:cs="Times New Roman"/>
          <w:color w:val="auto"/>
          <w:sz w:val="28"/>
          <w:szCs w:val="28"/>
          <w:lang w:val="en-US" w:eastAsia="zh-CN"/>
        </w:rPr>
        <w:t>百分之五</w:t>
      </w:r>
      <w:r>
        <w:rPr>
          <w:rFonts w:hint="default" w:ascii="Times New Roman" w:hAnsi="Times New Roman" w:eastAsia="宋体" w:cs="Times New Roman"/>
          <w:color w:val="auto"/>
          <w:sz w:val="28"/>
          <w:szCs w:val="28"/>
          <w:lang w:val="en-US" w:eastAsia="zh-CN"/>
        </w:rPr>
        <w:t>；连续三个月不合格的，学院有权解除物业服务合同；并且扣发最后一个月的物业服务费。</w:t>
      </w:r>
    </w:p>
    <w:p w14:paraId="532A1EA1">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（4）月度考核严重不合格的扣拨月度物业服务费的百分之十；连续二个月严重不合格的，学院有权解除物业服务合同；并且扣发最后一个月的物业服务费。</w:t>
      </w:r>
    </w:p>
    <w:p w14:paraId="4647159A">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注：在物业服务合同执行期间内，若累计出现3次及以上考核结果为“基本合格”或“不合格”的情形，学院有权约谈承包方并要求其限期整改；如在任意连续12个月内，累计出现5次及以上考核结果为“不合格”或“严重不合格”的情形，学院有权单方面解除物业服务合同，并扣发最后一个月的物业服务费。</w:t>
      </w:r>
    </w:p>
    <w:p w14:paraId="2E0BC793">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第四部分  其他要求</w:t>
      </w:r>
    </w:p>
    <w:p w14:paraId="6D683C50">
      <w:pPr>
        <w:keepNext w:val="0"/>
        <w:keepLines w:val="0"/>
        <w:pageBreakBefore w:val="0"/>
        <w:widowControl w:val="0"/>
        <w:kinsoku/>
        <w:wordWrap/>
        <w:overflowPunct/>
        <w:topLinePunct w:val="0"/>
        <w:autoSpaceDE/>
        <w:autoSpaceDN/>
        <w:bidi w:val="0"/>
        <w:adjustRightInd/>
        <w:snapToGrid/>
        <w:spacing w:line="460" w:lineRule="exact"/>
        <w:ind w:left="0" w:right="0" w:firstLine="552" w:firstLineChars="200"/>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pacing w:val="-2"/>
          <w:sz w:val="28"/>
          <w:szCs w:val="28"/>
        </w:rPr>
        <w:t>1.</w:t>
      </w:r>
      <w:r>
        <w:rPr>
          <w:rFonts w:hint="default" w:ascii="Times New Roman" w:hAnsi="Times New Roman" w:eastAsia="宋体" w:cs="Times New Roman"/>
          <w:color w:val="auto"/>
          <w:spacing w:val="-2"/>
          <w:sz w:val="28"/>
          <w:szCs w:val="28"/>
          <w:lang w:eastAsia="zh-CN"/>
        </w:rPr>
        <w:t>投标人</w:t>
      </w:r>
      <w:r>
        <w:rPr>
          <w:rFonts w:hint="default" w:ascii="Times New Roman" w:hAnsi="Times New Roman" w:eastAsia="宋体" w:cs="Times New Roman"/>
          <w:color w:val="auto"/>
          <w:spacing w:val="-2"/>
          <w:sz w:val="28"/>
          <w:szCs w:val="28"/>
        </w:rPr>
        <w:t>应在响应文件中提供业绩、人员配备等证明材料。</w:t>
      </w:r>
    </w:p>
    <w:p w14:paraId="7287387D">
      <w:pPr>
        <w:keepNext w:val="0"/>
        <w:keepLines w:val="0"/>
        <w:pageBreakBefore w:val="0"/>
        <w:widowControl w:val="0"/>
        <w:kinsoku/>
        <w:wordWrap/>
        <w:overflowPunct/>
        <w:topLinePunct w:val="0"/>
        <w:autoSpaceDE/>
        <w:autoSpaceDN/>
        <w:bidi w:val="0"/>
        <w:adjustRightInd/>
        <w:snapToGrid/>
        <w:spacing w:line="460" w:lineRule="exact"/>
        <w:ind w:left="0" w:right="0" w:firstLine="564" w:firstLineChars="200"/>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pacing w:val="1"/>
          <w:sz w:val="28"/>
          <w:szCs w:val="28"/>
        </w:rPr>
        <w:t>2.</w:t>
      </w:r>
      <w:r>
        <w:rPr>
          <w:rFonts w:hint="default" w:ascii="Times New Roman" w:hAnsi="Times New Roman" w:eastAsia="宋体" w:cs="Times New Roman"/>
          <w:color w:val="auto"/>
          <w:spacing w:val="1"/>
          <w:sz w:val="28"/>
          <w:szCs w:val="28"/>
          <w:lang w:eastAsia="zh-CN"/>
        </w:rPr>
        <w:t>投标人</w:t>
      </w:r>
      <w:r>
        <w:rPr>
          <w:rFonts w:hint="default" w:ascii="Times New Roman" w:hAnsi="Times New Roman" w:eastAsia="宋体" w:cs="Times New Roman"/>
          <w:color w:val="auto"/>
          <w:spacing w:val="1"/>
          <w:sz w:val="28"/>
          <w:szCs w:val="28"/>
        </w:rPr>
        <w:t>应提供服务承诺、实质性优惠(比如重大活动或者突击</w:t>
      </w:r>
      <w:r>
        <w:rPr>
          <w:rFonts w:hint="default" w:ascii="Times New Roman" w:hAnsi="Times New Roman" w:eastAsia="宋体" w:cs="Times New Roman"/>
          <w:color w:val="auto"/>
          <w:spacing w:val="5"/>
          <w:sz w:val="28"/>
          <w:szCs w:val="28"/>
        </w:rPr>
        <w:t>性任务需要增加服务人员数量时，无条件按照采购人要求和安排落</w:t>
      </w:r>
      <w:r>
        <w:rPr>
          <w:rFonts w:hint="default" w:ascii="Times New Roman" w:hAnsi="Times New Roman" w:eastAsia="宋体" w:cs="Times New Roman"/>
          <w:color w:val="auto"/>
          <w:spacing w:val="-6"/>
          <w:sz w:val="28"/>
          <w:szCs w:val="28"/>
        </w:rPr>
        <w:t>实等)。</w:t>
      </w:r>
    </w:p>
    <w:p w14:paraId="5B3A1F2B">
      <w:pPr>
        <w:keepNext w:val="0"/>
        <w:keepLines w:val="0"/>
        <w:pageBreakBefore w:val="0"/>
        <w:widowControl w:val="0"/>
        <w:kinsoku/>
        <w:wordWrap/>
        <w:overflowPunct/>
        <w:topLinePunct w:val="0"/>
        <w:autoSpaceDE/>
        <w:autoSpaceDN/>
        <w:bidi w:val="0"/>
        <w:adjustRightInd/>
        <w:snapToGrid/>
        <w:spacing w:line="460" w:lineRule="exact"/>
        <w:ind w:left="0" w:right="0" w:firstLine="584" w:firstLineChars="200"/>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pacing w:val="6"/>
          <w:sz w:val="28"/>
          <w:szCs w:val="28"/>
        </w:rPr>
        <w:t>3.</w:t>
      </w:r>
      <w:r>
        <w:rPr>
          <w:rFonts w:hint="default" w:ascii="Times New Roman" w:hAnsi="Times New Roman" w:eastAsia="宋体" w:cs="Times New Roman"/>
          <w:color w:val="auto"/>
          <w:spacing w:val="6"/>
          <w:sz w:val="28"/>
          <w:szCs w:val="28"/>
          <w:lang w:eastAsia="zh-CN"/>
        </w:rPr>
        <w:t>投标人</w:t>
      </w:r>
      <w:r>
        <w:rPr>
          <w:rFonts w:hint="default" w:ascii="Times New Roman" w:hAnsi="Times New Roman" w:eastAsia="宋体" w:cs="Times New Roman"/>
          <w:color w:val="auto"/>
          <w:spacing w:val="6"/>
          <w:sz w:val="28"/>
          <w:szCs w:val="28"/>
        </w:rPr>
        <w:t>结合本项目需求制定整体管理服务方案</w:t>
      </w:r>
      <w:r>
        <w:rPr>
          <w:rFonts w:hint="default" w:ascii="Times New Roman" w:hAnsi="Times New Roman" w:eastAsia="宋体" w:cs="Times New Roman"/>
          <w:color w:val="auto"/>
          <w:spacing w:val="5"/>
          <w:sz w:val="28"/>
          <w:szCs w:val="28"/>
        </w:rPr>
        <w:t>，包含管理服务整体规划、服务方案（不限于保洁服务、垃圾清理外运、宿舍楼</w:t>
      </w:r>
      <w:r>
        <w:rPr>
          <w:rFonts w:hint="default" w:ascii="Times New Roman" w:hAnsi="Times New Roman" w:eastAsia="宋体" w:cs="Times New Roman"/>
          <w:color w:val="auto"/>
          <w:spacing w:val="-1"/>
          <w:sz w:val="28"/>
          <w:szCs w:val="28"/>
        </w:rPr>
        <w:t>的管理、学生宿舍水电五金维修）、交接方案</w:t>
      </w:r>
      <w:r>
        <w:rPr>
          <w:rFonts w:hint="default" w:ascii="Times New Roman" w:hAnsi="Times New Roman" w:eastAsia="宋体" w:cs="Times New Roman"/>
          <w:color w:val="auto"/>
          <w:spacing w:val="-2"/>
          <w:sz w:val="28"/>
          <w:szCs w:val="28"/>
        </w:rPr>
        <w:t>等。</w:t>
      </w:r>
    </w:p>
    <w:p w14:paraId="47CA58E4">
      <w:pPr>
        <w:keepNext w:val="0"/>
        <w:keepLines w:val="0"/>
        <w:pageBreakBefore w:val="0"/>
        <w:widowControl w:val="0"/>
        <w:kinsoku/>
        <w:wordWrap/>
        <w:overflowPunct/>
        <w:topLinePunct w:val="0"/>
        <w:autoSpaceDE/>
        <w:autoSpaceDN/>
        <w:bidi w:val="0"/>
        <w:adjustRightInd/>
        <w:snapToGrid/>
        <w:spacing w:line="460" w:lineRule="exact"/>
        <w:ind w:left="0" w:right="0" w:firstLine="584" w:firstLineChars="200"/>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pacing w:val="6"/>
          <w:sz w:val="28"/>
          <w:szCs w:val="28"/>
        </w:rPr>
        <w:t>4.</w:t>
      </w:r>
      <w:r>
        <w:rPr>
          <w:rFonts w:hint="default" w:ascii="Times New Roman" w:hAnsi="Times New Roman" w:eastAsia="宋体" w:cs="Times New Roman"/>
          <w:color w:val="auto"/>
          <w:spacing w:val="6"/>
          <w:sz w:val="28"/>
          <w:szCs w:val="28"/>
          <w:lang w:eastAsia="zh-CN"/>
        </w:rPr>
        <w:t>投标人</w:t>
      </w:r>
      <w:r>
        <w:rPr>
          <w:rFonts w:hint="default" w:ascii="Times New Roman" w:hAnsi="Times New Roman" w:eastAsia="宋体" w:cs="Times New Roman"/>
          <w:color w:val="auto"/>
          <w:spacing w:val="6"/>
          <w:sz w:val="28"/>
          <w:szCs w:val="28"/>
        </w:rPr>
        <w:t>针对本项目，制定组织架构及管理制度</w:t>
      </w:r>
      <w:r>
        <w:rPr>
          <w:rFonts w:hint="default" w:ascii="Times New Roman" w:hAnsi="Times New Roman" w:eastAsia="宋体" w:cs="Times New Roman"/>
          <w:color w:val="auto"/>
          <w:spacing w:val="5"/>
          <w:sz w:val="28"/>
          <w:szCs w:val="28"/>
        </w:rPr>
        <w:t>。组织架构及管理制度应包括但不限于：组织架构设置、各项管理制度设置、服</w:t>
      </w:r>
      <w:r>
        <w:rPr>
          <w:rFonts w:hint="default" w:ascii="Times New Roman" w:hAnsi="Times New Roman" w:eastAsia="宋体" w:cs="Times New Roman"/>
          <w:color w:val="auto"/>
          <w:spacing w:val="-1"/>
          <w:sz w:val="28"/>
          <w:szCs w:val="28"/>
        </w:rPr>
        <w:t>务质量检查、验收方法和标准、满意度测评方案</w:t>
      </w:r>
      <w:r>
        <w:rPr>
          <w:rFonts w:hint="default" w:ascii="Times New Roman" w:hAnsi="Times New Roman" w:eastAsia="宋体" w:cs="Times New Roman"/>
          <w:color w:val="auto"/>
          <w:spacing w:val="-2"/>
          <w:sz w:val="28"/>
          <w:szCs w:val="28"/>
        </w:rPr>
        <w:t>等内容。</w:t>
      </w:r>
    </w:p>
    <w:p w14:paraId="7BE563C5">
      <w:pPr>
        <w:keepNext w:val="0"/>
        <w:keepLines w:val="0"/>
        <w:pageBreakBefore w:val="0"/>
        <w:widowControl w:val="0"/>
        <w:kinsoku/>
        <w:wordWrap/>
        <w:overflowPunct/>
        <w:topLinePunct w:val="0"/>
        <w:autoSpaceDE/>
        <w:autoSpaceDN/>
        <w:bidi w:val="0"/>
        <w:adjustRightInd/>
        <w:snapToGrid/>
        <w:spacing w:line="460" w:lineRule="exact"/>
        <w:ind w:left="0" w:right="0" w:firstLine="584" w:firstLineChars="200"/>
        <w:textAlignment w:val="auto"/>
        <w:rPr>
          <w:rFonts w:hint="default" w:ascii="Times New Roman" w:hAnsi="Times New Roman" w:eastAsia="宋体" w:cs="Times New Roman"/>
          <w:color w:val="auto"/>
          <w:sz w:val="28"/>
          <w:szCs w:val="28"/>
        </w:rPr>
      </w:pPr>
      <w:r>
        <w:rPr>
          <w:rFonts w:hint="eastAsia" w:ascii="Times New Roman" w:hAnsi="Times New Roman" w:eastAsia="宋体" w:cs="Times New Roman"/>
          <w:color w:val="auto"/>
          <w:spacing w:val="6"/>
          <w:sz w:val="28"/>
          <w:szCs w:val="28"/>
          <w:lang w:val="en-US" w:eastAsia="zh-CN"/>
        </w:rPr>
        <w:t>5</w:t>
      </w:r>
      <w:r>
        <w:rPr>
          <w:rFonts w:hint="default" w:ascii="Times New Roman" w:hAnsi="Times New Roman" w:eastAsia="宋体" w:cs="Times New Roman"/>
          <w:color w:val="auto"/>
          <w:spacing w:val="6"/>
          <w:sz w:val="28"/>
          <w:szCs w:val="28"/>
        </w:rPr>
        <w:t>.</w:t>
      </w:r>
      <w:r>
        <w:rPr>
          <w:rFonts w:hint="default" w:ascii="Times New Roman" w:hAnsi="Times New Roman" w:eastAsia="宋体" w:cs="Times New Roman"/>
          <w:color w:val="auto"/>
          <w:spacing w:val="6"/>
          <w:sz w:val="28"/>
          <w:szCs w:val="28"/>
          <w:lang w:eastAsia="zh-CN"/>
        </w:rPr>
        <w:t>投标人</w:t>
      </w:r>
      <w:r>
        <w:rPr>
          <w:rFonts w:hint="default" w:ascii="Times New Roman" w:hAnsi="Times New Roman" w:eastAsia="宋体" w:cs="Times New Roman"/>
          <w:color w:val="auto"/>
          <w:spacing w:val="6"/>
          <w:sz w:val="28"/>
          <w:szCs w:val="28"/>
        </w:rPr>
        <w:t>结合实际，针对本项目特点，制定人员培训方案</w:t>
      </w:r>
      <w:r>
        <w:rPr>
          <w:rFonts w:hint="default" w:ascii="Times New Roman" w:hAnsi="Times New Roman" w:eastAsia="宋体" w:cs="Times New Roman"/>
          <w:color w:val="auto"/>
          <w:spacing w:val="5"/>
          <w:sz w:val="28"/>
          <w:szCs w:val="28"/>
        </w:rPr>
        <w:t>。方</w:t>
      </w:r>
      <w:r>
        <w:rPr>
          <w:rFonts w:hint="default" w:ascii="Times New Roman" w:hAnsi="Times New Roman" w:eastAsia="宋体" w:cs="Times New Roman"/>
          <w:color w:val="auto"/>
          <w:spacing w:val="6"/>
          <w:sz w:val="28"/>
          <w:szCs w:val="28"/>
        </w:rPr>
        <w:t>案应包括但不限于：培训的时间、地点、目</w:t>
      </w:r>
      <w:r>
        <w:rPr>
          <w:rFonts w:hint="default" w:ascii="Times New Roman" w:hAnsi="Times New Roman" w:eastAsia="宋体" w:cs="Times New Roman"/>
          <w:color w:val="auto"/>
          <w:spacing w:val="5"/>
          <w:sz w:val="28"/>
          <w:szCs w:val="28"/>
        </w:rPr>
        <w:t>标方式、内容、对象和</w:t>
      </w:r>
      <w:r>
        <w:rPr>
          <w:rFonts w:hint="default" w:ascii="Times New Roman" w:hAnsi="Times New Roman" w:eastAsia="宋体" w:cs="Times New Roman"/>
          <w:color w:val="auto"/>
          <w:spacing w:val="-12"/>
          <w:sz w:val="28"/>
          <w:szCs w:val="28"/>
        </w:rPr>
        <w:t>措施。</w:t>
      </w:r>
    </w:p>
    <w:p w14:paraId="1BB79FD3">
      <w:pPr>
        <w:keepNext w:val="0"/>
        <w:keepLines w:val="0"/>
        <w:pageBreakBefore w:val="0"/>
        <w:widowControl w:val="0"/>
        <w:kinsoku/>
        <w:wordWrap/>
        <w:overflowPunct/>
        <w:topLinePunct w:val="0"/>
        <w:autoSpaceDE/>
        <w:autoSpaceDN/>
        <w:bidi w:val="0"/>
        <w:adjustRightInd/>
        <w:snapToGrid/>
        <w:spacing w:line="460" w:lineRule="exact"/>
        <w:ind w:left="0" w:right="0" w:firstLine="584" w:firstLineChars="200"/>
        <w:textAlignment w:val="auto"/>
        <w:rPr>
          <w:rFonts w:hint="default" w:ascii="Times New Roman" w:hAnsi="Times New Roman" w:eastAsia="宋体" w:cs="Times New Roman"/>
          <w:color w:val="auto"/>
          <w:sz w:val="28"/>
          <w:szCs w:val="28"/>
        </w:rPr>
      </w:pPr>
      <w:r>
        <w:rPr>
          <w:rFonts w:hint="eastAsia" w:ascii="Times New Roman" w:hAnsi="Times New Roman" w:eastAsia="宋体" w:cs="Times New Roman"/>
          <w:color w:val="auto"/>
          <w:spacing w:val="6"/>
          <w:sz w:val="28"/>
          <w:szCs w:val="28"/>
          <w:lang w:val="en-US" w:eastAsia="zh-CN"/>
        </w:rPr>
        <w:t>6</w:t>
      </w:r>
      <w:r>
        <w:rPr>
          <w:rFonts w:hint="default" w:ascii="Times New Roman" w:hAnsi="Times New Roman" w:eastAsia="宋体" w:cs="Times New Roman"/>
          <w:color w:val="auto"/>
          <w:spacing w:val="6"/>
          <w:sz w:val="28"/>
          <w:szCs w:val="28"/>
        </w:rPr>
        <w:t>.</w:t>
      </w:r>
      <w:r>
        <w:rPr>
          <w:rFonts w:hint="default" w:ascii="Times New Roman" w:hAnsi="Times New Roman" w:eastAsia="宋体" w:cs="Times New Roman"/>
          <w:color w:val="auto"/>
          <w:spacing w:val="6"/>
          <w:sz w:val="28"/>
          <w:szCs w:val="28"/>
          <w:lang w:eastAsia="zh-CN"/>
        </w:rPr>
        <w:t>投标人</w:t>
      </w:r>
      <w:r>
        <w:rPr>
          <w:rFonts w:hint="default" w:ascii="Times New Roman" w:hAnsi="Times New Roman" w:eastAsia="宋体" w:cs="Times New Roman"/>
          <w:color w:val="auto"/>
          <w:spacing w:val="6"/>
          <w:sz w:val="28"/>
          <w:szCs w:val="28"/>
        </w:rPr>
        <w:t>针对实现本项目服务目标，制定质量</w:t>
      </w:r>
      <w:r>
        <w:rPr>
          <w:rFonts w:hint="default" w:ascii="Times New Roman" w:hAnsi="Times New Roman" w:eastAsia="宋体" w:cs="Times New Roman"/>
          <w:color w:val="auto"/>
          <w:spacing w:val="5"/>
          <w:sz w:val="28"/>
          <w:szCs w:val="28"/>
        </w:rPr>
        <w:t>保证措施。质量</w:t>
      </w:r>
      <w:r>
        <w:rPr>
          <w:rFonts w:hint="default" w:ascii="Times New Roman" w:hAnsi="Times New Roman" w:eastAsia="宋体" w:cs="Times New Roman"/>
          <w:color w:val="auto"/>
          <w:spacing w:val="4"/>
          <w:sz w:val="28"/>
          <w:szCs w:val="28"/>
        </w:rPr>
        <w:t>保证措施应包括但不限于：质量管控、保证措施、质量保证制度、</w:t>
      </w:r>
      <w:r>
        <w:rPr>
          <w:rFonts w:hint="default" w:ascii="Times New Roman" w:hAnsi="Times New Roman" w:eastAsia="宋体" w:cs="Times New Roman"/>
          <w:color w:val="auto"/>
          <w:spacing w:val="-2"/>
          <w:sz w:val="28"/>
          <w:szCs w:val="28"/>
        </w:rPr>
        <w:t>质量标准、检查方法等内容。</w:t>
      </w:r>
    </w:p>
    <w:p w14:paraId="115EEF00">
      <w:pPr>
        <w:keepNext w:val="0"/>
        <w:keepLines w:val="0"/>
        <w:pageBreakBefore w:val="0"/>
        <w:widowControl w:val="0"/>
        <w:kinsoku/>
        <w:wordWrap/>
        <w:overflowPunct/>
        <w:topLinePunct w:val="0"/>
        <w:autoSpaceDE/>
        <w:autoSpaceDN/>
        <w:bidi w:val="0"/>
        <w:adjustRightInd/>
        <w:snapToGrid/>
        <w:spacing w:line="460" w:lineRule="exact"/>
        <w:ind w:left="0" w:right="0" w:firstLine="624" w:firstLineChars="200"/>
        <w:textAlignment w:val="auto"/>
        <w:rPr>
          <w:rFonts w:hint="default" w:ascii="Times New Roman" w:hAnsi="Times New Roman" w:eastAsia="宋体" w:cs="Times New Roman"/>
          <w:color w:val="auto"/>
          <w:sz w:val="28"/>
          <w:szCs w:val="28"/>
        </w:rPr>
      </w:pPr>
      <w:r>
        <w:rPr>
          <w:rFonts w:hint="eastAsia" w:ascii="Times New Roman" w:hAnsi="Times New Roman" w:eastAsia="宋体" w:cs="Times New Roman"/>
          <w:color w:val="auto"/>
          <w:spacing w:val="16"/>
          <w:sz w:val="28"/>
          <w:szCs w:val="28"/>
          <w:lang w:val="en-US" w:eastAsia="zh-CN"/>
        </w:rPr>
        <w:t>7</w:t>
      </w:r>
      <w:r>
        <w:rPr>
          <w:rFonts w:hint="default" w:ascii="Times New Roman" w:hAnsi="Times New Roman" w:eastAsia="宋体" w:cs="Times New Roman"/>
          <w:color w:val="auto"/>
          <w:spacing w:val="16"/>
          <w:sz w:val="28"/>
          <w:szCs w:val="28"/>
        </w:rPr>
        <w:t>.</w:t>
      </w:r>
      <w:r>
        <w:rPr>
          <w:rFonts w:hint="default" w:ascii="Times New Roman" w:hAnsi="Times New Roman" w:eastAsia="宋体" w:cs="Times New Roman"/>
          <w:color w:val="auto"/>
          <w:spacing w:val="16"/>
          <w:sz w:val="28"/>
          <w:szCs w:val="28"/>
          <w:lang w:eastAsia="zh-CN"/>
        </w:rPr>
        <w:t>投标人</w:t>
      </w:r>
      <w:r>
        <w:rPr>
          <w:rFonts w:hint="default" w:ascii="Times New Roman" w:hAnsi="Times New Roman" w:eastAsia="宋体" w:cs="Times New Roman"/>
          <w:color w:val="auto"/>
          <w:spacing w:val="16"/>
          <w:sz w:val="28"/>
          <w:szCs w:val="28"/>
        </w:rPr>
        <w:t>针对本项目特点，制定突发事件应急预案及处置措</w:t>
      </w:r>
      <w:r>
        <w:rPr>
          <w:rFonts w:hint="default" w:ascii="Times New Roman" w:hAnsi="Times New Roman" w:eastAsia="宋体" w:cs="Times New Roman"/>
          <w:color w:val="auto"/>
          <w:spacing w:val="6"/>
          <w:sz w:val="28"/>
          <w:szCs w:val="28"/>
        </w:rPr>
        <w:t>施，①针对迎新季、毕业季、重要会议、大型</w:t>
      </w:r>
      <w:r>
        <w:rPr>
          <w:rFonts w:hint="default" w:ascii="Times New Roman" w:hAnsi="Times New Roman" w:eastAsia="宋体" w:cs="Times New Roman"/>
          <w:color w:val="auto"/>
          <w:spacing w:val="5"/>
          <w:sz w:val="28"/>
          <w:szCs w:val="28"/>
        </w:rPr>
        <w:t>考试、运动会、全校</w:t>
      </w:r>
      <w:r>
        <w:rPr>
          <w:rFonts w:hint="default" w:ascii="Times New Roman" w:hAnsi="Times New Roman" w:eastAsia="宋体" w:cs="Times New Roman"/>
          <w:color w:val="auto"/>
          <w:spacing w:val="6"/>
          <w:sz w:val="28"/>
          <w:szCs w:val="28"/>
        </w:rPr>
        <w:t>性比赛等重大活动提供的服务保障方案；②水</w:t>
      </w:r>
      <w:r>
        <w:rPr>
          <w:rFonts w:hint="default" w:ascii="Times New Roman" w:hAnsi="Times New Roman" w:eastAsia="宋体" w:cs="Times New Roman"/>
          <w:color w:val="auto"/>
          <w:spacing w:val="5"/>
          <w:sz w:val="28"/>
          <w:szCs w:val="28"/>
        </w:rPr>
        <w:t>电气暖突发故障及事</w:t>
      </w:r>
      <w:r>
        <w:rPr>
          <w:rFonts w:hint="default" w:ascii="Times New Roman" w:hAnsi="Times New Roman" w:eastAsia="宋体" w:cs="Times New Roman"/>
          <w:color w:val="auto"/>
          <w:spacing w:val="6"/>
          <w:sz w:val="28"/>
          <w:szCs w:val="28"/>
        </w:rPr>
        <w:t>故、电梯故障及事故、食物中毒、高空坠落、</w:t>
      </w:r>
      <w:r>
        <w:rPr>
          <w:rFonts w:hint="default" w:ascii="Times New Roman" w:hAnsi="Times New Roman" w:eastAsia="宋体" w:cs="Times New Roman"/>
          <w:color w:val="auto"/>
          <w:spacing w:val="5"/>
          <w:sz w:val="28"/>
          <w:szCs w:val="28"/>
        </w:rPr>
        <w:t>火灾爆炸、公共突发</w:t>
      </w:r>
      <w:r>
        <w:rPr>
          <w:rFonts w:hint="default" w:ascii="Times New Roman" w:hAnsi="Times New Roman" w:eastAsia="宋体" w:cs="Times New Roman"/>
          <w:color w:val="auto"/>
          <w:spacing w:val="6"/>
          <w:sz w:val="28"/>
          <w:szCs w:val="28"/>
        </w:rPr>
        <w:t>事件、雨雪极端天气、消防应急预案等自然灾</w:t>
      </w:r>
      <w:r>
        <w:rPr>
          <w:rFonts w:hint="default" w:ascii="Times New Roman" w:hAnsi="Times New Roman" w:eastAsia="宋体" w:cs="Times New Roman"/>
          <w:color w:val="auto"/>
          <w:spacing w:val="5"/>
          <w:sz w:val="28"/>
          <w:szCs w:val="28"/>
        </w:rPr>
        <w:t>害应急预案及处置措</w:t>
      </w:r>
      <w:r>
        <w:rPr>
          <w:rFonts w:hint="default" w:ascii="Times New Roman" w:hAnsi="Times New Roman" w:eastAsia="宋体" w:cs="Times New Roman"/>
          <w:color w:val="auto"/>
          <w:spacing w:val="-14"/>
          <w:sz w:val="28"/>
          <w:szCs w:val="28"/>
        </w:rPr>
        <w:t>施。</w:t>
      </w:r>
    </w:p>
    <w:p w14:paraId="6E5AA54C">
      <w:pPr>
        <w:keepNext w:val="0"/>
        <w:keepLines w:val="0"/>
        <w:pageBreakBefore w:val="0"/>
        <w:widowControl w:val="0"/>
        <w:kinsoku/>
        <w:wordWrap/>
        <w:overflowPunct/>
        <w:topLinePunct w:val="0"/>
        <w:autoSpaceDE/>
        <w:autoSpaceDN/>
        <w:bidi w:val="0"/>
        <w:adjustRightInd/>
        <w:snapToGrid/>
        <w:spacing w:line="460" w:lineRule="exact"/>
        <w:ind w:left="0" w:right="0" w:firstLine="564" w:firstLineChars="20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spacing w:val="1"/>
          <w:sz w:val="28"/>
          <w:szCs w:val="28"/>
          <w:lang w:val="en-US" w:eastAsia="zh-CN"/>
        </w:rPr>
        <w:t>8</w:t>
      </w:r>
      <w:r>
        <w:rPr>
          <w:rFonts w:hint="default" w:ascii="Times New Roman" w:hAnsi="Times New Roman" w:eastAsia="宋体" w:cs="Times New Roman"/>
          <w:color w:val="auto"/>
          <w:spacing w:val="1"/>
          <w:sz w:val="28"/>
          <w:szCs w:val="28"/>
        </w:rPr>
        <w:t>.</w:t>
      </w:r>
      <w:r>
        <w:rPr>
          <w:rFonts w:hint="default" w:ascii="Times New Roman" w:hAnsi="Times New Roman" w:eastAsia="宋体" w:cs="Times New Roman"/>
          <w:color w:val="auto"/>
          <w:spacing w:val="1"/>
          <w:sz w:val="28"/>
          <w:szCs w:val="28"/>
          <w:lang w:eastAsia="zh-CN"/>
        </w:rPr>
        <w:t>投标人</w:t>
      </w:r>
      <w:r>
        <w:rPr>
          <w:rFonts w:hint="default" w:ascii="Times New Roman" w:hAnsi="Times New Roman" w:eastAsia="宋体" w:cs="Times New Roman"/>
          <w:color w:val="auto"/>
          <w:spacing w:val="1"/>
          <w:sz w:val="28"/>
          <w:szCs w:val="28"/>
        </w:rPr>
        <w:t>需针对本项目制定档案管理方案，方案至少包含档案的</w:t>
      </w:r>
      <w:bookmarkStart w:id="582" w:name="bookmark7"/>
      <w:bookmarkEnd w:id="582"/>
      <w:r>
        <w:rPr>
          <w:rFonts w:hint="default" w:ascii="Times New Roman" w:hAnsi="Times New Roman" w:eastAsia="宋体" w:cs="Times New Roman"/>
          <w:color w:val="auto"/>
          <w:spacing w:val="-1"/>
          <w:sz w:val="28"/>
          <w:szCs w:val="28"/>
        </w:rPr>
        <w:t>建立、档案的收集、档案的分类、档案的管理。</w:t>
      </w:r>
    </w:p>
    <w:p w14:paraId="0BF4B5A8">
      <w:pPr>
        <w:rPr>
          <w:rFonts w:hint="default" w:ascii="Times New Roman" w:hAnsi="Times New Roman" w:eastAsia="Arial Unicode MS" w:cs="Times New Roman"/>
          <w:b/>
          <w:color w:val="auto"/>
          <w:kern w:val="2"/>
          <w:sz w:val="28"/>
          <w:szCs w:val="28"/>
          <w:lang w:val="zh-TW" w:eastAsia="zh-TW" w:bidi="ar-SA"/>
        </w:rPr>
      </w:pPr>
    </w:p>
    <w:p w14:paraId="2144ACB2">
      <w:pPr>
        <w:rPr>
          <w:rFonts w:hint="default" w:ascii="Times New Roman" w:hAnsi="Times New Roman" w:eastAsia="仿宋" w:cs="Times New Roman"/>
          <w:b w:val="0"/>
          <w:bCs/>
          <w:color w:val="auto"/>
          <w:kern w:val="2"/>
          <w:sz w:val="24"/>
          <w:szCs w:val="24"/>
          <w:lang w:val="en-US" w:eastAsia="zh-CN"/>
        </w:rPr>
      </w:pPr>
    </w:p>
    <w:p w14:paraId="57969F1C">
      <w:pPr>
        <w:rPr>
          <w:rFonts w:hint="default" w:ascii="Times New Roman" w:hAnsi="Times New Roman" w:eastAsia="仿宋_GB2312" w:cs="Times New Roman"/>
          <w:b/>
          <w:bCs/>
          <w:color w:val="auto"/>
          <w:kern w:val="44"/>
          <w:sz w:val="28"/>
          <w:szCs w:val="28"/>
          <w:lang w:eastAsia="zh-CN"/>
        </w:rPr>
      </w:pPr>
      <w:bookmarkStart w:id="583" w:name="_Toc16195"/>
    </w:p>
    <w:p w14:paraId="306E0674">
      <w:pPr>
        <w:rPr>
          <w:rFonts w:hint="default" w:ascii="Times New Roman" w:hAnsi="Times New Roman" w:eastAsia="仿宋_GB2312" w:cs="Times New Roman"/>
          <w:b/>
          <w:bCs/>
          <w:color w:val="auto"/>
          <w:kern w:val="44"/>
          <w:sz w:val="28"/>
          <w:szCs w:val="28"/>
          <w:lang w:eastAsia="zh-CN"/>
        </w:rPr>
      </w:pPr>
      <w:r>
        <w:rPr>
          <w:rFonts w:hint="default" w:ascii="Times New Roman" w:hAnsi="Times New Roman" w:eastAsia="仿宋_GB2312" w:cs="Times New Roman"/>
          <w:b/>
          <w:bCs/>
          <w:color w:val="auto"/>
          <w:kern w:val="44"/>
          <w:sz w:val="28"/>
          <w:szCs w:val="28"/>
          <w:lang w:eastAsia="zh-CN"/>
        </w:rPr>
        <w:br w:type="page"/>
      </w:r>
    </w:p>
    <w:p w14:paraId="16A5C2C8">
      <w:pPr>
        <w:pStyle w:val="2"/>
        <w:spacing w:before="0" w:after="0" w:line="240" w:lineRule="auto"/>
        <w:jc w:val="center"/>
        <w:rPr>
          <w:rFonts w:hint="default" w:ascii="Times New Roman" w:hAnsi="Times New Roman" w:eastAsia="宋体" w:cs="Times New Roman"/>
          <w:color w:val="auto"/>
          <w:sz w:val="36"/>
          <w:szCs w:val="36"/>
          <w:lang w:eastAsia="zh-CN"/>
        </w:rPr>
      </w:pPr>
      <w:r>
        <w:rPr>
          <w:rFonts w:hint="default" w:ascii="Times New Roman" w:hAnsi="Times New Roman" w:eastAsia="宋体" w:cs="Times New Roman"/>
          <w:color w:val="auto"/>
          <w:sz w:val="36"/>
          <w:szCs w:val="36"/>
          <w:lang w:eastAsia="zh-CN"/>
        </w:rPr>
        <w:t>第七章 评标方法和标准</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3"/>
    </w:p>
    <w:p w14:paraId="5F51264F">
      <w:pPr>
        <w:pStyle w:val="50"/>
        <w:rPr>
          <w:rFonts w:hint="default" w:ascii="Times New Roman" w:hAnsi="Times New Roman" w:eastAsia="仿宋_GB2312" w:cs="Times New Roman"/>
          <w:color w:val="auto"/>
          <w:sz w:val="28"/>
          <w:szCs w:val="28"/>
          <w:lang w:eastAsia="zh-CN"/>
        </w:rPr>
      </w:pPr>
      <w:bookmarkStart w:id="584" w:name="_Toc2142859637_WPSOffice_Level2"/>
      <w:bookmarkStart w:id="585" w:name="_Toc1270934164_WPSOffice_Level2"/>
      <w:bookmarkStart w:id="586" w:name="_Toc421828923_WPSOffice_Level2"/>
      <w:bookmarkStart w:id="587" w:name="_Toc682913791_WPSOffice_Level2"/>
      <w:bookmarkStart w:id="588" w:name="_Toc1595179162_WPSOffice_Level2"/>
    </w:p>
    <w:p w14:paraId="46E4D152">
      <w:pPr>
        <w:spacing w:line="360" w:lineRule="auto"/>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eastAsia="zh-CN"/>
        </w:rPr>
        <w:t>一、评标方法</w:t>
      </w:r>
      <w:bookmarkEnd w:id="584"/>
      <w:bookmarkEnd w:id="585"/>
      <w:bookmarkEnd w:id="586"/>
      <w:bookmarkEnd w:id="587"/>
      <w:bookmarkEnd w:id="588"/>
    </w:p>
    <w:p w14:paraId="716AD7CD">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采用综合评分法，总分值</w:t>
      </w:r>
      <w:r>
        <w:rPr>
          <w:rFonts w:hint="default" w:ascii="Times New Roman" w:hAnsi="Times New Roman" w:eastAsia="仿宋_GB2312" w:cs="Times New Roman"/>
          <w:color w:val="auto"/>
          <w:sz w:val="28"/>
          <w:szCs w:val="28"/>
          <w:lang w:val="en-US" w:eastAsia="zh-CN"/>
        </w:rPr>
        <w:t>100</w:t>
      </w:r>
      <w:r>
        <w:rPr>
          <w:rFonts w:hint="default" w:ascii="Times New Roman" w:hAnsi="Times New Roman" w:eastAsia="仿宋_GB2312" w:cs="Times New Roman"/>
          <w:color w:val="auto"/>
          <w:sz w:val="28"/>
          <w:szCs w:val="28"/>
          <w:lang w:eastAsia="zh-CN"/>
        </w:rPr>
        <w:t>分。</w:t>
      </w:r>
      <w:bookmarkStart w:id="589" w:name="_Toc35230229_WPSOffice_Level2"/>
      <w:r>
        <w:rPr>
          <w:rFonts w:hint="default" w:ascii="Times New Roman" w:hAnsi="Times New Roman" w:eastAsia="仿宋_GB2312" w:cs="Times New Roman"/>
          <w:color w:val="auto"/>
          <w:sz w:val="28"/>
          <w:szCs w:val="28"/>
          <w:lang w:eastAsia="zh-CN"/>
        </w:rPr>
        <w:t>评标委员会对各投标人的投标文件进行符合性审查、详细评审后，按评审得分由高到低顺序推荐排名。评审得分相同的，按投标报价由低到高顺序推荐排列；评审得分且投标报价相同的并列。</w:t>
      </w:r>
    </w:p>
    <w:bookmarkEnd w:id="589"/>
    <w:p w14:paraId="779652B2">
      <w:pPr>
        <w:spacing w:line="360" w:lineRule="auto"/>
        <w:ind w:firstLine="562" w:firstLineChars="200"/>
        <w:rPr>
          <w:rFonts w:hint="default" w:ascii="Times New Roman" w:hAnsi="Times New Roman" w:eastAsia="仿宋_GB2312" w:cs="Times New Roman"/>
          <w:b/>
          <w:color w:val="auto"/>
          <w:sz w:val="28"/>
          <w:szCs w:val="28"/>
          <w:lang w:eastAsia="zh-CN"/>
        </w:rPr>
      </w:pPr>
      <w:bookmarkStart w:id="590" w:name="_Toc1410113626_WPSOffice_Level3"/>
      <w:bookmarkStart w:id="591" w:name="_Toc1165130044_WPSOffice_Level2"/>
      <w:bookmarkStart w:id="592" w:name="_Toc333611415_WPSOffice_Level3"/>
      <w:r>
        <w:rPr>
          <w:rFonts w:hint="default" w:ascii="Times New Roman" w:hAnsi="Times New Roman" w:eastAsia="仿宋_GB2312" w:cs="Times New Roman"/>
          <w:b/>
          <w:color w:val="auto"/>
          <w:sz w:val="28"/>
          <w:szCs w:val="28"/>
          <w:lang w:eastAsia="zh-CN"/>
        </w:rPr>
        <w:t>二、符合性审查</w:t>
      </w:r>
      <w:bookmarkEnd w:id="590"/>
      <w:bookmarkEnd w:id="591"/>
      <w:bookmarkEnd w:id="592"/>
    </w:p>
    <w:p w14:paraId="63F2B9AA">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评标委员会对符合资格的投标人的投标文件进行符合性审查，以确定其是否满足招标文件的实质性要求。</w:t>
      </w:r>
    </w:p>
    <w:p w14:paraId="5CA0DBAD">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1. </w:t>
      </w:r>
      <w:r>
        <w:rPr>
          <w:rFonts w:hint="default" w:ascii="Times New Roman" w:hAnsi="Times New Roman" w:eastAsia="仿宋_GB2312" w:cs="Times New Roman"/>
          <w:color w:val="auto"/>
          <w:sz w:val="28"/>
          <w:szCs w:val="28"/>
          <w:lang w:eastAsia="zh-CN"/>
        </w:rPr>
        <w:t>投标文件不存在雷同性（评标系统内投标文件雷同性分析，包括文件制作机器码或文件创建标识码）。</w:t>
      </w:r>
    </w:p>
    <w:p w14:paraId="26288BD5">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2. </w:t>
      </w:r>
      <w:r>
        <w:rPr>
          <w:rFonts w:hint="default" w:ascii="Times New Roman" w:hAnsi="Times New Roman" w:eastAsia="仿宋_GB2312" w:cs="Times New Roman"/>
          <w:color w:val="auto"/>
          <w:sz w:val="28"/>
          <w:szCs w:val="28"/>
          <w:lang w:eastAsia="zh-CN"/>
        </w:rPr>
        <w:t>签字盖章签章符合招标文件要求；</w:t>
      </w:r>
    </w:p>
    <w:p w14:paraId="6CB06AF8">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投标有效期符合招标文件要求；</w:t>
      </w:r>
    </w:p>
    <w:p w14:paraId="7C580A40">
      <w:pPr>
        <w:spacing w:line="360" w:lineRule="auto"/>
        <w:ind w:firstLine="560" w:firstLineChars="200"/>
        <w:rPr>
          <w:rFonts w:hint="default" w:ascii="Times New Roman" w:hAnsi="Times New Roman" w:eastAsia="仿宋_GB2312" w:cs="Times New Roman"/>
          <w:strike/>
          <w:color w:val="auto"/>
          <w:sz w:val="28"/>
          <w:szCs w:val="28"/>
          <w:highlight w:val="yellow"/>
          <w:lang w:eastAsia="zh-CN"/>
        </w:rPr>
      </w:pPr>
      <w:r>
        <w:rPr>
          <w:rFonts w:hint="default" w:ascii="Times New Roman" w:hAnsi="Times New Roman" w:eastAsia="仿宋_GB2312" w:cs="Times New Roman"/>
          <w:color w:val="auto"/>
          <w:sz w:val="28"/>
          <w:szCs w:val="28"/>
          <w:lang w:eastAsia="zh-CN"/>
        </w:rPr>
        <w:t>4. 投标报价未超出</w:t>
      </w:r>
      <w:r>
        <w:rPr>
          <w:rFonts w:hint="default" w:ascii="Times New Roman" w:hAnsi="Times New Roman" w:eastAsia="仿宋_GB2312" w:cs="Times New Roman"/>
          <w:color w:val="auto"/>
          <w:sz w:val="28"/>
          <w:szCs w:val="28"/>
          <w:lang w:val="en-US" w:eastAsia="zh-CN"/>
        </w:rPr>
        <w:t>最高限价</w:t>
      </w:r>
      <w:r>
        <w:rPr>
          <w:rFonts w:hint="default" w:ascii="Times New Roman" w:hAnsi="Times New Roman" w:eastAsia="仿宋_GB2312" w:cs="Times New Roman"/>
          <w:color w:val="auto"/>
          <w:sz w:val="28"/>
          <w:szCs w:val="28"/>
          <w:lang w:eastAsia="zh-CN"/>
        </w:rPr>
        <w:t>；</w:t>
      </w:r>
    </w:p>
    <w:p w14:paraId="4F19DD20">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5.</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投标文件无重大或不可接受的偏差；</w:t>
      </w:r>
    </w:p>
    <w:p w14:paraId="791F1A63">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6. </w:t>
      </w:r>
      <w:r>
        <w:rPr>
          <w:rFonts w:hint="default" w:ascii="Times New Roman" w:hAnsi="Times New Roman" w:eastAsia="仿宋_GB2312" w:cs="Times New Roman"/>
          <w:color w:val="auto"/>
          <w:sz w:val="28"/>
          <w:szCs w:val="28"/>
          <w:lang w:eastAsia="zh-CN"/>
        </w:rPr>
        <w:t>投标文件未附有采购人不能接受的条件；</w:t>
      </w:r>
    </w:p>
    <w:p w14:paraId="5F1743D7">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7. 招标文件及法律法规规定的其他情形</w:t>
      </w:r>
      <w:r>
        <w:rPr>
          <w:rFonts w:hint="default" w:ascii="Times New Roman" w:hAnsi="Times New Roman" w:eastAsia="仿宋_GB2312" w:cs="Times New Roman"/>
          <w:color w:val="auto"/>
          <w:sz w:val="28"/>
          <w:szCs w:val="28"/>
          <w:lang w:eastAsia="zh-CN"/>
        </w:rPr>
        <w:t>。</w:t>
      </w:r>
    </w:p>
    <w:p w14:paraId="429F0FAD">
      <w:pPr>
        <w:pStyle w:val="98"/>
        <w:spacing w:line="360" w:lineRule="auto"/>
        <w:ind w:firstLine="562" w:firstLineChars="200"/>
        <w:jc w:val="both"/>
        <w:rPr>
          <w:rFonts w:hint="default" w:ascii="Times New Roman" w:hAnsi="Times New Roman" w:eastAsia="仿宋_GB2312" w:cs="Times New Roman"/>
          <w:b/>
          <w:color w:val="auto"/>
          <w:kern w:val="2"/>
          <w:sz w:val="28"/>
          <w:szCs w:val="28"/>
          <w:lang w:val="zh-TW"/>
        </w:rPr>
      </w:pPr>
      <w:bookmarkStart w:id="593" w:name="_Toc717433308_WPSOffice_Level2"/>
      <w:r>
        <w:rPr>
          <w:rFonts w:hint="default" w:ascii="Times New Roman" w:hAnsi="Times New Roman" w:eastAsia="仿宋_GB2312" w:cs="Times New Roman"/>
          <w:b/>
          <w:color w:val="auto"/>
          <w:kern w:val="2"/>
          <w:sz w:val="28"/>
          <w:szCs w:val="28"/>
          <w:lang w:val="zh-TW"/>
        </w:rPr>
        <w:t>三、详细评审</w:t>
      </w:r>
      <w:bookmarkEnd w:id="593"/>
    </w:p>
    <w:p w14:paraId="16A6E09D">
      <w:pPr>
        <w:spacing w:line="360" w:lineRule="auto"/>
        <w:ind w:firstLine="562" w:firstLineChars="200"/>
        <w:rPr>
          <w:rFonts w:hint="default" w:ascii="Times New Roman" w:hAnsi="Times New Roman" w:eastAsia="仿宋_GB2312" w:cs="Times New Roman"/>
          <w:b/>
          <w:color w:val="auto"/>
          <w:sz w:val="28"/>
          <w:szCs w:val="28"/>
          <w:lang w:eastAsia="zh-CN"/>
        </w:rPr>
      </w:pPr>
      <w:bookmarkStart w:id="594" w:name="_Toc278923003_WPSOffice_Level3"/>
      <w:bookmarkStart w:id="595" w:name="_Toc1716909242_WPSOffice_Level3"/>
      <w:bookmarkStart w:id="596" w:name="_Toc1971336045_WPSOffice_Level3"/>
      <w:r>
        <w:rPr>
          <w:rFonts w:hint="default" w:ascii="Times New Roman" w:hAnsi="Times New Roman" w:eastAsia="仿宋_GB2312" w:cs="Times New Roman"/>
          <w:b/>
          <w:color w:val="auto"/>
          <w:sz w:val="28"/>
          <w:szCs w:val="28"/>
          <w:lang w:val="en-US" w:eastAsia="zh-CN"/>
        </w:rPr>
        <w:t>1</w:t>
      </w:r>
      <w:r>
        <w:rPr>
          <w:rFonts w:hint="default" w:ascii="Times New Roman" w:hAnsi="Times New Roman" w:eastAsia="仿宋_GB2312" w:cs="Times New Roman"/>
          <w:b/>
          <w:color w:val="auto"/>
          <w:sz w:val="28"/>
          <w:szCs w:val="28"/>
          <w:lang w:eastAsia="zh-CN"/>
        </w:rPr>
        <w:t>．澄清有关问题</w:t>
      </w:r>
      <w:bookmarkEnd w:id="594"/>
      <w:bookmarkEnd w:id="595"/>
      <w:bookmarkEnd w:id="596"/>
    </w:p>
    <w:p w14:paraId="6E5FB1D8">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1.1</w:t>
      </w:r>
      <w:r>
        <w:rPr>
          <w:rFonts w:hint="default" w:ascii="Times New Roman" w:hAnsi="Times New Roman" w:eastAsia="仿宋_GB2312" w:cs="Times New Roman"/>
          <w:color w:val="auto"/>
          <w:sz w:val="28"/>
          <w:szCs w:val="28"/>
          <w:lang w:eastAsia="zh-CN"/>
        </w:rPr>
        <w:t>对于投标文件中含义不明确、同类问题表述不一致或者有明显文字和计算错误的内容，评标委员会应当以书面形式要求投标人作出必要的澄清、说明或者补正。</w:t>
      </w:r>
    </w:p>
    <w:p w14:paraId="5E4554FD">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1.2</w:t>
      </w:r>
      <w:r>
        <w:rPr>
          <w:rFonts w:hint="default" w:ascii="Times New Roman" w:hAnsi="Times New Roman" w:eastAsia="仿宋_GB2312" w:cs="Times New Roman"/>
          <w:color w:val="auto"/>
          <w:sz w:val="28"/>
          <w:szCs w:val="28"/>
          <w:lang w:eastAsia="zh-CN"/>
        </w:rPr>
        <w:t>投标人的澄清、说明或者补正不得超出投标文件的范围或者改变投标文件的实质性内容。</w:t>
      </w:r>
    </w:p>
    <w:p w14:paraId="156C1994">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1.3</w:t>
      </w:r>
      <w:r>
        <w:rPr>
          <w:rFonts w:hint="default" w:ascii="Times New Roman" w:hAnsi="Times New Roman" w:eastAsia="仿宋_GB2312" w:cs="Times New Roman"/>
          <w:color w:val="auto"/>
          <w:sz w:val="28"/>
          <w:szCs w:val="28"/>
          <w:lang w:eastAsia="zh-CN"/>
        </w:rPr>
        <w:t>允许修正投标文件中不构成重大偏离的、微小的、非正规的、不一致或不规则的地方。</w:t>
      </w:r>
    </w:p>
    <w:p w14:paraId="74428415">
      <w:pPr>
        <w:spacing w:line="360" w:lineRule="auto"/>
        <w:ind w:firstLine="562" w:firstLineChars="200"/>
        <w:rPr>
          <w:rFonts w:hint="default" w:ascii="Times New Roman" w:hAnsi="Times New Roman" w:eastAsia="仿宋_GB2312" w:cs="Times New Roman"/>
          <w:b/>
          <w:color w:val="auto"/>
          <w:sz w:val="28"/>
          <w:szCs w:val="28"/>
          <w:lang w:eastAsia="zh-CN"/>
        </w:rPr>
      </w:pPr>
      <w:bookmarkStart w:id="597" w:name="_Toc2074264070_WPSOffice_Level3"/>
      <w:bookmarkStart w:id="598" w:name="_Toc577657209_WPSOffice_Level3"/>
      <w:bookmarkStart w:id="599" w:name="_Toc792649721_WPSOffice_Level3"/>
      <w:r>
        <w:rPr>
          <w:rFonts w:hint="default" w:ascii="Times New Roman" w:hAnsi="Times New Roman" w:eastAsia="仿宋_GB2312" w:cs="Times New Roman"/>
          <w:b/>
          <w:color w:val="auto"/>
          <w:sz w:val="28"/>
          <w:szCs w:val="28"/>
          <w:lang w:val="en-US" w:eastAsia="zh-CN"/>
        </w:rPr>
        <w:t>2</w:t>
      </w:r>
      <w:r>
        <w:rPr>
          <w:rFonts w:hint="default" w:ascii="Times New Roman" w:hAnsi="Times New Roman" w:eastAsia="仿宋_GB2312" w:cs="Times New Roman"/>
          <w:b/>
          <w:color w:val="auto"/>
          <w:sz w:val="28"/>
          <w:szCs w:val="28"/>
          <w:lang w:eastAsia="zh-CN"/>
        </w:rPr>
        <w:t>．</w:t>
      </w:r>
      <w:bookmarkEnd w:id="597"/>
      <w:bookmarkEnd w:id="598"/>
      <w:r>
        <w:rPr>
          <w:rFonts w:hint="default" w:ascii="Times New Roman" w:hAnsi="Times New Roman" w:eastAsia="仿宋_GB2312" w:cs="Times New Roman"/>
          <w:b/>
          <w:color w:val="auto"/>
          <w:sz w:val="28"/>
          <w:szCs w:val="28"/>
          <w:lang w:eastAsia="zh-CN"/>
        </w:rPr>
        <w:t>综合比较与评价</w:t>
      </w:r>
      <w:bookmarkEnd w:id="599"/>
    </w:p>
    <w:p w14:paraId="5B3DD955">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2.1</w:t>
      </w:r>
      <w:r>
        <w:rPr>
          <w:rFonts w:hint="default" w:ascii="Times New Roman" w:hAnsi="Times New Roman" w:eastAsia="仿宋_GB2312" w:cs="Times New Roman"/>
          <w:color w:val="auto"/>
          <w:sz w:val="28"/>
          <w:szCs w:val="28"/>
          <w:lang w:eastAsia="zh-CN"/>
        </w:rPr>
        <w:t>评标委员会按照招标文件中规定的评标方法和标准，对符合性审查合格的投标文件进行商务和技术评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，综合比较与评价。</w:t>
      </w:r>
    </w:p>
    <w:p w14:paraId="2FC9DD29">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2.2</w:t>
      </w:r>
      <w:r>
        <w:rPr>
          <w:rFonts w:hint="default" w:ascii="Times New Roman" w:hAnsi="Times New Roman" w:eastAsia="仿宋_GB2312" w:cs="Times New Roman"/>
          <w:color w:val="auto"/>
          <w:sz w:val="28"/>
          <w:szCs w:val="28"/>
          <w:lang w:eastAsia="zh-CN"/>
        </w:rPr>
        <w:t>评标时，评标委员会各成员应当独立对每个投标人的投标文件进行评价，并汇总每个投标人的得分，由评标委员会推荐3名中标候选人。</w:t>
      </w:r>
    </w:p>
    <w:p w14:paraId="4D3FAF2A">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2.3</w:t>
      </w:r>
      <w:r>
        <w:rPr>
          <w:rFonts w:hint="default" w:ascii="Times New Roman" w:hAnsi="Times New Roman" w:eastAsia="仿宋_GB2312" w:cs="Times New Roman"/>
          <w:color w:val="auto"/>
          <w:sz w:val="28"/>
          <w:szCs w:val="28"/>
          <w:lang w:eastAsia="zh-CN"/>
        </w:rPr>
        <w:t>投标人的评审得分为所有评委评审得分的算术平均值，评审得分取至小数点后两位（第三位四舍五入）。</w:t>
      </w:r>
    </w:p>
    <w:p w14:paraId="48A428FB">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2.4</w:t>
      </w:r>
      <w:r>
        <w:rPr>
          <w:rFonts w:hint="default" w:ascii="Times New Roman" w:hAnsi="Times New Roman" w:eastAsia="仿宋_GB2312" w:cs="Times New Roman"/>
          <w:color w:val="auto"/>
          <w:sz w:val="28"/>
          <w:szCs w:val="28"/>
          <w:lang w:eastAsia="zh-CN"/>
        </w:rPr>
        <w:t>评标委员会完成评标后，应当出具书面评标报告。</w:t>
      </w:r>
    </w:p>
    <w:p w14:paraId="5EB1FCC0">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2.5</w:t>
      </w:r>
      <w:r>
        <w:rPr>
          <w:rFonts w:hint="default" w:ascii="Times New Roman" w:hAnsi="Times New Roman" w:eastAsia="仿宋_GB2312" w:cs="Times New Roman"/>
          <w:color w:val="auto"/>
          <w:sz w:val="28"/>
          <w:szCs w:val="28"/>
          <w:lang w:eastAsia="zh-CN"/>
        </w:rPr>
        <w:t>评标委员会成员对需要共同认定的事项存在争议的，应当按照少数服从多数的原则作出结论。持不同意见的评标委员会成员应当在评标报告上签署不同意见及理由，否则视为同意评标报告。</w:t>
      </w:r>
    </w:p>
    <w:p w14:paraId="7A4F97A3">
      <w:pPr>
        <w:numPr>
          <w:ilvl w:val="0"/>
          <w:numId w:val="5"/>
        </w:numPr>
        <w:spacing w:line="360" w:lineRule="auto"/>
        <w:ind w:firstLine="562" w:firstLineChars="200"/>
        <w:outlineLvl w:val="1"/>
        <w:rPr>
          <w:rFonts w:hint="default" w:ascii="Times New Roman" w:hAnsi="Times New Roman" w:eastAsia="仿宋_GB2312" w:cs="Times New Roman"/>
          <w:b/>
          <w:color w:val="auto"/>
          <w:sz w:val="28"/>
          <w:szCs w:val="28"/>
          <w:lang w:eastAsia="zh-CN"/>
        </w:rPr>
      </w:pPr>
      <w:bookmarkStart w:id="600" w:name="_Toc71296678_WPSOffice_Level2"/>
      <w:bookmarkStart w:id="601" w:name="_Toc1647555423_WPSOffice_Level3"/>
      <w:bookmarkStart w:id="602" w:name="_Toc75126242_WPSOffice_Level3"/>
      <w:r>
        <w:rPr>
          <w:rFonts w:hint="default" w:ascii="Times New Roman" w:hAnsi="Times New Roman" w:eastAsia="仿宋_GB2312" w:cs="Times New Roman"/>
          <w:b/>
          <w:color w:val="auto"/>
          <w:sz w:val="28"/>
          <w:szCs w:val="28"/>
          <w:lang w:val="en-US" w:eastAsia="zh-CN"/>
        </w:rPr>
        <w:br w:type="page"/>
      </w:r>
      <w:bookmarkEnd w:id="600"/>
      <w:bookmarkEnd w:id="601"/>
      <w:bookmarkEnd w:id="602"/>
      <w:bookmarkStart w:id="603" w:name="_Toc131500600_WPSOffice_Level3"/>
      <w:bookmarkStart w:id="604" w:name="_Toc648016321_WPSOffice_Level3"/>
      <w:bookmarkStart w:id="605" w:name="_Toc1076969064"/>
      <w:bookmarkStart w:id="606" w:name="_Toc937079805"/>
      <w:bookmarkStart w:id="607" w:name="_Toc1871798156"/>
      <w:bookmarkStart w:id="608" w:name="_Toc1027165614"/>
      <w:bookmarkStart w:id="609" w:name="_Toc555660728_WPSOffice_Level1"/>
      <w:bookmarkStart w:id="610" w:name="_Toc816670296"/>
      <w:bookmarkStart w:id="611" w:name="_Toc831149221"/>
      <w:bookmarkStart w:id="612" w:name="_Toc426259256"/>
      <w:bookmarkStart w:id="613" w:name="_Toc42081351"/>
      <w:bookmarkStart w:id="614" w:name="_Toc1357609763"/>
      <w:bookmarkStart w:id="615" w:name="_Toc2046937450_WPSOffice_Level1"/>
      <w:bookmarkStart w:id="616" w:name="_Toc1424279934_WPSOffice_Level1"/>
      <w:bookmarkStart w:id="617" w:name="_Toc1242281777_WPSOffice_Level1"/>
      <w:bookmarkStart w:id="618" w:name="_Toc1141019899"/>
      <w:bookmarkStart w:id="619" w:name="_Toc170276657"/>
      <w:bookmarkStart w:id="620" w:name="_Toc1252040209_WPSOffice_Level1"/>
      <w:r>
        <w:rPr>
          <w:rFonts w:hint="default" w:ascii="Times New Roman" w:hAnsi="Times New Roman" w:eastAsia="仿宋_GB2312" w:cs="Times New Roman"/>
          <w:b/>
          <w:color w:val="auto"/>
          <w:sz w:val="28"/>
          <w:szCs w:val="28"/>
          <w:lang w:eastAsia="zh-CN"/>
        </w:rPr>
        <w:t>评分标准（满分100分）</w:t>
      </w:r>
      <w:bookmarkEnd w:id="603"/>
      <w:bookmarkEnd w:id="604"/>
    </w:p>
    <w:tbl>
      <w:tblPr>
        <w:tblStyle w:val="241"/>
        <w:tblW w:w="10036" w:type="dxa"/>
        <w:tblInd w:w="-7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8"/>
        <w:gridCol w:w="1419"/>
        <w:gridCol w:w="6543"/>
        <w:gridCol w:w="506"/>
      </w:tblGrid>
      <w:tr w14:paraId="1B282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noWrap w:val="0"/>
            <w:vAlign w:val="center"/>
          </w:tcPr>
          <w:p w14:paraId="78F577F5">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CESI仿宋-GB2312" w:cs="Times New Roman"/>
                <w:b/>
                <w:bCs/>
                <w:color w:val="auto"/>
                <w:sz w:val="28"/>
                <w:szCs w:val="28"/>
              </w:rPr>
            </w:pPr>
            <w:r>
              <w:rPr>
                <w:rFonts w:hint="default" w:ascii="Times New Roman" w:hAnsi="Times New Roman" w:eastAsia="CESI仿宋-GB2312" w:cs="Times New Roman"/>
                <w:b/>
                <w:bCs/>
                <w:color w:val="auto"/>
                <w:sz w:val="28"/>
                <w:szCs w:val="28"/>
              </w:rPr>
              <w:t>类别</w:t>
            </w:r>
          </w:p>
        </w:tc>
        <w:tc>
          <w:tcPr>
            <w:tcW w:w="1419" w:type="dxa"/>
            <w:noWrap w:val="0"/>
            <w:vAlign w:val="center"/>
          </w:tcPr>
          <w:p w14:paraId="319A0F2D">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CESI仿宋-GB2312" w:cs="Times New Roman"/>
                <w:b/>
                <w:bCs/>
                <w:color w:val="auto"/>
                <w:sz w:val="28"/>
                <w:szCs w:val="28"/>
              </w:rPr>
            </w:pPr>
            <w:r>
              <w:rPr>
                <w:rFonts w:hint="default" w:ascii="Times New Roman" w:hAnsi="Times New Roman" w:eastAsia="CESI仿宋-GB2312" w:cs="Times New Roman"/>
                <w:b/>
                <w:bCs/>
                <w:color w:val="auto"/>
                <w:sz w:val="28"/>
                <w:szCs w:val="28"/>
              </w:rPr>
              <w:t>评审内容</w:t>
            </w:r>
          </w:p>
        </w:tc>
        <w:tc>
          <w:tcPr>
            <w:tcW w:w="6543" w:type="dxa"/>
            <w:noWrap w:val="0"/>
            <w:vAlign w:val="center"/>
          </w:tcPr>
          <w:p w14:paraId="60C01017">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CESI仿宋-GB2312" w:cs="Times New Roman"/>
                <w:b/>
                <w:bCs/>
                <w:color w:val="auto"/>
                <w:sz w:val="28"/>
                <w:szCs w:val="28"/>
              </w:rPr>
            </w:pPr>
            <w:r>
              <w:rPr>
                <w:rFonts w:hint="default" w:ascii="Times New Roman" w:hAnsi="Times New Roman" w:eastAsia="CESI仿宋-GB2312" w:cs="Times New Roman"/>
                <w:b/>
                <w:bCs/>
                <w:color w:val="auto"/>
                <w:sz w:val="28"/>
                <w:szCs w:val="28"/>
              </w:rPr>
              <w:t>评分规则</w:t>
            </w:r>
          </w:p>
        </w:tc>
        <w:tc>
          <w:tcPr>
            <w:tcW w:w="506" w:type="dxa"/>
            <w:noWrap w:val="0"/>
            <w:vAlign w:val="center"/>
          </w:tcPr>
          <w:p w14:paraId="0559643C">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CESI仿宋-GB2312" w:cs="Times New Roman"/>
                <w:b/>
                <w:bCs/>
                <w:color w:val="auto"/>
                <w:sz w:val="28"/>
                <w:szCs w:val="28"/>
              </w:rPr>
            </w:pPr>
            <w:r>
              <w:rPr>
                <w:rFonts w:hint="default" w:ascii="Times New Roman" w:hAnsi="Times New Roman" w:eastAsia="CESI仿宋-GB2312" w:cs="Times New Roman"/>
                <w:b/>
                <w:bCs/>
                <w:color w:val="auto"/>
                <w:sz w:val="28"/>
                <w:szCs w:val="28"/>
              </w:rPr>
              <w:t>分值</w:t>
            </w:r>
          </w:p>
        </w:tc>
      </w:tr>
      <w:tr w14:paraId="62785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noWrap w:val="0"/>
            <w:vAlign w:val="center"/>
          </w:tcPr>
          <w:p w14:paraId="651AFF22">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CESI仿宋-GB2312" w:cs="Times New Roman"/>
                <w:b/>
                <w:bCs/>
                <w:color w:val="auto"/>
                <w:sz w:val="28"/>
                <w:szCs w:val="28"/>
              </w:rPr>
            </w:pPr>
            <w:r>
              <w:rPr>
                <w:rFonts w:hint="default" w:ascii="Times New Roman" w:hAnsi="Times New Roman" w:eastAsia="CESI仿宋-GB2312" w:cs="Times New Roman"/>
                <w:b/>
                <w:bCs/>
                <w:color w:val="auto"/>
                <w:sz w:val="28"/>
                <w:szCs w:val="28"/>
              </w:rPr>
              <w:t>价格</w:t>
            </w:r>
          </w:p>
          <w:p w14:paraId="01B58318">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CESI仿宋-GB2312" w:cs="Times New Roman"/>
                <w:color w:val="auto"/>
                <w:sz w:val="28"/>
                <w:szCs w:val="28"/>
              </w:rPr>
            </w:pPr>
            <w:r>
              <w:rPr>
                <w:rFonts w:hint="default" w:ascii="Times New Roman" w:hAnsi="Times New Roman" w:eastAsia="CESI仿宋-GB2312" w:cs="Times New Roman"/>
                <w:b/>
                <w:bCs/>
                <w:color w:val="auto"/>
                <w:sz w:val="28"/>
                <w:szCs w:val="28"/>
              </w:rPr>
              <w:t>（</w:t>
            </w:r>
            <w:r>
              <w:rPr>
                <w:rFonts w:hint="default" w:ascii="Times New Roman" w:hAnsi="Times New Roman" w:eastAsia="CESI仿宋-GB2312" w:cs="Times New Roman"/>
                <w:b/>
                <w:bCs/>
                <w:color w:val="auto"/>
                <w:sz w:val="28"/>
                <w:szCs w:val="28"/>
                <w:lang w:val="en-US" w:eastAsia="zh-CN"/>
              </w:rPr>
              <w:t>15</w:t>
            </w:r>
            <w:r>
              <w:rPr>
                <w:rFonts w:hint="default" w:ascii="Times New Roman" w:hAnsi="Times New Roman" w:eastAsia="CESI仿宋-GB2312" w:cs="Times New Roman"/>
                <w:b/>
                <w:bCs/>
                <w:color w:val="auto"/>
                <w:sz w:val="28"/>
                <w:szCs w:val="28"/>
              </w:rPr>
              <w:t>分）</w:t>
            </w:r>
          </w:p>
        </w:tc>
        <w:tc>
          <w:tcPr>
            <w:tcW w:w="1419" w:type="dxa"/>
            <w:noWrap w:val="0"/>
            <w:vAlign w:val="center"/>
          </w:tcPr>
          <w:p w14:paraId="56947F2A">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CESI仿宋-GB2312" w:cs="Times New Roman"/>
                <w:color w:val="auto"/>
                <w:sz w:val="28"/>
                <w:szCs w:val="28"/>
              </w:rPr>
            </w:pPr>
            <w:r>
              <w:rPr>
                <w:rFonts w:hint="default" w:ascii="Times New Roman" w:hAnsi="Times New Roman" w:eastAsia="CESI仿宋-GB2312" w:cs="Times New Roman"/>
                <w:color w:val="auto"/>
                <w:sz w:val="28"/>
                <w:szCs w:val="28"/>
              </w:rPr>
              <w:t>投标报价</w:t>
            </w:r>
          </w:p>
        </w:tc>
        <w:tc>
          <w:tcPr>
            <w:tcW w:w="6543" w:type="dxa"/>
            <w:noWrap w:val="0"/>
            <w:vAlign w:val="center"/>
          </w:tcPr>
          <w:p w14:paraId="5075DA1A">
            <w:pPr>
              <w:keepNext w:val="0"/>
              <w:keepLines w:val="0"/>
              <w:pageBreakBefore w:val="0"/>
              <w:widowControl/>
              <w:kinsoku/>
              <w:wordWrap/>
              <w:overflowPunct/>
              <w:topLinePunct w:val="0"/>
              <w:bidi w:val="0"/>
              <w:spacing w:line="240" w:lineRule="auto"/>
              <w:jc w:val="both"/>
              <w:textAlignment w:val="auto"/>
              <w:rPr>
                <w:rFonts w:hint="default" w:ascii="Times New Roman" w:hAnsi="Times New Roman" w:eastAsia="CESI仿宋-GB2312" w:cs="Times New Roman"/>
                <w:color w:val="auto"/>
                <w:sz w:val="28"/>
                <w:szCs w:val="28"/>
                <w:lang w:val="en-US" w:eastAsia="zh-CN"/>
              </w:rPr>
            </w:pPr>
            <w:r>
              <w:rPr>
                <w:rFonts w:hint="default" w:ascii="Times New Roman" w:hAnsi="Times New Roman" w:eastAsia="CESI仿宋-GB2312" w:cs="Times New Roman"/>
                <w:color w:val="auto"/>
                <w:sz w:val="28"/>
                <w:szCs w:val="28"/>
              </w:rPr>
              <w:t>价格分统一采用低价优先法计算，即满足招标文件要求且投标价格最低的投标报价为评标基准价，其价格分为满分。其他投标人的价格分统一按照下列公式计算：投标报价得分=（评标基准价/投标报价）×</w:t>
            </w:r>
            <w:r>
              <w:rPr>
                <w:rFonts w:hint="default" w:ascii="Times New Roman" w:hAnsi="Times New Roman" w:eastAsia="CESI仿宋-GB2312" w:cs="Times New Roman"/>
                <w:color w:val="auto"/>
                <w:sz w:val="28"/>
                <w:szCs w:val="28"/>
                <w:lang w:val="en-US" w:eastAsia="zh-CN"/>
              </w:rPr>
              <w:t>15</w:t>
            </w:r>
          </w:p>
          <w:p w14:paraId="2583B160">
            <w:pPr>
              <w:keepNext w:val="0"/>
              <w:keepLines w:val="0"/>
              <w:pageBreakBefore w:val="0"/>
              <w:widowControl/>
              <w:kinsoku/>
              <w:wordWrap/>
              <w:overflowPunct/>
              <w:topLinePunct w:val="0"/>
              <w:bidi w:val="0"/>
              <w:spacing w:line="240" w:lineRule="auto"/>
              <w:jc w:val="both"/>
              <w:textAlignment w:val="auto"/>
              <w:rPr>
                <w:rFonts w:hint="default" w:ascii="Times New Roman" w:hAnsi="Times New Roman" w:eastAsia="CESI仿宋-GB2312" w:cs="Times New Roman"/>
                <w:color w:val="auto"/>
                <w:sz w:val="28"/>
                <w:szCs w:val="28"/>
              </w:rPr>
            </w:pPr>
            <w:r>
              <w:rPr>
                <w:rFonts w:hint="default" w:ascii="Times New Roman" w:hAnsi="Times New Roman" w:eastAsia="CESI仿宋-GB2312" w:cs="Times New Roman"/>
                <w:color w:val="auto"/>
                <w:sz w:val="28"/>
                <w:szCs w:val="28"/>
              </w:rPr>
              <w:t>因落实政府采购政策进行价格调整的，以调整后的价格计算评标基准价和投标报价得分。 因落实政府采购政策进行价格调整的，以调整后的价格计算评标基准价和投标报价得分。</w:t>
            </w:r>
          </w:p>
        </w:tc>
        <w:tc>
          <w:tcPr>
            <w:tcW w:w="506" w:type="dxa"/>
            <w:noWrap w:val="0"/>
            <w:vAlign w:val="center"/>
          </w:tcPr>
          <w:p w14:paraId="397AD6E3">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CESI仿宋-GB2312" w:cs="Times New Roman"/>
                <w:color w:val="auto"/>
                <w:sz w:val="28"/>
                <w:szCs w:val="28"/>
                <w:lang w:val="en-US" w:eastAsia="zh-CN"/>
              </w:rPr>
            </w:pPr>
            <w:r>
              <w:rPr>
                <w:rFonts w:hint="default" w:ascii="Times New Roman" w:hAnsi="Times New Roman" w:eastAsia="CESI仿宋-GB2312" w:cs="Times New Roman"/>
                <w:color w:val="auto"/>
                <w:sz w:val="28"/>
                <w:szCs w:val="28"/>
                <w:lang w:val="en-US" w:eastAsia="zh-CN"/>
              </w:rPr>
              <w:t>15</w:t>
            </w:r>
          </w:p>
        </w:tc>
      </w:tr>
      <w:tr w14:paraId="48E25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vMerge w:val="restart"/>
            <w:noWrap w:val="0"/>
            <w:vAlign w:val="center"/>
          </w:tcPr>
          <w:p w14:paraId="6ACB35B9">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CESI仿宋-GB2312" w:cs="Times New Roman"/>
                <w:b/>
                <w:bCs/>
                <w:color w:val="auto"/>
                <w:sz w:val="28"/>
                <w:szCs w:val="28"/>
                <w:lang w:eastAsia="zh-CN"/>
              </w:rPr>
            </w:pPr>
            <w:r>
              <w:rPr>
                <w:rFonts w:hint="default" w:ascii="Times New Roman" w:hAnsi="Times New Roman" w:eastAsia="CESI仿宋-GB2312" w:cs="Times New Roman"/>
                <w:b/>
                <w:bCs/>
                <w:color w:val="auto"/>
                <w:sz w:val="28"/>
                <w:szCs w:val="28"/>
                <w:lang w:eastAsia="zh-CN"/>
              </w:rPr>
              <w:t>综合</w:t>
            </w:r>
          </w:p>
          <w:p w14:paraId="019CD8B1">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CESI仿宋-GB2312" w:cs="Times New Roman"/>
                <w:b/>
                <w:bCs/>
                <w:color w:val="auto"/>
                <w:sz w:val="28"/>
                <w:szCs w:val="28"/>
                <w:lang w:eastAsia="zh-CN"/>
              </w:rPr>
            </w:pPr>
            <w:r>
              <w:rPr>
                <w:rFonts w:hint="default" w:ascii="Times New Roman" w:hAnsi="Times New Roman" w:eastAsia="CESI仿宋-GB2312" w:cs="Times New Roman"/>
                <w:b/>
                <w:bCs/>
                <w:color w:val="auto"/>
                <w:sz w:val="28"/>
                <w:szCs w:val="28"/>
                <w:lang w:eastAsia="zh-CN"/>
              </w:rPr>
              <w:t>部分</w:t>
            </w:r>
          </w:p>
          <w:p w14:paraId="29346144">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CESI仿宋-GB2312" w:cs="Times New Roman"/>
                <w:color w:val="auto"/>
                <w:sz w:val="28"/>
                <w:szCs w:val="28"/>
              </w:rPr>
            </w:pPr>
            <w:r>
              <w:rPr>
                <w:rFonts w:hint="default" w:ascii="Times New Roman" w:hAnsi="Times New Roman" w:eastAsia="CESI仿宋-GB2312" w:cs="Times New Roman"/>
                <w:b/>
                <w:bCs/>
                <w:color w:val="auto"/>
                <w:sz w:val="28"/>
                <w:szCs w:val="28"/>
                <w:lang w:eastAsia="zh-CN"/>
              </w:rPr>
              <w:t>（</w:t>
            </w:r>
            <w:r>
              <w:rPr>
                <w:rFonts w:hint="default" w:ascii="Times New Roman" w:hAnsi="Times New Roman" w:eastAsia="CESI仿宋-GB2312" w:cs="Times New Roman"/>
                <w:b/>
                <w:bCs/>
                <w:color w:val="auto"/>
                <w:sz w:val="28"/>
                <w:szCs w:val="28"/>
                <w:lang w:val="en-US" w:eastAsia="zh-CN"/>
              </w:rPr>
              <w:t>20</w:t>
            </w:r>
            <w:r>
              <w:rPr>
                <w:rFonts w:hint="default" w:ascii="Times New Roman" w:hAnsi="Times New Roman" w:eastAsia="CESI仿宋-GB2312" w:cs="Times New Roman"/>
                <w:b/>
                <w:bCs/>
                <w:color w:val="auto"/>
                <w:sz w:val="28"/>
                <w:szCs w:val="28"/>
                <w:lang w:eastAsia="zh-CN"/>
              </w:rPr>
              <w:t>分）</w:t>
            </w:r>
          </w:p>
        </w:tc>
        <w:tc>
          <w:tcPr>
            <w:tcW w:w="1419" w:type="dxa"/>
            <w:noWrap w:val="0"/>
            <w:vAlign w:val="center"/>
          </w:tcPr>
          <w:p w14:paraId="330C0108">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CESI仿宋-GB2312" w:cs="Times New Roman"/>
                <w:color w:val="auto"/>
                <w:sz w:val="28"/>
                <w:szCs w:val="28"/>
              </w:rPr>
            </w:pPr>
            <w:r>
              <w:rPr>
                <w:rFonts w:hint="default" w:ascii="Times New Roman" w:hAnsi="Times New Roman" w:eastAsia="CESI仿宋-GB2312" w:cs="Times New Roman"/>
                <w:color w:val="auto"/>
                <w:sz w:val="28"/>
                <w:szCs w:val="28"/>
              </w:rPr>
              <w:t>业绩</w:t>
            </w:r>
          </w:p>
        </w:tc>
        <w:tc>
          <w:tcPr>
            <w:tcW w:w="6543" w:type="dxa"/>
            <w:noWrap w:val="0"/>
            <w:vAlign w:val="center"/>
          </w:tcPr>
          <w:p w14:paraId="24DDF848">
            <w:pPr>
              <w:keepNext w:val="0"/>
              <w:keepLines w:val="0"/>
              <w:pageBreakBefore w:val="0"/>
              <w:widowControl/>
              <w:kinsoku/>
              <w:wordWrap/>
              <w:overflowPunct/>
              <w:topLinePunct w:val="0"/>
              <w:autoSpaceDE w:val="0"/>
              <w:autoSpaceDN w:val="0"/>
              <w:bidi w:val="0"/>
              <w:adjustRightInd w:val="0"/>
              <w:spacing w:line="240" w:lineRule="auto"/>
              <w:ind w:right="210" w:rightChars="0"/>
              <w:textAlignment w:val="auto"/>
              <w:rPr>
                <w:rFonts w:hint="default" w:ascii="Times New Roman" w:hAnsi="Times New Roman" w:eastAsia="CESI仿宋-GB2312" w:cs="Times New Roman"/>
                <w:color w:val="auto"/>
                <w:sz w:val="28"/>
                <w:szCs w:val="28"/>
                <w:lang w:val="en" w:eastAsia="zh-CN"/>
              </w:rPr>
            </w:pPr>
            <w:r>
              <w:rPr>
                <w:rFonts w:hint="default" w:ascii="Times New Roman" w:hAnsi="Times New Roman" w:eastAsia="CESI仿宋-GB2312" w:cs="Times New Roman"/>
                <w:color w:val="auto"/>
                <w:sz w:val="28"/>
                <w:szCs w:val="28"/>
                <w:lang w:val="en" w:eastAsia="zh-CN"/>
              </w:rPr>
              <w:t>提供投标人自202</w:t>
            </w:r>
            <w:r>
              <w:rPr>
                <w:rFonts w:hint="default" w:ascii="Times New Roman" w:hAnsi="Times New Roman" w:eastAsia="CESI仿宋-GB2312" w:cs="Times New Roman"/>
                <w:color w:val="auto"/>
                <w:sz w:val="28"/>
                <w:szCs w:val="28"/>
                <w:lang w:val="en-US" w:eastAsia="zh-CN"/>
              </w:rPr>
              <w:t>2</w:t>
            </w:r>
            <w:r>
              <w:rPr>
                <w:rFonts w:hint="default" w:ascii="Times New Roman" w:hAnsi="Times New Roman" w:eastAsia="CESI仿宋-GB2312" w:cs="Times New Roman"/>
                <w:color w:val="auto"/>
                <w:sz w:val="28"/>
                <w:szCs w:val="28"/>
                <w:lang w:val="en" w:eastAsia="zh-CN"/>
              </w:rPr>
              <w:t>年1月1日以来签订的</w:t>
            </w:r>
            <w:r>
              <w:rPr>
                <w:rFonts w:hint="default" w:ascii="Times New Roman" w:hAnsi="Times New Roman" w:eastAsia="CESI仿宋-GB2312" w:cs="Times New Roman"/>
                <w:color w:val="auto"/>
                <w:sz w:val="28"/>
                <w:szCs w:val="28"/>
                <w:highlight w:val="none"/>
              </w:rPr>
              <w:t>类似项目业绩</w:t>
            </w:r>
            <w:r>
              <w:rPr>
                <w:rFonts w:hint="default" w:ascii="Times New Roman" w:hAnsi="Times New Roman" w:eastAsia="CESI仿宋-GB2312" w:cs="Times New Roman"/>
                <w:color w:val="auto"/>
                <w:sz w:val="28"/>
                <w:szCs w:val="28"/>
                <w:lang w:val="en-US" w:eastAsia="zh-CN"/>
              </w:rPr>
              <w:t>（</w:t>
            </w:r>
            <w:r>
              <w:rPr>
                <w:rFonts w:hint="default" w:ascii="Times New Roman" w:hAnsi="Times New Roman" w:eastAsia="CESI仿宋-GB2312" w:cs="Times New Roman"/>
                <w:color w:val="auto"/>
                <w:sz w:val="28"/>
                <w:szCs w:val="28"/>
                <w:lang w:val="en" w:eastAsia="zh-CN"/>
              </w:rPr>
              <w:t>以合同签订日期为准</w:t>
            </w:r>
            <w:r>
              <w:rPr>
                <w:rFonts w:hint="default" w:ascii="Times New Roman" w:hAnsi="Times New Roman" w:eastAsia="CESI仿宋-GB2312" w:cs="Times New Roman"/>
                <w:color w:val="auto"/>
                <w:sz w:val="28"/>
                <w:szCs w:val="28"/>
                <w:lang w:val="en-US" w:eastAsia="zh-CN"/>
              </w:rPr>
              <w:t>）</w:t>
            </w:r>
            <w:r>
              <w:rPr>
                <w:rFonts w:hint="default" w:ascii="Times New Roman" w:hAnsi="Times New Roman" w:eastAsia="CESI仿宋-GB2312" w:cs="Times New Roman"/>
                <w:color w:val="auto"/>
                <w:sz w:val="28"/>
                <w:szCs w:val="28"/>
                <w:lang w:val="en" w:eastAsia="zh-CN"/>
              </w:rPr>
              <w:t>，</w:t>
            </w:r>
            <w:r>
              <w:rPr>
                <w:rFonts w:hint="default" w:ascii="Times New Roman" w:hAnsi="Times New Roman" w:eastAsia="CESI仿宋-GB2312" w:cs="Times New Roman"/>
                <w:color w:val="auto"/>
                <w:sz w:val="28"/>
                <w:szCs w:val="28"/>
                <w:lang w:val="en-US" w:eastAsia="zh-CN"/>
              </w:rPr>
              <w:t>每提供一份得2分，最高得10</w:t>
            </w:r>
            <w:r>
              <w:rPr>
                <w:rFonts w:hint="default" w:ascii="Times New Roman" w:hAnsi="Times New Roman" w:eastAsia="CESI仿宋-GB2312" w:cs="Times New Roman"/>
                <w:color w:val="auto"/>
                <w:sz w:val="28"/>
                <w:szCs w:val="28"/>
                <w:lang w:val="en" w:eastAsia="zh-CN"/>
              </w:rPr>
              <w:t>分。（完整业绩=合同（扫描件）+服务期内任意</w:t>
            </w:r>
            <w:r>
              <w:rPr>
                <w:rFonts w:hint="default" w:ascii="Times New Roman" w:hAnsi="Times New Roman" w:eastAsia="CESI仿宋-GB2312" w:cs="Times New Roman"/>
                <w:color w:val="auto"/>
                <w:sz w:val="28"/>
                <w:szCs w:val="28"/>
                <w:lang w:val="en-US" w:eastAsia="zh-CN"/>
              </w:rPr>
              <w:t>一</w:t>
            </w:r>
            <w:r>
              <w:rPr>
                <w:rFonts w:hint="default" w:ascii="Times New Roman" w:hAnsi="Times New Roman" w:eastAsia="CESI仿宋-GB2312" w:cs="Times New Roman"/>
                <w:color w:val="auto"/>
                <w:sz w:val="28"/>
                <w:szCs w:val="28"/>
                <w:lang w:val="en" w:eastAsia="zh-CN"/>
              </w:rPr>
              <w:t>个月的发票，扫描不清楚、不完整或无法辨认的不予认可，虚假业绩将自行承担相关责任。）缺项按0分计。</w:t>
            </w:r>
          </w:p>
          <w:p w14:paraId="5CFD08A4">
            <w:pPr>
              <w:keepNext w:val="0"/>
              <w:keepLines w:val="0"/>
              <w:pageBreakBefore w:val="0"/>
              <w:widowControl/>
              <w:kinsoku/>
              <w:wordWrap/>
              <w:overflowPunct/>
              <w:topLinePunct w:val="0"/>
              <w:autoSpaceDE w:val="0"/>
              <w:autoSpaceDN w:val="0"/>
              <w:bidi w:val="0"/>
              <w:adjustRightInd w:val="0"/>
              <w:spacing w:line="240" w:lineRule="auto"/>
              <w:ind w:right="210" w:rightChars="0"/>
              <w:textAlignment w:val="auto"/>
              <w:rPr>
                <w:rFonts w:hint="default" w:ascii="Times New Roman" w:hAnsi="Times New Roman" w:eastAsia="CESI仿宋-GB2312" w:cs="Times New Roman"/>
                <w:color w:val="auto"/>
                <w:sz w:val="28"/>
                <w:szCs w:val="28"/>
              </w:rPr>
            </w:pPr>
            <w:r>
              <w:rPr>
                <w:rFonts w:hint="default" w:ascii="Times New Roman" w:hAnsi="Times New Roman" w:eastAsia="CESI仿宋-GB2312" w:cs="Times New Roman"/>
                <w:b/>
                <w:bCs/>
                <w:color w:val="auto"/>
                <w:sz w:val="28"/>
                <w:szCs w:val="28"/>
                <w:lang w:val="en-US" w:eastAsia="zh-CN"/>
              </w:rPr>
              <w:t>注：同一项目多个标段按一份合同计算分值。</w:t>
            </w:r>
          </w:p>
        </w:tc>
        <w:tc>
          <w:tcPr>
            <w:tcW w:w="506" w:type="dxa"/>
            <w:noWrap w:val="0"/>
            <w:vAlign w:val="center"/>
          </w:tcPr>
          <w:p w14:paraId="15AE0C3D">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CESI仿宋-GB2312" w:cs="Times New Roman"/>
                <w:color w:val="auto"/>
                <w:sz w:val="28"/>
                <w:szCs w:val="28"/>
                <w:lang w:val="en-US" w:eastAsia="zh-CN"/>
              </w:rPr>
            </w:pPr>
            <w:r>
              <w:rPr>
                <w:rFonts w:hint="default" w:ascii="Times New Roman" w:hAnsi="Times New Roman" w:eastAsia="CESI仿宋-GB2312" w:cs="Times New Roman"/>
                <w:color w:val="auto"/>
                <w:sz w:val="28"/>
                <w:szCs w:val="28"/>
                <w:lang w:val="en-US" w:eastAsia="zh-CN"/>
              </w:rPr>
              <w:t>10</w:t>
            </w:r>
          </w:p>
        </w:tc>
      </w:tr>
      <w:tr w14:paraId="7A91F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vMerge w:val="continue"/>
            <w:noWrap w:val="0"/>
            <w:vAlign w:val="center"/>
          </w:tcPr>
          <w:p w14:paraId="10EBBEC3">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CESI仿宋-GB2312" w:cs="Times New Roman"/>
                <w:color w:val="auto"/>
                <w:sz w:val="28"/>
                <w:szCs w:val="28"/>
              </w:rPr>
            </w:pPr>
          </w:p>
        </w:tc>
        <w:tc>
          <w:tcPr>
            <w:tcW w:w="1419" w:type="dxa"/>
            <w:noWrap w:val="0"/>
            <w:vAlign w:val="center"/>
          </w:tcPr>
          <w:p w14:paraId="558903E8">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CESI仿宋-GB2312" w:cs="Times New Roman"/>
                <w:color w:val="auto"/>
                <w:sz w:val="28"/>
                <w:szCs w:val="28"/>
              </w:rPr>
            </w:pPr>
            <w:r>
              <w:rPr>
                <w:rFonts w:hint="default" w:ascii="Times New Roman" w:hAnsi="Times New Roman" w:eastAsia="CESI仿宋-GB2312" w:cs="Times New Roman"/>
                <w:color w:val="auto"/>
                <w:sz w:val="28"/>
                <w:szCs w:val="28"/>
                <w:lang w:val="en-US" w:eastAsia="zh-CN"/>
              </w:rPr>
              <w:t>服务承诺</w:t>
            </w:r>
          </w:p>
        </w:tc>
        <w:tc>
          <w:tcPr>
            <w:tcW w:w="6543" w:type="dxa"/>
            <w:noWrap w:val="0"/>
            <w:vAlign w:val="center"/>
          </w:tcPr>
          <w:p w14:paraId="17EE13D2">
            <w:pPr>
              <w:keepNext w:val="0"/>
              <w:keepLines w:val="0"/>
              <w:pageBreakBefore w:val="0"/>
              <w:widowControl/>
              <w:numPr>
                <w:ilvl w:val="0"/>
                <w:numId w:val="0"/>
              </w:numPr>
              <w:kinsoku/>
              <w:wordWrap/>
              <w:overflowPunct/>
              <w:topLinePunct w:val="0"/>
              <w:autoSpaceDE w:val="0"/>
              <w:autoSpaceDN w:val="0"/>
              <w:bidi w:val="0"/>
              <w:adjustRightInd w:val="0"/>
              <w:spacing w:line="240" w:lineRule="auto"/>
              <w:ind w:right="210" w:rightChars="0"/>
              <w:textAlignment w:val="auto"/>
              <w:rPr>
                <w:rFonts w:hint="default" w:ascii="Times New Roman" w:hAnsi="Times New Roman" w:eastAsia="CESI仿宋-GB2312" w:cs="Times New Roman"/>
                <w:color w:val="auto"/>
                <w:sz w:val="28"/>
                <w:szCs w:val="28"/>
                <w:lang w:val="en" w:eastAsia="zh-CN"/>
              </w:rPr>
            </w:pPr>
            <w:r>
              <w:rPr>
                <w:rFonts w:hint="default" w:ascii="Times New Roman" w:hAnsi="Times New Roman" w:eastAsia="CESI仿宋-GB2312" w:cs="Times New Roman"/>
                <w:color w:val="auto"/>
                <w:sz w:val="28"/>
                <w:szCs w:val="28"/>
                <w:lang w:val="en" w:eastAsia="zh-CN"/>
              </w:rPr>
              <w:t>投标人根据本项目特点提供服务承诺、实质性优惠，比如</w:t>
            </w:r>
            <w:r>
              <w:rPr>
                <w:rFonts w:hint="default" w:ascii="Times New Roman" w:hAnsi="Times New Roman" w:eastAsia="CESI仿宋-GB2312" w:cs="Times New Roman"/>
                <w:color w:val="auto"/>
                <w:sz w:val="28"/>
                <w:szCs w:val="28"/>
              </w:rPr>
              <w:t>管理服务应达到的各项指标</w:t>
            </w:r>
            <w:r>
              <w:rPr>
                <w:rFonts w:hint="default" w:ascii="Times New Roman" w:hAnsi="Times New Roman" w:eastAsia="CESI仿宋-GB2312" w:cs="Times New Roman"/>
                <w:color w:val="auto"/>
                <w:sz w:val="28"/>
                <w:szCs w:val="28"/>
                <w:lang w:val="en" w:eastAsia="zh-CN"/>
              </w:rPr>
              <w:t>，重大活动或者突击性任务需要增加服务人员数量时，无条件按照采购人要求和安排落实等。</w:t>
            </w:r>
          </w:p>
          <w:p w14:paraId="7E56C7B9">
            <w:pPr>
              <w:keepNext w:val="0"/>
              <w:keepLines w:val="0"/>
              <w:pageBreakBefore w:val="0"/>
              <w:widowControl/>
              <w:numPr>
                <w:ilvl w:val="0"/>
                <w:numId w:val="0"/>
              </w:numPr>
              <w:kinsoku/>
              <w:wordWrap/>
              <w:overflowPunct/>
              <w:topLinePunct w:val="0"/>
              <w:autoSpaceDE w:val="0"/>
              <w:autoSpaceDN w:val="0"/>
              <w:bidi w:val="0"/>
              <w:adjustRightInd w:val="0"/>
              <w:spacing w:line="240" w:lineRule="auto"/>
              <w:ind w:right="210" w:rightChars="0"/>
              <w:textAlignment w:val="auto"/>
              <w:rPr>
                <w:rFonts w:hint="default" w:ascii="Times New Roman" w:hAnsi="Times New Roman" w:eastAsia="CESI仿宋-GB2312" w:cs="Times New Roman"/>
                <w:color w:val="auto"/>
                <w:sz w:val="28"/>
                <w:szCs w:val="28"/>
              </w:rPr>
            </w:pPr>
            <w:r>
              <w:rPr>
                <w:rFonts w:hint="default" w:ascii="Times New Roman" w:hAnsi="Times New Roman" w:eastAsia="CESI仿宋-GB2312" w:cs="Times New Roman"/>
                <w:color w:val="auto"/>
                <w:sz w:val="28"/>
                <w:szCs w:val="28"/>
                <w:lang w:val="en" w:eastAsia="zh-CN"/>
              </w:rPr>
              <w:t>投标人对每项内容论述详细,完全贴合项目采购需求的得</w:t>
            </w:r>
            <w:r>
              <w:rPr>
                <w:rFonts w:hint="default" w:ascii="Times New Roman" w:hAnsi="Times New Roman" w:eastAsia="CESI仿宋-GB2312" w:cs="Times New Roman"/>
                <w:color w:val="auto"/>
                <w:sz w:val="28"/>
                <w:szCs w:val="28"/>
                <w:lang w:val="en-US" w:eastAsia="zh-CN"/>
              </w:rPr>
              <w:t>10</w:t>
            </w:r>
            <w:r>
              <w:rPr>
                <w:rFonts w:hint="default" w:ascii="Times New Roman" w:hAnsi="Times New Roman" w:eastAsia="CESI仿宋-GB2312" w:cs="Times New Roman"/>
                <w:color w:val="auto"/>
                <w:sz w:val="28"/>
                <w:szCs w:val="28"/>
                <w:lang w:val="en" w:eastAsia="zh-CN"/>
              </w:rPr>
              <w:t>分;投标人对每项内容虽阐述但未贴合采购需求进行论述,或内容未包括具体细节的得</w:t>
            </w:r>
            <w:r>
              <w:rPr>
                <w:rFonts w:hint="default" w:ascii="Times New Roman" w:hAnsi="Times New Roman" w:eastAsia="CESI仿宋-GB2312" w:cs="Times New Roman"/>
                <w:color w:val="auto"/>
                <w:sz w:val="28"/>
                <w:szCs w:val="28"/>
                <w:lang w:val="en-US" w:eastAsia="zh-CN"/>
              </w:rPr>
              <w:t>7</w:t>
            </w:r>
            <w:r>
              <w:rPr>
                <w:rFonts w:hint="default" w:ascii="Times New Roman" w:hAnsi="Times New Roman" w:eastAsia="CESI仿宋-GB2312" w:cs="Times New Roman"/>
                <w:color w:val="auto"/>
                <w:sz w:val="28"/>
                <w:szCs w:val="28"/>
                <w:lang w:val="en" w:eastAsia="zh-CN"/>
              </w:rPr>
              <w:t>分;投标人提供的内容不完整存在明显缺陷的得</w:t>
            </w:r>
            <w:r>
              <w:rPr>
                <w:rFonts w:hint="default" w:ascii="Times New Roman" w:hAnsi="Times New Roman" w:eastAsia="CESI仿宋-GB2312" w:cs="Times New Roman"/>
                <w:color w:val="auto"/>
                <w:sz w:val="28"/>
                <w:szCs w:val="28"/>
                <w:lang w:val="en-US" w:eastAsia="zh-CN"/>
              </w:rPr>
              <w:t>4</w:t>
            </w:r>
            <w:r>
              <w:rPr>
                <w:rFonts w:hint="default" w:ascii="Times New Roman" w:hAnsi="Times New Roman" w:eastAsia="CESI仿宋-GB2312" w:cs="Times New Roman"/>
                <w:color w:val="auto"/>
                <w:sz w:val="28"/>
                <w:szCs w:val="28"/>
                <w:lang w:val="en" w:eastAsia="zh-CN"/>
              </w:rPr>
              <w:t>分;未提供应相关内容的得 0 分。</w:t>
            </w:r>
          </w:p>
        </w:tc>
        <w:tc>
          <w:tcPr>
            <w:tcW w:w="506" w:type="dxa"/>
            <w:noWrap w:val="0"/>
            <w:vAlign w:val="center"/>
          </w:tcPr>
          <w:p w14:paraId="571B33F3">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CESI仿宋-GB2312" w:cs="Times New Roman"/>
                <w:color w:val="auto"/>
                <w:sz w:val="28"/>
                <w:szCs w:val="28"/>
                <w:lang w:val="en-US" w:eastAsia="zh-CN"/>
              </w:rPr>
            </w:pPr>
            <w:r>
              <w:rPr>
                <w:rFonts w:hint="default" w:ascii="Times New Roman" w:hAnsi="Times New Roman" w:eastAsia="CESI仿宋-GB2312" w:cs="Times New Roman"/>
                <w:color w:val="auto"/>
                <w:sz w:val="28"/>
                <w:szCs w:val="28"/>
                <w:lang w:val="en-US" w:eastAsia="zh-CN"/>
              </w:rPr>
              <w:t>10</w:t>
            </w:r>
          </w:p>
        </w:tc>
      </w:tr>
      <w:tr w14:paraId="51EF3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vMerge w:val="restart"/>
            <w:noWrap w:val="0"/>
            <w:vAlign w:val="center"/>
          </w:tcPr>
          <w:p w14:paraId="7D2C3C08">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CESI仿宋-GB2312" w:cs="Times New Roman"/>
                <w:b/>
                <w:bCs/>
                <w:color w:val="auto"/>
                <w:sz w:val="28"/>
                <w:szCs w:val="28"/>
              </w:rPr>
            </w:pPr>
            <w:r>
              <w:rPr>
                <w:rFonts w:hint="default" w:ascii="Times New Roman" w:hAnsi="Times New Roman" w:eastAsia="CESI仿宋-GB2312" w:cs="Times New Roman"/>
                <w:b/>
                <w:bCs/>
                <w:color w:val="auto"/>
                <w:sz w:val="28"/>
                <w:szCs w:val="28"/>
              </w:rPr>
              <w:t>技术部分</w:t>
            </w:r>
          </w:p>
          <w:p w14:paraId="70F5958D">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CESI仿宋-GB2312" w:cs="Times New Roman"/>
                <w:color w:val="auto"/>
                <w:sz w:val="28"/>
                <w:szCs w:val="28"/>
              </w:rPr>
            </w:pPr>
            <w:r>
              <w:rPr>
                <w:rFonts w:hint="default" w:ascii="Times New Roman" w:hAnsi="Times New Roman" w:eastAsia="CESI仿宋-GB2312" w:cs="Times New Roman"/>
                <w:b/>
                <w:bCs/>
                <w:color w:val="auto"/>
                <w:sz w:val="28"/>
                <w:szCs w:val="28"/>
              </w:rPr>
              <w:t>（</w:t>
            </w:r>
            <w:r>
              <w:rPr>
                <w:rFonts w:hint="eastAsia" w:ascii="Times New Roman" w:hAnsi="Times New Roman" w:eastAsia="CESI仿宋-GB2312" w:cs="Times New Roman"/>
                <w:b/>
                <w:bCs/>
                <w:color w:val="auto"/>
                <w:sz w:val="28"/>
                <w:szCs w:val="28"/>
                <w:lang w:val="en-US" w:eastAsia="zh-CN"/>
              </w:rPr>
              <w:t>6</w:t>
            </w:r>
            <w:r>
              <w:rPr>
                <w:rFonts w:hint="default" w:ascii="Times New Roman" w:hAnsi="Times New Roman" w:eastAsia="CESI仿宋-GB2312" w:cs="Times New Roman"/>
                <w:b/>
                <w:bCs/>
                <w:color w:val="auto"/>
                <w:sz w:val="28"/>
                <w:szCs w:val="28"/>
                <w:lang w:val="en-US" w:eastAsia="zh-CN"/>
              </w:rPr>
              <w:t>5</w:t>
            </w:r>
            <w:r>
              <w:rPr>
                <w:rFonts w:hint="default" w:ascii="Times New Roman" w:hAnsi="Times New Roman" w:eastAsia="CESI仿宋-GB2312" w:cs="Times New Roman"/>
                <w:b/>
                <w:bCs/>
                <w:color w:val="auto"/>
                <w:sz w:val="28"/>
                <w:szCs w:val="28"/>
              </w:rPr>
              <w:t>分）</w:t>
            </w:r>
          </w:p>
        </w:tc>
        <w:tc>
          <w:tcPr>
            <w:tcW w:w="1419" w:type="dxa"/>
            <w:noWrap w:val="0"/>
            <w:vAlign w:val="center"/>
          </w:tcPr>
          <w:p w14:paraId="7B44B462">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CESI仿宋-GB2312" w:cs="Times New Roman"/>
                <w:color w:val="auto"/>
                <w:sz w:val="28"/>
                <w:szCs w:val="28"/>
                <w:lang w:val="en-US" w:eastAsia="zh-CN"/>
              </w:rPr>
            </w:pPr>
            <w:r>
              <w:rPr>
                <w:rFonts w:hint="default" w:ascii="Times New Roman" w:hAnsi="Times New Roman" w:eastAsia="CESI仿宋-GB2312" w:cs="Times New Roman"/>
                <w:color w:val="auto"/>
                <w:spacing w:val="0"/>
                <w:sz w:val="28"/>
                <w:szCs w:val="28"/>
                <w:lang w:val="en-US" w:eastAsia="zh-CN"/>
              </w:rPr>
              <w:t>服</w:t>
            </w:r>
            <w:r>
              <w:rPr>
                <w:rFonts w:hint="default" w:ascii="Times New Roman" w:hAnsi="Times New Roman" w:eastAsia="CESI仿宋-GB2312" w:cs="Times New Roman"/>
                <w:color w:val="auto"/>
                <w:spacing w:val="0"/>
                <w:sz w:val="28"/>
                <w:szCs w:val="28"/>
              </w:rPr>
              <w:t>务方案</w:t>
            </w:r>
          </w:p>
        </w:tc>
        <w:tc>
          <w:tcPr>
            <w:tcW w:w="6543" w:type="dxa"/>
            <w:noWrap w:val="0"/>
            <w:vAlign w:val="center"/>
          </w:tcPr>
          <w:p w14:paraId="35975608">
            <w:pPr>
              <w:keepNext w:val="0"/>
              <w:keepLines w:val="0"/>
              <w:pageBreakBefore w:val="0"/>
              <w:widowControl/>
              <w:numPr>
                <w:ilvl w:val="0"/>
                <w:numId w:val="0"/>
              </w:numPr>
              <w:kinsoku/>
              <w:wordWrap/>
              <w:overflowPunct/>
              <w:topLinePunct w:val="0"/>
              <w:autoSpaceDE w:val="0"/>
              <w:autoSpaceDN w:val="0"/>
              <w:bidi w:val="0"/>
              <w:adjustRightInd w:val="0"/>
              <w:spacing w:line="240" w:lineRule="auto"/>
              <w:ind w:right="210" w:rightChars="0"/>
              <w:textAlignment w:val="auto"/>
              <w:rPr>
                <w:rFonts w:hint="default" w:ascii="Times New Roman" w:hAnsi="Times New Roman" w:eastAsia="CESI仿宋-GB2312" w:cs="Times New Roman"/>
                <w:color w:val="auto"/>
                <w:spacing w:val="0"/>
                <w:sz w:val="28"/>
                <w:szCs w:val="28"/>
              </w:rPr>
            </w:pPr>
            <w:r>
              <w:rPr>
                <w:rFonts w:hint="default" w:ascii="Times New Roman" w:hAnsi="Times New Roman" w:eastAsia="CESI仿宋-GB2312" w:cs="Times New Roman"/>
                <w:color w:val="auto"/>
                <w:spacing w:val="0"/>
                <w:sz w:val="28"/>
                <w:szCs w:val="28"/>
                <w:lang w:eastAsia="zh-CN"/>
              </w:rPr>
              <w:t>投标人</w:t>
            </w:r>
            <w:r>
              <w:rPr>
                <w:rFonts w:hint="default" w:ascii="Times New Roman" w:hAnsi="Times New Roman" w:eastAsia="CESI仿宋-GB2312" w:cs="Times New Roman"/>
                <w:color w:val="auto"/>
                <w:spacing w:val="0"/>
                <w:sz w:val="28"/>
                <w:szCs w:val="28"/>
              </w:rPr>
              <w:t>结合本项目需求制定整体管理服务方案，包含管理服务整体规划、服务方案（不限于保洁服务、垃圾清理外运、宿舍楼的管理</w:t>
            </w:r>
            <w:r>
              <w:rPr>
                <w:rFonts w:hint="default" w:ascii="Times New Roman" w:hAnsi="Times New Roman" w:eastAsia="CESI仿宋-GB2312" w:cs="Times New Roman"/>
                <w:color w:val="auto"/>
                <w:spacing w:val="0"/>
                <w:sz w:val="28"/>
                <w:szCs w:val="28"/>
                <w:highlight w:val="none"/>
              </w:rPr>
              <w:t>、</w:t>
            </w:r>
            <w:r>
              <w:rPr>
                <w:rFonts w:hint="default" w:ascii="Times New Roman" w:hAnsi="Times New Roman" w:eastAsia="CESI仿宋-GB2312" w:cs="Times New Roman"/>
                <w:color w:val="auto"/>
                <w:spacing w:val="0"/>
                <w:sz w:val="28"/>
                <w:szCs w:val="28"/>
                <w:highlight w:val="none"/>
                <w:lang w:eastAsia="zh-CN"/>
              </w:rPr>
              <w:t>校园</w:t>
            </w:r>
            <w:r>
              <w:rPr>
                <w:rFonts w:hint="default" w:ascii="Times New Roman" w:hAnsi="Times New Roman" w:eastAsia="CESI仿宋-GB2312" w:cs="Times New Roman"/>
                <w:color w:val="auto"/>
                <w:spacing w:val="0"/>
                <w:sz w:val="28"/>
                <w:szCs w:val="28"/>
                <w:highlight w:val="none"/>
              </w:rPr>
              <w:t>水电五金维修）</w:t>
            </w:r>
            <w:r>
              <w:rPr>
                <w:rFonts w:hint="default" w:ascii="Times New Roman" w:hAnsi="Times New Roman" w:eastAsia="CESI仿宋-GB2312" w:cs="Times New Roman"/>
                <w:color w:val="auto"/>
                <w:spacing w:val="0"/>
                <w:sz w:val="28"/>
                <w:szCs w:val="28"/>
              </w:rPr>
              <w:t>、交接方案等。</w:t>
            </w:r>
          </w:p>
          <w:p w14:paraId="457541C8">
            <w:pPr>
              <w:keepNext w:val="0"/>
              <w:keepLines w:val="0"/>
              <w:pageBreakBefore w:val="0"/>
              <w:widowControl/>
              <w:numPr>
                <w:ilvl w:val="0"/>
                <w:numId w:val="0"/>
              </w:numPr>
              <w:kinsoku/>
              <w:wordWrap/>
              <w:overflowPunct/>
              <w:topLinePunct w:val="0"/>
              <w:autoSpaceDE w:val="0"/>
              <w:autoSpaceDN w:val="0"/>
              <w:bidi w:val="0"/>
              <w:adjustRightInd w:val="0"/>
              <w:spacing w:line="240" w:lineRule="auto"/>
              <w:ind w:right="210" w:rightChars="0"/>
              <w:textAlignment w:val="auto"/>
              <w:rPr>
                <w:rFonts w:hint="default" w:ascii="Times New Roman" w:hAnsi="Times New Roman" w:eastAsia="CESI仿宋-GB2312" w:cs="Times New Roman"/>
                <w:color w:val="auto"/>
                <w:sz w:val="28"/>
                <w:szCs w:val="28"/>
                <w:lang w:val="en" w:eastAsia="zh-CN"/>
              </w:rPr>
            </w:pPr>
            <w:r>
              <w:rPr>
                <w:rFonts w:hint="default" w:ascii="Times New Roman" w:hAnsi="Times New Roman" w:eastAsia="CESI仿宋-GB2312" w:cs="Times New Roman"/>
                <w:color w:val="auto"/>
                <w:spacing w:val="0"/>
                <w:sz w:val="28"/>
                <w:szCs w:val="28"/>
              </w:rPr>
              <w:t>投标人对每项内容论述详细,完全贴合项目采购需求的得</w:t>
            </w:r>
            <w:r>
              <w:rPr>
                <w:rFonts w:hint="eastAsia" w:ascii="Times New Roman" w:hAnsi="Times New Roman" w:eastAsia="CESI仿宋-GB2312" w:cs="Times New Roman"/>
                <w:color w:val="auto"/>
                <w:spacing w:val="0"/>
                <w:sz w:val="28"/>
                <w:szCs w:val="28"/>
                <w:lang w:val="en-US" w:eastAsia="zh-CN"/>
              </w:rPr>
              <w:t>8</w:t>
            </w:r>
            <w:r>
              <w:rPr>
                <w:rFonts w:hint="default" w:ascii="Times New Roman" w:hAnsi="Times New Roman" w:eastAsia="CESI仿宋-GB2312" w:cs="Times New Roman"/>
                <w:color w:val="auto"/>
                <w:spacing w:val="0"/>
                <w:sz w:val="28"/>
                <w:szCs w:val="28"/>
              </w:rPr>
              <w:t>分;投标人对每项内容虽阐述但未贴合采购需求进行论述,或内容未包括具体细节的得</w:t>
            </w:r>
            <w:r>
              <w:rPr>
                <w:rFonts w:hint="eastAsia" w:ascii="Times New Roman" w:hAnsi="Times New Roman" w:eastAsia="CESI仿宋-GB2312" w:cs="Times New Roman"/>
                <w:color w:val="auto"/>
                <w:spacing w:val="0"/>
                <w:sz w:val="28"/>
                <w:szCs w:val="28"/>
                <w:lang w:val="en-US" w:eastAsia="zh-CN"/>
              </w:rPr>
              <w:t>5</w:t>
            </w:r>
            <w:r>
              <w:rPr>
                <w:rFonts w:hint="default" w:ascii="Times New Roman" w:hAnsi="Times New Roman" w:eastAsia="CESI仿宋-GB2312" w:cs="Times New Roman"/>
                <w:color w:val="auto"/>
                <w:spacing w:val="0"/>
                <w:sz w:val="28"/>
                <w:szCs w:val="28"/>
              </w:rPr>
              <w:t>分;投标人提供的内容不完整存在明显缺陷的得</w:t>
            </w:r>
            <w:r>
              <w:rPr>
                <w:rFonts w:hint="eastAsia" w:ascii="Times New Roman" w:hAnsi="Times New Roman" w:eastAsia="CESI仿宋-GB2312" w:cs="Times New Roman"/>
                <w:color w:val="auto"/>
                <w:spacing w:val="0"/>
                <w:sz w:val="28"/>
                <w:szCs w:val="28"/>
                <w:lang w:val="en-US" w:eastAsia="zh-CN"/>
              </w:rPr>
              <w:t>2</w:t>
            </w:r>
            <w:r>
              <w:rPr>
                <w:rFonts w:hint="default" w:ascii="Times New Roman" w:hAnsi="Times New Roman" w:eastAsia="CESI仿宋-GB2312" w:cs="Times New Roman"/>
                <w:color w:val="auto"/>
                <w:spacing w:val="0"/>
                <w:sz w:val="28"/>
                <w:szCs w:val="28"/>
              </w:rPr>
              <w:t>分;未提供应相关内容的得0分。</w:t>
            </w:r>
          </w:p>
        </w:tc>
        <w:tc>
          <w:tcPr>
            <w:tcW w:w="506" w:type="dxa"/>
            <w:noWrap w:val="0"/>
            <w:vAlign w:val="center"/>
          </w:tcPr>
          <w:p w14:paraId="4DE5DA7B">
            <w:pPr>
              <w:pStyle w:val="269"/>
              <w:keepNext w:val="0"/>
              <w:keepLines w:val="0"/>
              <w:pageBreakBefore w:val="0"/>
              <w:kinsoku/>
              <w:wordWrap/>
              <w:overflowPunct/>
              <w:topLinePunct w:val="0"/>
              <w:autoSpaceDE/>
              <w:autoSpaceDN/>
              <w:bidi w:val="0"/>
              <w:adjustRightInd/>
              <w:snapToGrid/>
              <w:spacing w:line="460" w:lineRule="exact"/>
              <w:ind w:left="0" w:leftChars="0" w:right="0" w:rightChars="0"/>
              <w:jc w:val="center"/>
              <w:textAlignment w:val="auto"/>
              <w:rPr>
                <w:rFonts w:hint="eastAsia" w:ascii="Times New Roman" w:hAnsi="Times New Roman" w:eastAsia="CESI仿宋-GB2312" w:cs="Times New Roman"/>
                <w:color w:val="auto"/>
                <w:kern w:val="2"/>
                <w:sz w:val="28"/>
                <w:szCs w:val="28"/>
                <w:lang w:val="en-US" w:eastAsia="zh-CN" w:bidi="ar-SA"/>
              </w:rPr>
            </w:pPr>
            <w:r>
              <w:rPr>
                <w:rFonts w:hint="eastAsia" w:ascii="Times New Roman" w:hAnsi="Times New Roman" w:eastAsia="CESI仿宋-GB2312" w:cs="Times New Roman"/>
                <w:color w:val="auto"/>
                <w:spacing w:val="0"/>
                <w:sz w:val="28"/>
                <w:szCs w:val="28"/>
                <w:lang w:val="en-US" w:eastAsia="zh-CN"/>
              </w:rPr>
              <w:t>8</w:t>
            </w:r>
          </w:p>
        </w:tc>
      </w:tr>
      <w:tr w14:paraId="3900E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vMerge w:val="continue"/>
            <w:noWrap w:val="0"/>
            <w:vAlign w:val="center"/>
          </w:tcPr>
          <w:p w14:paraId="2520D1F5">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CESI仿宋-GB2312" w:cs="Times New Roman"/>
                <w:b/>
                <w:bCs/>
                <w:color w:val="auto"/>
                <w:sz w:val="28"/>
                <w:szCs w:val="28"/>
              </w:rPr>
            </w:pPr>
          </w:p>
        </w:tc>
        <w:tc>
          <w:tcPr>
            <w:tcW w:w="1419" w:type="dxa"/>
            <w:noWrap w:val="0"/>
            <w:vAlign w:val="center"/>
          </w:tcPr>
          <w:p w14:paraId="081476DD">
            <w:pPr>
              <w:pStyle w:val="269"/>
              <w:keepNext w:val="0"/>
              <w:keepLines w:val="0"/>
              <w:pageBreakBefore w:val="0"/>
              <w:kinsoku/>
              <w:wordWrap/>
              <w:overflowPunct/>
              <w:topLinePunct w:val="0"/>
              <w:autoSpaceDE/>
              <w:autoSpaceDN/>
              <w:bidi w:val="0"/>
              <w:adjustRightInd/>
              <w:snapToGrid/>
              <w:spacing w:line="460" w:lineRule="exact"/>
              <w:ind w:left="0" w:leftChars="0" w:right="0" w:rightChars="0"/>
              <w:jc w:val="center"/>
              <w:textAlignment w:val="auto"/>
              <w:rPr>
                <w:rFonts w:hint="default" w:ascii="Times New Roman" w:hAnsi="Times New Roman" w:eastAsia="CESI仿宋-GB2312" w:cs="Times New Roman"/>
                <w:color w:val="auto"/>
                <w:spacing w:val="0"/>
                <w:sz w:val="28"/>
                <w:szCs w:val="28"/>
                <w:lang w:val="en-US" w:eastAsia="zh-CN"/>
              </w:rPr>
            </w:pPr>
            <w:r>
              <w:rPr>
                <w:rFonts w:hint="default" w:ascii="Times New Roman" w:hAnsi="Times New Roman" w:eastAsia="CESI仿宋-GB2312" w:cs="Times New Roman"/>
                <w:color w:val="auto"/>
                <w:spacing w:val="0"/>
                <w:sz w:val="28"/>
                <w:szCs w:val="28"/>
                <w:lang w:val="en-US" w:eastAsia="zh-CN"/>
              </w:rPr>
              <w:t>人</w:t>
            </w:r>
            <w:r>
              <w:rPr>
                <w:rFonts w:hint="default" w:ascii="Times New Roman" w:hAnsi="Times New Roman" w:eastAsia="CESI仿宋-GB2312" w:cs="Times New Roman"/>
                <w:color w:val="auto"/>
                <w:spacing w:val="0"/>
                <w:sz w:val="28"/>
                <w:szCs w:val="28"/>
              </w:rPr>
              <w:t>员配备</w:t>
            </w:r>
          </w:p>
        </w:tc>
        <w:tc>
          <w:tcPr>
            <w:tcW w:w="6543" w:type="dxa"/>
            <w:noWrap w:val="0"/>
            <w:vAlign w:val="center"/>
          </w:tcPr>
          <w:p w14:paraId="683FED11">
            <w:pPr>
              <w:pStyle w:val="269"/>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CESI仿宋-GB2312" w:cs="Times New Roman"/>
                <w:color w:val="auto"/>
                <w:spacing w:val="0"/>
                <w:sz w:val="28"/>
                <w:szCs w:val="28"/>
              </w:rPr>
            </w:pPr>
            <w:r>
              <w:rPr>
                <w:rFonts w:hint="default" w:ascii="Times New Roman" w:hAnsi="Times New Roman" w:eastAsia="CESI仿宋-GB2312" w:cs="Times New Roman"/>
                <w:color w:val="auto"/>
                <w:spacing w:val="0"/>
                <w:sz w:val="28"/>
                <w:szCs w:val="28"/>
              </w:rPr>
              <w:t>1.拟派项目经理（</w:t>
            </w:r>
            <w:r>
              <w:rPr>
                <w:rFonts w:hint="eastAsia" w:ascii="Times New Roman" w:hAnsi="Times New Roman" w:eastAsia="CESI仿宋-GB2312" w:cs="Times New Roman"/>
                <w:color w:val="auto"/>
                <w:spacing w:val="0"/>
                <w:sz w:val="28"/>
                <w:szCs w:val="28"/>
                <w:lang w:val="en-US" w:eastAsia="zh-CN"/>
              </w:rPr>
              <w:t>7</w:t>
            </w:r>
            <w:r>
              <w:rPr>
                <w:rFonts w:hint="default" w:ascii="Times New Roman" w:hAnsi="Times New Roman" w:eastAsia="CESI仿宋-GB2312" w:cs="Times New Roman"/>
                <w:color w:val="auto"/>
                <w:spacing w:val="0"/>
                <w:sz w:val="28"/>
                <w:szCs w:val="28"/>
              </w:rPr>
              <w:t>分）</w:t>
            </w:r>
          </w:p>
          <w:p w14:paraId="793C3B0C">
            <w:pPr>
              <w:pStyle w:val="269"/>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CESI仿宋-GB2312" w:cs="Times New Roman"/>
                <w:color w:val="auto"/>
                <w:spacing w:val="0"/>
                <w:sz w:val="28"/>
                <w:szCs w:val="28"/>
              </w:rPr>
            </w:pPr>
            <w:r>
              <w:rPr>
                <w:rFonts w:hint="default" w:ascii="Times New Roman" w:hAnsi="Times New Roman" w:eastAsia="CESI仿宋-GB2312" w:cs="Times New Roman"/>
                <w:color w:val="auto"/>
                <w:spacing w:val="0"/>
                <w:sz w:val="28"/>
                <w:szCs w:val="28"/>
              </w:rPr>
              <w:t>（1）具有本科</w:t>
            </w:r>
            <w:r>
              <w:rPr>
                <w:rFonts w:hint="default" w:ascii="Times New Roman" w:hAnsi="Times New Roman" w:eastAsia="CESI仿宋-GB2312" w:cs="Times New Roman"/>
                <w:color w:val="auto"/>
                <w:spacing w:val="0"/>
                <w:sz w:val="28"/>
                <w:szCs w:val="28"/>
                <w:lang w:eastAsia="zh-CN"/>
              </w:rPr>
              <w:t>以上</w:t>
            </w:r>
            <w:r>
              <w:rPr>
                <w:rFonts w:hint="default" w:ascii="Times New Roman" w:hAnsi="Times New Roman" w:eastAsia="CESI仿宋-GB2312" w:cs="Times New Roman"/>
                <w:color w:val="auto"/>
                <w:spacing w:val="0"/>
                <w:sz w:val="28"/>
                <w:szCs w:val="28"/>
              </w:rPr>
              <w:t>学历得</w:t>
            </w:r>
            <w:r>
              <w:rPr>
                <w:rFonts w:hint="eastAsia" w:ascii="Times New Roman" w:hAnsi="Times New Roman" w:eastAsia="CESI仿宋-GB2312" w:cs="Times New Roman"/>
                <w:color w:val="auto"/>
                <w:spacing w:val="0"/>
                <w:sz w:val="28"/>
                <w:szCs w:val="28"/>
                <w:lang w:val="en-US" w:eastAsia="zh-CN"/>
              </w:rPr>
              <w:t>2</w:t>
            </w:r>
            <w:r>
              <w:rPr>
                <w:rFonts w:hint="default" w:ascii="Times New Roman" w:hAnsi="Times New Roman" w:eastAsia="CESI仿宋-GB2312" w:cs="Times New Roman"/>
                <w:color w:val="auto"/>
                <w:spacing w:val="0"/>
                <w:sz w:val="28"/>
                <w:szCs w:val="28"/>
              </w:rPr>
              <w:t>分（提供学历证明文件）；</w:t>
            </w:r>
          </w:p>
          <w:p w14:paraId="11D0C6F7">
            <w:pPr>
              <w:pStyle w:val="269"/>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CESI仿宋-GB2312" w:cs="Times New Roman"/>
                <w:color w:val="auto"/>
                <w:spacing w:val="0"/>
                <w:sz w:val="28"/>
                <w:szCs w:val="28"/>
              </w:rPr>
            </w:pPr>
            <w:r>
              <w:rPr>
                <w:rFonts w:hint="default" w:ascii="Times New Roman" w:hAnsi="Times New Roman" w:eastAsia="CESI仿宋-GB2312" w:cs="Times New Roman"/>
                <w:color w:val="auto"/>
                <w:spacing w:val="0"/>
                <w:sz w:val="28"/>
                <w:szCs w:val="28"/>
              </w:rPr>
              <w:t>（2）具有3年</w:t>
            </w:r>
            <w:r>
              <w:rPr>
                <w:rFonts w:hint="default" w:ascii="Times New Roman" w:hAnsi="Times New Roman" w:eastAsia="CESI仿宋-GB2312" w:cs="Times New Roman"/>
                <w:color w:val="auto"/>
                <w:spacing w:val="0"/>
                <w:sz w:val="28"/>
                <w:szCs w:val="28"/>
                <w:lang w:eastAsia="zh-CN"/>
              </w:rPr>
              <w:t>以上</w:t>
            </w:r>
            <w:r>
              <w:rPr>
                <w:rFonts w:hint="default" w:ascii="Times New Roman" w:hAnsi="Times New Roman" w:eastAsia="CESI仿宋-GB2312" w:cs="Times New Roman"/>
                <w:color w:val="auto"/>
                <w:spacing w:val="0"/>
                <w:sz w:val="28"/>
                <w:szCs w:val="28"/>
              </w:rPr>
              <w:t>类似项目管理经验得2分（</w:t>
            </w:r>
            <w:r>
              <w:rPr>
                <w:rFonts w:hint="eastAsia" w:ascii="Times New Roman" w:hAnsi="Times New Roman" w:eastAsia="CESI仿宋-GB2312" w:cs="Times New Roman"/>
                <w:color w:val="auto"/>
                <w:spacing w:val="0"/>
                <w:sz w:val="28"/>
                <w:szCs w:val="28"/>
                <w:lang w:eastAsia="zh-CN"/>
              </w:rPr>
              <w:t>提供服务</w:t>
            </w:r>
            <w:r>
              <w:rPr>
                <w:rFonts w:hint="default" w:ascii="Times New Roman" w:hAnsi="Times New Roman" w:eastAsia="CESI仿宋-GB2312" w:cs="Times New Roman"/>
                <w:color w:val="auto"/>
                <w:spacing w:val="0"/>
                <w:sz w:val="28"/>
                <w:szCs w:val="28"/>
              </w:rPr>
              <w:t>合同或业主单位开具的证明材料</w:t>
            </w:r>
            <w:r>
              <w:rPr>
                <w:rFonts w:hint="eastAsia" w:ascii="Times New Roman" w:hAnsi="Times New Roman" w:eastAsia="CESI仿宋-GB2312" w:cs="Times New Roman"/>
                <w:color w:val="auto"/>
                <w:spacing w:val="0"/>
                <w:sz w:val="28"/>
                <w:szCs w:val="28"/>
                <w:lang w:eastAsia="zh-CN"/>
              </w:rPr>
              <w:t>，需</w:t>
            </w:r>
            <w:r>
              <w:rPr>
                <w:rFonts w:hint="default" w:ascii="Times New Roman" w:hAnsi="Times New Roman" w:eastAsia="CESI仿宋-GB2312" w:cs="Times New Roman"/>
                <w:color w:val="auto"/>
                <w:spacing w:val="0"/>
                <w:sz w:val="28"/>
                <w:szCs w:val="28"/>
              </w:rPr>
              <w:t>显示项目经理姓名，并加盖业主单位公章）；</w:t>
            </w:r>
          </w:p>
          <w:p w14:paraId="6EA7BE58">
            <w:pPr>
              <w:pStyle w:val="269"/>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CESI仿宋-GB2312" w:cs="Times New Roman"/>
                <w:color w:val="auto"/>
                <w:spacing w:val="0"/>
                <w:sz w:val="28"/>
                <w:szCs w:val="28"/>
              </w:rPr>
            </w:pPr>
            <w:r>
              <w:rPr>
                <w:rFonts w:hint="default" w:ascii="Times New Roman" w:hAnsi="Times New Roman" w:eastAsia="CESI仿宋-GB2312" w:cs="Times New Roman"/>
                <w:color w:val="auto"/>
                <w:spacing w:val="0"/>
                <w:sz w:val="28"/>
                <w:szCs w:val="28"/>
              </w:rPr>
              <w:t>（3）年龄小于45周岁，得1分（提供身份证）；</w:t>
            </w:r>
          </w:p>
          <w:p w14:paraId="6F6D8CC3">
            <w:pPr>
              <w:pStyle w:val="269"/>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CESI仿宋-GB2312" w:cs="Times New Roman"/>
                <w:color w:val="auto"/>
                <w:spacing w:val="0"/>
                <w:sz w:val="28"/>
                <w:szCs w:val="28"/>
              </w:rPr>
            </w:pPr>
            <w:r>
              <w:rPr>
                <w:rFonts w:hint="default" w:ascii="Times New Roman" w:hAnsi="Times New Roman" w:eastAsia="CESI仿宋-GB2312" w:cs="Times New Roman"/>
                <w:color w:val="auto"/>
                <w:spacing w:val="0"/>
                <w:sz w:val="28"/>
                <w:szCs w:val="28"/>
              </w:rPr>
              <w:t>（4）具有政府单位颁发的中级职称证书，得2分。（提供证书）</w:t>
            </w:r>
          </w:p>
          <w:p w14:paraId="4FD5E713">
            <w:pPr>
              <w:pStyle w:val="269"/>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CESI仿宋-GB2312" w:cs="Times New Roman"/>
                <w:color w:val="auto"/>
                <w:spacing w:val="0"/>
                <w:sz w:val="28"/>
                <w:szCs w:val="28"/>
              </w:rPr>
            </w:pPr>
            <w:r>
              <w:rPr>
                <w:rFonts w:hint="default" w:ascii="Times New Roman" w:hAnsi="Times New Roman" w:eastAsia="CESI仿宋-GB2312" w:cs="Times New Roman"/>
                <w:color w:val="auto"/>
                <w:spacing w:val="0"/>
                <w:sz w:val="28"/>
                <w:szCs w:val="28"/>
              </w:rPr>
              <w:t>2.拟派本项目其他人员（</w:t>
            </w:r>
            <w:r>
              <w:rPr>
                <w:rFonts w:hint="eastAsia" w:ascii="Times New Roman" w:hAnsi="Times New Roman" w:eastAsia="CESI仿宋-GB2312" w:cs="Times New Roman"/>
                <w:color w:val="auto"/>
                <w:spacing w:val="0"/>
                <w:sz w:val="28"/>
                <w:szCs w:val="28"/>
                <w:lang w:val="en-US" w:eastAsia="zh-CN"/>
              </w:rPr>
              <w:t>14</w:t>
            </w:r>
            <w:r>
              <w:rPr>
                <w:rFonts w:hint="default" w:ascii="Times New Roman" w:hAnsi="Times New Roman" w:eastAsia="CESI仿宋-GB2312" w:cs="Times New Roman"/>
                <w:color w:val="auto"/>
                <w:spacing w:val="0"/>
                <w:sz w:val="28"/>
                <w:szCs w:val="28"/>
              </w:rPr>
              <w:t>分）</w:t>
            </w:r>
          </w:p>
          <w:p w14:paraId="36722554">
            <w:pPr>
              <w:pStyle w:val="269"/>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CESI仿宋-GB2312" w:cs="Times New Roman"/>
                <w:color w:val="auto"/>
                <w:spacing w:val="0"/>
                <w:sz w:val="28"/>
                <w:szCs w:val="28"/>
              </w:rPr>
            </w:pPr>
            <w:r>
              <w:rPr>
                <w:rFonts w:hint="default" w:ascii="Times New Roman" w:hAnsi="Times New Roman" w:eastAsia="CESI仿宋-GB2312" w:cs="Times New Roman"/>
                <w:color w:val="auto"/>
                <w:spacing w:val="0"/>
                <w:sz w:val="28"/>
                <w:szCs w:val="28"/>
                <w:lang w:eastAsia="zh-CN"/>
              </w:rPr>
              <w:t>（</w:t>
            </w:r>
            <w:r>
              <w:rPr>
                <w:rFonts w:hint="default" w:ascii="Times New Roman" w:hAnsi="Times New Roman" w:eastAsia="CESI仿宋-GB2312" w:cs="Times New Roman"/>
                <w:color w:val="auto"/>
                <w:spacing w:val="0"/>
                <w:sz w:val="28"/>
                <w:szCs w:val="28"/>
                <w:lang w:val="en-US" w:eastAsia="zh-CN"/>
              </w:rPr>
              <w:t>1</w:t>
            </w:r>
            <w:r>
              <w:rPr>
                <w:rFonts w:hint="default" w:ascii="Times New Roman" w:hAnsi="Times New Roman" w:eastAsia="CESI仿宋-GB2312" w:cs="Times New Roman"/>
                <w:color w:val="auto"/>
                <w:spacing w:val="0"/>
                <w:sz w:val="28"/>
                <w:szCs w:val="28"/>
                <w:lang w:eastAsia="zh-CN"/>
              </w:rPr>
              <w:t>）拟派维修人员中，每有一人具有人力</w:t>
            </w:r>
            <w:r>
              <w:rPr>
                <w:rFonts w:hint="default" w:ascii="Times New Roman" w:hAnsi="Times New Roman" w:eastAsia="CESI仿宋-GB2312" w:cs="Times New Roman"/>
                <w:color w:val="auto"/>
                <w:spacing w:val="0"/>
                <w:sz w:val="28"/>
                <w:szCs w:val="28"/>
              </w:rPr>
              <w:t>资源</w:t>
            </w:r>
            <w:r>
              <w:rPr>
                <w:rFonts w:hint="default" w:ascii="Times New Roman" w:hAnsi="Times New Roman" w:eastAsia="CESI仿宋-GB2312" w:cs="Times New Roman"/>
                <w:color w:val="auto"/>
                <w:spacing w:val="0"/>
                <w:sz w:val="28"/>
                <w:szCs w:val="28"/>
                <w:lang w:eastAsia="zh-CN"/>
              </w:rPr>
              <w:t>和社会保障部门</w:t>
            </w:r>
            <w:r>
              <w:rPr>
                <w:rFonts w:hint="default" w:ascii="Times New Roman" w:hAnsi="Times New Roman" w:eastAsia="CESI仿宋-GB2312" w:cs="Times New Roman"/>
                <w:color w:val="auto"/>
                <w:spacing w:val="0"/>
                <w:sz w:val="28"/>
                <w:szCs w:val="28"/>
                <w:lang w:val="en-US" w:eastAsia="zh-CN"/>
              </w:rPr>
              <w:t>颁发得</w:t>
            </w:r>
            <w:r>
              <w:rPr>
                <w:rFonts w:hint="default" w:ascii="Times New Roman" w:hAnsi="Times New Roman" w:eastAsia="CESI仿宋-GB2312" w:cs="Times New Roman"/>
                <w:color w:val="auto"/>
                <w:spacing w:val="0"/>
                <w:sz w:val="28"/>
                <w:szCs w:val="28"/>
                <w:lang w:eastAsia="zh-CN"/>
              </w:rPr>
              <w:t>高级电工</w:t>
            </w:r>
            <w:r>
              <w:rPr>
                <w:rFonts w:hint="default" w:ascii="Times New Roman" w:hAnsi="Times New Roman" w:eastAsia="CESI仿宋-GB2312" w:cs="Times New Roman"/>
                <w:color w:val="auto"/>
                <w:spacing w:val="0"/>
                <w:sz w:val="28"/>
                <w:szCs w:val="28"/>
                <w:lang w:val="en-US" w:eastAsia="zh-CN"/>
              </w:rPr>
              <w:t>职业</w:t>
            </w:r>
            <w:r>
              <w:rPr>
                <w:rFonts w:hint="default" w:ascii="Times New Roman" w:hAnsi="Times New Roman" w:eastAsia="CESI仿宋-GB2312" w:cs="Times New Roman"/>
                <w:color w:val="auto"/>
                <w:spacing w:val="0"/>
                <w:sz w:val="28"/>
                <w:szCs w:val="28"/>
                <w:lang w:eastAsia="zh-CN"/>
              </w:rPr>
              <w:t>资格证书的</w:t>
            </w:r>
            <w:r>
              <w:rPr>
                <w:rFonts w:hint="default" w:ascii="Times New Roman" w:hAnsi="Times New Roman" w:eastAsia="CESI仿宋-GB2312" w:cs="Times New Roman"/>
                <w:color w:val="auto"/>
                <w:spacing w:val="0"/>
                <w:sz w:val="28"/>
                <w:szCs w:val="28"/>
                <w:lang w:val="en-US" w:eastAsia="zh-CN"/>
              </w:rPr>
              <w:t>人员</w:t>
            </w:r>
            <w:r>
              <w:rPr>
                <w:rFonts w:hint="default" w:ascii="Times New Roman" w:hAnsi="Times New Roman" w:eastAsia="CESI仿宋-GB2312" w:cs="Times New Roman"/>
                <w:color w:val="auto"/>
                <w:spacing w:val="0"/>
                <w:sz w:val="28"/>
                <w:szCs w:val="28"/>
                <w:lang w:eastAsia="zh-CN"/>
              </w:rPr>
              <w:t>，提供1个得1分，最多得4分；其他维修人员具有政府单位颁发的电气、暖通、给排水、土木工程等相关专业证书的，每提供一个专业证书得1分，最多得4分；（提供证书）</w:t>
            </w:r>
            <w:r>
              <w:rPr>
                <w:rFonts w:hint="default" w:ascii="Times New Roman" w:hAnsi="Times New Roman" w:eastAsia="CESI仿宋-GB2312" w:cs="Times New Roman"/>
                <w:color w:val="auto"/>
                <w:spacing w:val="0"/>
                <w:sz w:val="28"/>
                <w:szCs w:val="28"/>
              </w:rPr>
              <w:t>。</w:t>
            </w:r>
          </w:p>
          <w:p w14:paraId="5C3DB1FF">
            <w:pPr>
              <w:pStyle w:val="269"/>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CESI仿宋-GB2312" w:cs="Times New Roman"/>
                <w:color w:val="auto"/>
                <w:spacing w:val="0"/>
                <w:sz w:val="28"/>
                <w:szCs w:val="28"/>
              </w:rPr>
            </w:pPr>
            <w:r>
              <w:rPr>
                <w:rFonts w:hint="default" w:ascii="Times New Roman" w:hAnsi="Times New Roman" w:eastAsia="CESI仿宋-GB2312" w:cs="Times New Roman"/>
                <w:color w:val="auto"/>
                <w:spacing w:val="0"/>
                <w:sz w:val="28"/>
                <w:szCs w:val="28"/>
              </w:rPr>
              <w:t>（2）投标人承诺拟派本项目的人员配备情况如下：</w:t>
            </w:r>
          </w:p>
          <w:p w14:paraId="780EA676">
            <w:pPr>
              <w:pStyle w:val="269"/>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CESI仿宋-GB2312" w:cs="Times New Roman"/>
                <w:color w:val="auto"/>
                <w:spacing w:val="0"/>
                <w:sz w:val="28"/>
                <w:szCs w:val="28"/>
              </w:rPr>
            </w:pPr>
            <w:r>
              <w:rPr>
                <w:rFonts w:hint="default" w:ascii="Times New Roman" w:hAnsi="Times New Roman" w:eastAsia="CESI仿宋-GB2312" w:cs="Times New Roman"/>
                <w:color w:val="auto"/>
                <w:spacing w:val="0"/>
                <w:sz w:val="28"/>
                <w:szCs w:val="28"/>
              </w:rPr>
              <w:t>①开学期间（约9个月），项目服务人员不少于69人，且各岗位人员须全勤在岗；</w:t>
            </w:r>
          </w:p>
          <w:p w14:paraId="018EFBA7">
            <w:pPr>
              <w:pStyle w:val="269"/>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CESI仿宋-GB2312" w:cs="Times New Roman"/>
                <w:color w:val="auto"/>
                <w:spacing w:val="0"/>
                <w:sz w:val="28"/>
                <w:szCs w:val="28"/>
              </w:rPr>
            </w:pPr>
            <w:r>
              <w:rPr>
                <w:rFonts w:hint="default" w:ascii="Times New Roman" w:hAnsi="Times New Roman" w:eastAsia="CESI仿宋-GB2312" w:cs="Times New Roman"/>
                <w:color w:val="auto"/>
                <w:spacing w:val="0"/>
                <w:sz w:val="28"/>
                <w:szCs w:val="28"/>
              </w:rPr>
              <w:t>②寒暑假期间（约3个月），服务人员不少于33人，其中</w:t>
            </w:r>
            <w:r>
              <w:rPr>
                <w:rFonts w:hint="default" w:ascii="Times New Roman" w:hAnsi="Times New Roman" w:eastAsia="CESI仿宋-GB2312" w:cs="Times New Roman"/>
                <w:color w:val="auto"/>
                <w:spacing w:val="0"/>
                <w:sz w:val="28"/>
                <w:szCs w:val="28"/>
                <w:lang w:val="en-US" w:eastAsia="zh-CN"/>
              </w:rPr>
              <w:t>校园整体</w:t>
            </w:r>
            <w:r>
              <w:rPr>
                <w:rFonts w:hint="default" w:ascii="Times New Roman" w:hAnsi="Times New Roman" w:eastAsia="CESI仿宋-GB2312" w:cs="Times New Roman"/>
                <w:color w:val="auto"/>
                <w:spacing w:val="0"/>
                <w:sz w:val="28"/>
                <w:szCs w:val="28"/>
              </w:rPr>
              <w:t>维修人员不少于8人、</w:t>
            </w:r>
            <w:r>
              <w:rPr>
                <w:rFonts w:hint="default" w:ascii="Times New Roman" w:hAnsi="Times New Roman" w:eastAsia="CESI仿宋-GB2312" w:cs="Times New Roman"/>
                <w:color w:val="auto"/>
                <w:spacing w:val="0"/>
                <w:sz w:val="28"/>
                <w:szCs w:val="28"/>
                <w:lang w:val="en-US" w:eastAsia="zh-CN"/>
              </w:rPr>
              <w:t>宿舍管理员</w:t>
            </w:r>
            <w:r>
              <w:rPr>
                <w:rFonts w:hint="default" w:ascii="Times New Roman" w:hAnsi="Times New Roman" w:eastAsia="CESI仿宋-GB2312" w:cs="Times New Roman"/>
                <w:color w:val="auto"/>
                <w:spacing w:val="0"/>
                <w:sz w:val="28"/>
                <w:szCs w:val="28"/>
              </w:rPr>
              <w:t>不少于8人，其余人员须保障校园和办公区域的基本卫生；</w:t>
            </w:r>
          </w:p>
          <w:p w14:paraId="0D9DB2FA">
            <w:pPr>
              <w:pStyle w:val="269"/>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CESI仿宋-GB2312" w:cs="Times New Roman"/>
                <w:color w:val="auto"/>
                <w:spacing w:val="0"/>
                <w:sz w:val="28"/>
                <w:szCs w:val="28"/>
              </w:rPr>
            </w:pPr>
            <w:r>
              <w:rPr>
                <w:rFonts w:hint="default" w:ascii="Times New Roman" w:hAnsi="Times New Roman" w:eastAsia="CESI仿宋-GB2312" w:cs="Times New Roman"/>
                <w:color w:val="auto"/>
                <w:spacing w:val="0"/>
                <w:sz w:val="28"/>
                <w:szCs w:val="28"/>
              </w:rPr>
              <w:t>③所有拟派人员中，宿舍管理员（男女各）年龄55周岁</w:t>
            </w:r>
            <w:r>
              <w:rPr>
                <w:rFonts w:hint="eastAsia" w:ascii="Times New Roman" w:hAnsi="Times New Roman" w:eastAsia="CESI仿宋-GB2312" w:cs="Times New Roman"/>
                <w:color w:val="auto"/>
                <w:spacing w:val="0"/>
                <w:sz w:val="28"/>
                <w:szCs w:val="28"/>
                <w:lang w:eastAsia="zh-CN"/>
              </w:rPr>
              <w:t>以内</w:t>
            </w:r>
            <w:r>
              <w:rPr>
                <w:rFonts w:hint="default" w:ascii="Times New Roman" w:hAnsi="Times New Roman" w:eastAsia="CESI仿宋-GB2312" w:cs="Times New Roman"/>
                <w:color w:val="auto"/>
                <w:spacing w:val="0"/>
                <w:sz w:val="28"/>
                <w:szCs w:val="28"/>
              </w:rPr>
              <w:t>，其他岗位人员中男性55周岁</w:t>
            </w:r>
            <w:r>
              <w:rPr>
                <w:rFonts w:hint="eastAsia" w:ascii="Times New Roman" w:hAnsi="Times New Roman" w:eastAsia="CESI仿宋-GB2312" w:cs="Times New Roman"/>
                <w:color w:val="auto"/>
                <w:spacing w:val="0"/>
                <w:sz w:val="28"/>
                <w:szCs w:val="28"/>
                <w:lang w:eastAsia="zh-CN"/>
              </w:rPr>
              <w:t>以内</w:t>
            </w:r>
            <w:r>
              <w:rPr>
                <w:rFonts w:hint="default" w:ascii="Times New Roman" w:hAnsi="Times New Roman" w:eastAsia="CESI仿宋-GB2312" w:cs="Times New Roman"/>
                <w:color w:val="auto"/>
                <w:spacing w:val="0"/>
                <w:sz w:val="28"/>
                <w:szCs w:val="28"/>
              </w:rPr>
              <w:t>，女性50周岁</w:t>
            </w:r>
            <w:r>
              <w:rPr>
                <w:rFonts w:hint="eastAsia" w:ascii="Times New Roman" w:hAnsi="Times New Roman" w:eastAsia="CESI仿宋-GB2312" w:cs="Times New Roman"/>
                <w:color w:val="auto"/>
                <w:spacing w:val="0"/>
                <w:sz w:val="28"/>
                <w:szCs w:val="28"/>
                <w:lang w:eastAsia="zh-CN"/>
              </w:rPr>
              <w:t>以内</w:t>
            </w:r>
            <w:r>
              <w:rPr>
                <w:rFonts w:hint="default" w:ascii="Times New Roman" w:hAnsi="Times New Roman" w:eastAsia="CESI仿宋-GB2312" w:cs="Times New Roman"/>
                <w:color w:val="auto"/>
                <w:spacing w:val="0"/>
                <w:sz w:val="28"/>
                <w:szCs w:val="28"/>
              </w:rPr>
              <w:t>。</w:t>
            </w:r>
          </w:p>
          <w:p w14:paraId="7A8B97C8">
            <w:pPr>
              <w:pStyle w:val="269"/>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CESI仿宋-GB2312" w:cs="Times New Roman"/>
                <w:color w:val="auto"/>
                <w:spacing w:val="0"/>
                <w:sz w:val="28"/>
                <w:szCs w:val="28"/>
              </w:rPr>
            </w:pPr>
            <w:r>
              <w:rPr>
                <w:rFonts w:hint="default" w:ascii="Times New Roman" w:hAnsi="Times New Roman" w:eastAsia="CESI仿宋-GB2312" w:cs="Times New Roman"/>
                <w:color w:val="auto"/>
                <w:spacing w:val="0"/>
                <w:sz w:val="28"/>
                <w:szCs w:val="28"/>
              </w:rPr>
              <w:t>提供承诺函（格式自拟），符合上述要求的，得</w:t>
            </w:r>
            <w:r>
              <w:rPr>
                <w:rFonts w:hint="eastAsia" w:ascii="Times New Roman" w:hAnsi="Times New Roman" w:eastAsia="CESI仿宋-GB2312" w:cs="Times New Roman"/>
                <w:color w:val="auto"/>
                <w:spacing w:val="0"/>
                <w:sz w:val="28"/>
                <w:szCs w:val="28"/>
                <w:lang w:val="en-US" w:eastAsia="zh-CN"/>
              </w:rPr>
              <w:t>6</w:t>
            </w:r>
            <w:r>
              <w:rPr>
                <w:rFonts w:hint="default" w:ascii="Times New Roman" w:hAnsi="Times New Roman" w:eastAsia="CESI仿宋-GB2312" w:cs="Times New Roman"/>
                <w:color w:val="auto"/>
                <w:spacing w:val="0"/>
                <w:sz w:val="28"/>
                <w:szCs w:val="28"/>
              </w:rPr>
              <w:t>分；不符合者不得分。</w:t>
            </w:r>
          </w:p>
          <w:p w14:paraId="4E498CAA">
            <w:pPr>
              <w:pStyle w:val="269"/>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CESI仿宋-GB2312" w:cs="Times New Roman"/>
                <w:color w:val="auto"/>
                <w:spacing w:val="0"/>
                <w:sz w:val="28"/>
                <w:szCs w:val="28"/>
              </w:rPr>
            </w:pPr>
            <w:r>
              <w:rPr>
                <w:rFonts w:hint="default" w:ascii="Times New Roman" w:hAnsi="Times New Roman" w:eastAsia="CESI仿宋-GB2312" w:cs="Times New Roman"/>
                <w:color w:val="auto"/>
                <w:spacing w:val="0"/>
                <w:sz w:val="28"/>
                <w:szCs w:val="28"/>
              </w:rPr>
              <w:t>注：拟派人员须与实际派驻人员保持一致；所有人员不得重复任职，同一人持多项证书仅计</w:t>
            </w:r>
            <w:r>
              <w:rPr>
                <w:rFonts w:hint="default" w:ascii="Times New Roman" w:hAnsi="Times New Roman" w:eastAsia="CESI仿宋-GB2312" w:cs="Times New Roman"/>
                <w:color w:val="auto"/>
                <w:spacing w:val="0"/>
                <w:sz w:val="28"/>
                <w:szCs w:val="28"/>
                <w:lang w:val="en-US" w:eastAsia="zh-CN"/>
              </w:rPr>
              <w:t>1</w:t>
            </w:r>
            <w:r>
              <w:rPr>
                <w:rFonts w:hint="default" w:ascii="Times New Roman" w:hAnsi="Times New Roman" w:eastAsia="CESI仿宋-GB2312" w:cs="Times New Roman"/>
                <w:color w:val="auto"/>
                <w:spacing w:val="0"/>
                <w:sz w:val="28"/>
                <w:szCs w:val="28"/>
              </w:rPr>
              <w:t>次得分。</w:t>
            </w:r>
          </w:p>
          <w:p w14:paraId="556895C5">
            <w:pPr>
              <w:pStyle w:val="269"/>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CESI仿宋-GB2312" w:cs="Times New Roman"/>
                <w:color w:val="auto"/>
                <w:spacing w:val="0"/>
                <w:sz w:val="28"/>
                <w:szCs w:val="28"/>
              </w:rPr>
            </w:pPr>
            <w:r>
              <w:rPr>
                <w:rFonts w:hint="default" w:ascii="Times New Roman" w:hAnsi="Times New Roman" w:eastAsia="CESI仿宋-GB2312" w:cs="Times New Roman"/>
                <w:color w:val="auto"/>
                <w:spacing w:val="0"/>
                <w:sz w:val="28"/>
                <w:szCs w:val="28"/>
              </w:rPr>
              <w:t>需提供相关证书，并附与投标人签订的劳动合同或</w:t>
            </w:r>
            <w:r>
              <w:rPr>
                <w:rFonts w:hint="default" w:ascii="Times New Roman" w:hAnsi="Times New Roman" w:eastAsia="CESI仿宋-GB2312" w:cs="Times New Roman"/>
                <w:color w:val="auto"/>
                <w:spacing w:val="0"/>
                <w:sz w:val="28"/>
                <w:szCs w:val="28"/>
                <w:lang w:val="en-US" w:eastAsia="zh-CN"/>
              </w:rPr>
              <w:t>2025年1月1日以来</w:t>
            </w:r>
            <w:r>
              <w:rPr>
                <w:rFonts w:hint="default" w:ascii="Times New Roman" w:hAnsi="Times New Roman" w:eastAsia="CESI仿宋-GB2312" w:cs="Times New Roman"/>
                <w:color w:val="auto"/>
                <w:spacing w:val="0"/>
                <w:sz w:val="28"/>
                <w:szCs w:val="28"/>
              </w:rPr>
              <w:t>在本单位缴纳社保的证明材料。年龄计算以投标截止日为准。</w:t>
            </w:r>
          </w:p>
        </w:tc>
        <w:tc>
          <w:tcPr>
            <w:tcW w:w="506" w:type="dxa"/>
            <w:noWrap w:val="0"/>
            <w:vAlign w:val="center"/>
          </w:tcPr>
          <w:p w14:paraId="112B035B">
            <w:pPr>
              <w:pStyle w:val="269"/>
              <w:keepNext w:val="0"/>
              <w:keepLines w:val="0"/>
              <w:pageBreakBefore w:val="0"/>
              <w:kinsoku/>
              <w:wordWrap/>
              <w:overflowPunct/>
              <w:topLinePunct w:val="0"/>
              <w:autoSpaceDE/>
              <w:autoSpaceDN/>
              <w:bidi w:val="0"/>
              <w:adjustRightInd/>
              <w:snapToGrid/>
              <w:spacing w:line="460" w:lineRule="exact"/>
              <w:ind w:left="0" w:leftChars="0" w:right="0" w:rightChars="0"/>
              <w:jc w:val="center"/>
              <w:textAlignment w:val="auto"/>
              <w:rPr>
                <w:rFonts w:hint="default" w:ascii="Times New Roman" w:hAnsi="Times New Roman" w:eastAsia="CESI仿宋-GB2312" w:cs="Times New Roman"/>
                <w:color w:val="auto"/>
                <w:kern w:val="2"/>
                <w:sz w:val="28"/>
                <w:szCs w:val="28"/>
                <w:lang w:val="en-US" w:eastAsia="zh-CN" w:bidi="ar-SA"/>
              </w:rPr>
            </w:pPr>
            <w:r>
              <w:rPr>
                <w:rFonts w:hint="eastAsia" w:ascii="Times New Roman" w:hAnsi="Times New Roman" w:eastAsia="CESI仿宋-GB2312" w:cs="Times New Roman"/>
                <w:color w:val="auto"/>
                <w:spacing w:val="0"/>
                <w:sz w:val="28"/>
                <w:szCs w:val="28"/>
                <w:lang w:val="en-US" w:eastAsia="zh-CN"/>
              </w:rPr>
              <w:t>21</w:t>
            </w:r>
          </w:p>
        </w:tc>
      </w:tr>
      <w:tr w14:paraId="76EB7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vMerge w:val="continue"/>
            <w:noWrap w:val="0"/>
            <w:vAlign w:val="center"/>
          </w:tcPr>
          <w:p w14:paraId="7FE7C0D6">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CESI仿宋-GB2312" w:cs="Times New Roman"/>
                <w:b/>
                <w:bCs/>
                <w:color w:val="auto"/>
                <w:sz w:val="28"/>
                <w:szCs w:val="28"/>
              </w:rPr>
            </w:pPr>
          </w:p>
        </w:tc>
        <w:tc>
          <w:tcPr>
            <w:tcW w:w="1419" w:type="dxa"/>
            <w:noWrap w:val="0"/>
            <w:vAlign w:val="center"/>
          </w:tcPr>
          <w:p w14:paraId="7F5F64BA">
            <w:pPr>
              <w:pStyle w:val="269"/>
              <w:keepNext w:val="0"/>
              <w:keepLines w:val="0"/>
              <w:pageBreakBefore w:val="0"/>
              <w:kinsoku/>
              <w:wordWrap/>
              <w:overflowPunct/>
              <w:topLinePunct w:val="0"/>
              <w:autoSpaceDE/>
              <w:autoSpaceDN/>
              <w:bidi w:val="0"/>
              <w:adjustRightInd/>
              <w:snapToGrid/>
              <w:spacing w:line="460" w:lineRule="exact"/>
              <w:ind w:right="0" w:rightChars="0"/>
              <w:jc w:val="center"/>
              <w:textAlignment w:val="auto"/>
              <w:rPr>
                <w:rFonts w:hint="default" w:ascii="Times New Roman" w:hAnsi="Times New Roman" w:eastAsia="CESI仿宋-GB2312" w:cs="Times New Roman"/>
                <w:color w:val="auto"/>
                <w:spacing w:val="0"/>
                <w:sz w:val="28"/>
                <w:szCs w:val="28"/>
              </w:rPr>
            </w:pPr>
            <w:r>
              <w:rPr>
                <w:rFonts w:hint="default" w:ascii="Times New Roman" w:hAnsi="Times New Roman" w:eastAsia="CESI仿宋-GB2312" w:cs="Times New Roman"/>
                <w:color w:val="auto"/>
                <w:spacing w:val="0"/>
                <w:sz w:val="28"/>
                <w:szCs w:val="28"/>
              </w:rPr>
              <w:t>拟投入设备</w:t>
            </w:r>
          </w:p>
        </w:tc>
        <w:tc>
          <w:tcPr>
            <w:tcW w:w="6543" w:type="dxa"/>
            <w:noWrap w:val="0"/>
            <w:vAlign w:val="center"/>
          </w:tcPr>
          <w:p w14:paraId="59370ACC">
            <w:pPr>
              <w:keepNext w:val="0"/>
              <w:keepLines w:val="0"/>
              <w:pageBreakBefore w:val="0"/>
              <w:widowControl/>
              <w:numPr>
                <w:ilvl w:val="0"/>
                <w:numId w:val="0"/>
              </w:numPr>
              <w:kinsoku/>
              <w:wordWrap/>
              <w:overflowPunct/>
              <w:topLinePunct w:val="0"/>
              <w:autoSpaceDE w:val="0"/>
              <w:autoSpaceDN w:val="0"/>
              <w:bidi w:val="0"/>
              <w:adjustRightInd w:val="0"/>
              <w:spacing w:line="240" w:lineRule="auto"/>
              <w:ind w:right="210" w:rightChars="0"/>
              <w:textAlignment w:val="auto"/>
              <w:rPr>
                <w:rFonts w:hint="default" w:ascii="Times New Roman" w:hAnsi="Times New Roman" w:eastAsia="CESI仿宋-GB2312" w:cs="Times New Roman"/>
                <w:b/>
                <w:bCs/>
                <w:color w:val="auto"/>
                <w:spacing w:val="0"/>
                <w:sz w:val="28"/>
                <w:szCs w:val="28"/>
              </w:rPr>
            </w:pPr>
            <w:r>
              <w:rPr>
                <w:rFonts w:hint="default" w:ascii="Times New Roman" w:hAnsi="Times New Roman" w:eastAsia="CESI仿宋-GB2312" w:cs="Times New Roman"/>
                <w:color w:val="auto"/>
                <w:spacing w:val="0"/>
                <w:sz w:val="28"/>
                <w:szCs w:val="28"/>
                <w:lang w:eastAsia="zh-CN"/>
              </w:rPr>
              <w:t>投标人</w:t>
            </w:r>
            <w:r>
              <w:rPr>
                <w:rFonts w:hint="default" w:ascii="Times New Roman" w:hAnsi="Times New Roman" w:eastAsia="CESI仿宋-GB2312" w:cs="Times New Roman"/>
                <w:color w:val="auto"/>
                <w:spacing w:val="0"/>
                <w:sz w:val="28"/>
                <w:szCs w:val="28"/>
              </w:rPr>
              <w:t>承诺针对本项目需求足量配备校园驾驶式扫地车、手推式洗地机、保洁巡逻车、尘推车、高压洗地车、电动三轮车</w:t>
            </w:r>
            <w:r>
              <w:rPr>
                <w:rFonts w:hint="default"/>
                <w:color w:val="auto"/>
                <w:sz w:val="28"/>
                <w:szCs w:val="28"/>
                <w:lang w:eastAsia="zh-CN"/>
              </w:rPr>
              <w:t>，每提供</w:t>
            </w:r>
            <w:r>
              <w:rPr>
                <w:rFonts w:hint="default" w:ascii="Times New Roman" w:hAnsi="Times New Roman" w:eastAsia="CESI仿宋-GB2312" w:cs="Times New Roman"/>
                <w:color w:val="auto"/>
                <w:spacing w:val="0"/>
                <w:sz w:val="28"/>
                <w:szCs w:val="28"/>
              </w:rPr>
              <w:t>1种设备1分，最多得6分。（响应文件中须提供承诺函，包含设备名称、数量、图片及功能介绍，</w:t>
            </w:r>
            <w:r>
              <w:rPr>
                <w:rFonts w:hint="default" w:ascii="Times New Roman" w:hAnsi="Times New Roman" w:eastAsia="CESI仿宋-GB2312" w:cs="Times New Roman"/>
                <w:b w:val="0"/>
                <w:bCs w:val="0"/>
                <w:color w:val="auto"/>
                <w:spacing w:val="0"/>
                <w:sz w:val="28"/>
                <w:szCs w:val="28"/>
              </w:rPr>
              <w:t>格式自拟）</w:t>
            </w:r>
          </w:p>
        </w:tc>
        <w:tc>
          <w:tcPr>
            <w:tcW w:w="506" w:type="dxa"/>
            <w:noWrap w:val="0"/>
            <w:vAlign w:val="center"/>
          </w:tcPr>
          <w:p w14:paraId="384E0BB9">
            <w:pPr>
              <w:pStyle w:val="269"/>
              <w:keepNext w:val="0"/>
              <w:keepLines w:val="0"/>
              <w:pageBreakBefore w:val="0"/>
              <w:kinsoku/>
              <w:wordWrap/>
              <w:overflowPunct/>
              <w:topLinePunct w:val="0"/>
              <w:autoSpaceDE/>
              <w:autoSpaceDN/>
              <w:bidi w:val="0"/>
              <w:adjustRightInd/>
              <w:snapToGrid/>
              <w:spacing w:line="460" w:lineRule="exact"/>
              <w:ind w:left="0" w:leftChars="0" w:right="0" w:rightChars="0"/>
              <w:jc w:val="center"/>
              <w:textAlignment w:val="auto"/>
              <w:rPr>
                <w:rFonts w:hint="default" w:ascii="Times New Roman" w:hAnsi="Times New Roman" w:eastAsia="CESI仿宋-GB2312" w:cs="Times New Roman"/>
                <w:color w:val="auto"/>
                <w:kern w:val="2"/>
                <w:sz w:val="28"/>
                <w:szCs w:val="28"/>
                <w:lang w:val="en-US" w:eastAsia="zh-CN" w:bidi="ar-SA"/>
              </w:rPr>
            </w:pPr>
            <w:r>
              <w:rPr>
                <w:rFonts w:hint="default" w:ascii="Times New Roman" w:hAnsi="Times New Roman" w:eastAsia="CESI仿宋-GB2312" w:cs="Times New Roman"/>
                <w:color w:val="auto"/>
                <w:spacing w:val="0"/>
                <w:sz w:val="28"/>
                <w:szCs w:val="28"/>
              </w:rPr>
              <w:t>6</w:t>
            </w:r>
          </w:p>
        </w:tc>
      </w:tr>
      <w:tr w14:paraId="597CD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vMerge w:val="continue"/>
            <w:noWrap w:val="0"/>
            <w:vAlign w:val="center"/>
          </w:tcPr>
          <w:p w14:paraId="6E795EB3">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CESI仿宋-GB2312" w:cs="Times New Roman"/>
                <w:color w:val="auto"/>
                <w:sz w:val="28"/>
                <w:szCs w:val="28"/>
              </w:rPr>
            </w:pPr>
          </w:p>
        </w:tc>
        <w:tc>
          <w:tcPr>
            <w:tcW w:w="1419" w:type="dxa"/>
            <w:noWrap w:val="0"/>
            <w:vAlign w:val="center"/>
          </w:tcPr>
          <w:p w14:paraId="506447CE">
            <w:pPr>
              <w:pStyle w:val="269"/>
              <w:keepNext w:val="0"/>
              <w:keepLines w:val="0"/>
              <w:pageBreakBefore w:val="0"/>
              <w:kinsoku/>
              <w:wordWrap/>
              <w:overflowPunct/>
              <w:topLinePunct w:val="0"/>
              <w:autoSpaceDE/>
              <w:autoSpaceDN/>
              <w:bidi w:val="0"/>
              <w:adjustRightInd/>
              <w:snapToGrid/>
              <w:spacing w:line="460" w:lineRule="exact"/>
              <w:ind w:left="0" w:leftChars="0" w:right="0" w:rightChars="0"/>
              <w:jc w:val="center"/>
              <w:textAlignment w:val="auto"/>
              <w:rPr>
                <w:rFonts w:hint="default" w:ascii="Times New Roman" w:hAnsi="Times New Roman" w:eastAsia="CESI仿宋-GB2312" w:cs="Times New Roman"/>
                <w:color w:val="auto"/>
                <w:kern w:val="2"/>
                <w:sz w:val="28"/>
                <w:szCs w:val="28"/>
                <w:lang w:val="en-US" w:eastAsia="en-US" w:bidi="ar-SA"/>
              </w:rPr>
            </w:pPr>
            <w:r>
              <w:rPr>
                <w:rFonts w:hint="default" w:ascii="Times New Roman" w:hAnsi="Times New Roman" w:eastAsia="CESI仿宋-GB2312" w:cs="Times New Roman"/>
                <w:color w:val="auto"/>
                <w:spacing w:val="0"/>
                <w:sz w:val="28"/>
                <w:szCs w:val="28"/>
              </w:rPr>
              <w:t>组织架构及管理制度</w:t>
            </w:r>
          </w:p>
        </w:tc>
        <w:tc>
          <w:tcPr>
            <w:tcW w:w="6543" w:type="dxa"/>
            <w:noWrap w:val="0"/>
            <w:vAlign w:val="top"/>
          </w:tcPr>
          <w:p w14:paraId="000CB10C">
            <w:pPr>
              <w:rPr>
                <w:rFonts w:hint="default" w:ascii="Times New Roman" w:hAnsi="Times New Roman" w:eastAsia="仿宋" w:cs="Times New Roman"/>
                <w:color w:val="auto"/>
                <w:sz w:val="28"/>
                <w:szCs w:val="28"/>
              </w:rPr>
            </w:pPr>
            <w:r>
              <w:rPr>
                <w:rFonts w:hint="default" w:ascii="Times New Roman" w:hAnsi="Times New Roman" w:eastAsia="CESI仿宋-GB2312" w:cs="Times New Roman"/>
                <w:color w:val="auto"/>
                <w:spacing w:val="0"/>
                <w:sz w:val="28"/>
                <w:szCs w:val="28"/>
                <w:lang w:eastAsia="zh-CN"/>
              </w:rPr>
              <w:t>投标人</w:t>
            </w:r>
            <w:r>
              <w:rPr>
                <w:rFonts w:hint="default" w:ascii="Times New Roman" w:hAnsi="Times New Roman" w:eastAsia="CESI仿宋-GB2312" w:cs="Times New Roman"/>
                <w:color w:val="auto"/>
                <w:spacing w:val="0"/>
                <w:sz w:val="28"/>
                <w:szCs w:val="28"/>
              </w:rPr>
              <w:t>针对本项目，制定组织架构及管理制度。组织架构及管理制度应包括但不限于：组织架构设置、各项管理制度设置、服务质量检查、验收方法和标准、满意度测评方案等内容。</w:t>
            </w:r>
          </w:p>
          <w:p w14:paraId="44A35FD5">
            <w:pPr>
              <w:pStyle w:val="269"/>
              <w:keepNext w:val="0"/>
              <w:keepLines w:val="0"/>
              <w:pageBreakBefore w:val="0"/>
              <w:kinsoku/>
              <w:wordWrap/>
              <w:overflowPunct/>
              <w:topLinePunct w:val="0"/>
              <w:autoSpaceDE/>
              <w:autoSpaceDN/>
              <w:bidi w:val="0"/>
              <w:adjustRightInd/>
              <w:snapToGrid/>
              <w:spacing w:line="460" w:lineRule="exact"/>
              <w:ind w:left="0" w:leftChars="0" w:right="0" w:rightChars="0"/>
              <w:jc w:val="both"/>
              <w:textAlignment w:val="auto"/>
              <w:rPr>
                <w:rFonts w:hint="default" w:ascii="Times New Roman" w:hAnsi="Times New Roman" w:eastAsia="CESI仿宋-GB2312" w:cs="Times New Roman"/>
                <w:color w:val="auto"/>
                <w:sz w:val="28"/>
                <w:szCs w:val="28"/>
                <w:lang w:val="en-US" w:eastAsia="en-US"/>
              </w:rPr>
            </w:pPr>
            <w:r>
              <w:rPr>
                <w:rFonts w:hint="default" w:ascii="Times New Roman" w:hAnsi="Times New Roman" w:eastAsia="仿宋" w:cs="Times New Roman"/>
                <w:color w:val="auto"/>
                <w:sz w:val="28"/>
                <w:szCs w:val="28"/>
              </w:rPr>
              <w:t>内部管理制度完善，程序规范，责任明确，可操作性强，完全满足采购项目需求的得</w:t>
            </w:r>
            <w:r>
              <w:rPr>
                <w:rFonts w:hint="default" w:ascii="Times New Roman" w:hAnsi="Times New Roman" w:eastAsia="仿宋" w:cs="Times New Roman"/>
                <w:color w:val="auto"/>
                <w:sz w:val="28"/>
                <w:szCs w:val="28"/>
                <w:lang w:val="en-US" w:eastAsia="zh-CN"/>
              </w:rPr>
              <w:t>5</w:t>
            </w:r>
            <w:r>
              <w:rPr>
                <w:rFonts w:hint="default" w:ascii="Times New Roman" w:hAnsi="Times New Roman" w:eastAsia="仿宋" w:cs="Times New Roman"/>
                <w:color w:val="auto"/>
                <w:sz w:val="28"/>
                <w:szCs w:val="28"/>
              </w:rPr>
              <w:t>分；制度未贴合采购需求，或内容未</w:t>
            </w:r>
            <w:bookmarkStart w:id="660" w:name="_GoBack"/>
            <w:bookmarkEnd w:id="660"/>
            <w:r>
              <w:rPr>
                <w:rFonts w:hint="default" w:ascii="Times New Roman" w:hAnsi="Times New Roman" w:eastAsia="仿宋" w:cs="Times New Roman"/>
                <w:color w:val="auto"/>
                <w:sz w:val="28"/>
                <w:szCs w:val="28"/>
              </w:rPr>
              <w:t>包括具体细节的得</w:t>
            </w:r>
            <w:r>
              <w:rPr>
                <w:rFonts w:hint="default"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rPr>
              <w:t>分；制度存在明显缺陷，不能满足采购项目需求或操作性有缺陷的得1分；未提供内部管理制度的不得分。</w:t>
            </w:r>
          </w:p>
        </w:tc>
        <w:tc>
          <w:tcPr>
            <w:tcW w:w="506" w:type="dxa"/>
            <w:noWrap w:val="0"/>
            <w:vAlign w:val="center"/>
          </w:tcPr>
          <w:p w14:paraId="3544E7D0">
            <w:pPr>
              <w:pStyle w:val="269"/>
              <w:keepNext w:val="0"/>
              <w:keepLines w:val="0"/>
              <w:pageBreakBefore w:val="0"/>
              <w:kinsoku/>
              <w:wordWrap/>
              <w:overflowPunct/>
              <w:topLinePunct w:val="0"/>
              <w:autoSpaceDE/>
              <w:autoSpaceDN/>
              <w:bidi w:val="0"/>
              <w:adjustRightInd/>
              <w:snapToGrid/>
              <w:spacing w:line="460" w:lineRule="exact"/>
              <w:ind w:left="0" w:leftChars="0" w:right="0" w:rightChars="0"/>
              <w:jc w:val="center"/>
              <w:textAlignment w:val="auto"/>
              <w:rPr>
                <w:rFonts w:hint="default" w:ascii="Times New Roman" w:hAnsi="Times New Roman" w:eastAsia="CESI仿宋-GB2312" w:cs="Times New Roman"/>
                <w:color w:val="auto"/>
                <w:kern w:val="2"/>
                <w:sz w:val="28"/>
                <w:szCs w:val="28"/>
                <w:lang w:val="en-US" w:eastAsia="en-US" w:bidi="ar-SA"/>
              </w:rPr>
            </w:pPr>
            <w:r>
              <w:rPr>
                <w:rFonts w:hint="default" w:ascii="Times New Roman" w:hAnsi="Times New Roman" w:eastAsia="CESI仿宋-GB2312" w:cs="Times New Roman"/>
                <w:color w:val="auto"/>
                <w:spacing w:val="0"/>
                <w:sz w:val="28"/>
                <w:szCs w:val="28"/>
              </w:rPr>
              <w:t>5</w:t>
            </w:r>
          </w:p>
        </w:tc>
      </w:tr>
      <w:tr w14:paraId="76E3B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vMerge w:val="continue"/>
            <w:noWrap w:val="0"/>
            <w:vAlign w:val="center"/>
          </w:tcPr>
          <w:p w14:paraId="7AC9260A">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CESI仿宋-GB2312" w:cs="Times New Roman"/>
                <w:color w:val="auto"/>
                <w:sz w:val="28"/>
                <w:szCs w:val="28"/>
                <w:highlight w:val="none"/>
              </w:rPr>
            </w:pPr>
          </w:p>
        </w:tc>
        <w:tc>
          <w:tcPr>
            <w:tcW w:w="1419" w:type="dxa"/>
            <w:noWrap w:val="0"/>
            <w:vAlign w:val="center"/>
          </w:tcPr>
          <w:p w14:paraId="74724D6F">
            <w:pPr>
              <w:pStyle w:val="269"/>
              <w:keepNext w:val="0"/>
              <w:keepLines w:val="0"/>
              <w:pageBreakBefore w:val="0"/>
              <w:kinsoku/>
              <w:wordWrap/>
              <w:overflowPunct/>
              <w:topLinePunct w:val="0"/>
              <w:autoSpaceDE/>
              <w:autoSpaceDN/>
              <w:bidi w:val="0"/>
              <w:adjustRightInd/>
              <w:snapToGrid/>
              <w:spacing w:line="460" w:lineRule="exact"/>
              <w:ind w:right="0" w:rightChars="0"/>
              <w:jc w:val="center"/>
              <w:textAlignment w:val="auto"/>
              <w:rPr>
                <w:rFonts w:hint="default" w:ascii="Times New Roman" w:hAnsi="Times New Roman" w:eastAsia="CESI仿宋-GB2312" w:cs="Times New Roman"/>
                <w:color w:val="auto"/>
                <w:kern w:val="2"/>
                <w:sz w:val="28"/>
                <w:szCs w:val="28"/>
                <w:highlight w:val="none"/>
                <w:lang w:val="en-US" w:eastAsia="en-US" w:bidi="ar-SA"/>
              </w:rPr>
            </w:pPr>
            <w:r>
              <w:rPr>
                <w:rFonts w:hint="default" w:ascii="Times New Roman" w:hAnsi="Times New Roman" w:eastAsia="CESI仿宋-GB2312" w:cs="Times New Roman"/>
                <w:color w:val="auto"/>
                <w:spacing w:val="0"/>
                <w:sz w:val="28"/>
                <w:szCs w:val="28"/>
              </w:rPr>
              <w:t>信息化服务水平</w:t>
            </w:r>
          </w:p>
        </w:tc>
        <w:tc>
          <w:tcPr>
            <w:tcW w:w="6543" w:type="dxa"/>
            <w:noWrap w:val="0"/>
            <w:vAlign w:val="top"/>
          </w:tcPr>
          <w:p w14:paraId="5ED2A7A4">
            <w:pPr>
              <w:pStyle w:val="269"/>
              <w:keepNext w:val="0"/>
              <w:keepLines w:val="0"/>
              <w:pageBreakBefore w:val="0"/>
              <w:kinsoku/>
              <w:wordWrap/>
              <w:overflowPunct/>
              <w:topLinePunct w:val="0"/>
              <w:autoSpaceDE/>
              <w:autoSpaceDN/>
              <w:bidi w:val="0"/>
              <w:adjustRightInd/>
              <w:snapToGrid/>
              <w:spacing w:line="460" w:lineRule="exact"/>
              <w:ind w:left="0" w:leftChars="0" w:right="0" w:rightChars="0"/>
              <w:jc w:val="both"/>
              <w:textAlignment w:val="auto"/>
              <w:rPr>
                <w:rFonts w:hint="default" w:ascii="Times New Roman" w:hAnsi="Times New Roman" w:eastAsia="CESI仿宋-GB2312" w:cs="Times New Roman"/>
                <w:color w:val="auto"/>
                <w:kern w:val="2"/>
                <w:sz w:val="28"/>
                <w:szCs w:val="28"/>
                <w:highlight w:val="none"/>
                <w:lang w:val="en-US" w:eastAsia="en-US" w:bidi="ar-SA"/>
              </w:rPr>
            </w:pPr>
            <w:r>
              <w:rPr>
                <w:rFonts w:hint="eastAsia" w:ascii="Times New Roman" w:hAnsi="Times New Roman" w:eastAsia="CESI仿宋-GB2312" w:cs="Times New Roman"/>
                <w:color w:val="auto"/>
                <w:spacing w:val="0"/>
                <w:sz w:val="28"/>
                <w:szCs w:val="28"/>
                <w:lang w:eastAsia="zh-CN"/>
              </w:rPr>
              <w:t>投标人在</w:t>
            </w:r>
            <w:r>
              <w:rPr>
                <w:rFonts w:hint="default" w:ascii="Times New Roman" w:hAnsi="Times New Roman" w:eastAsia="CESI仿宋-GB2312" w:cs="Times New Roman"/>
                <w:color w:val="auto"/>
                <w:spacing w:val="0"/>
                <w:sz w:val="28"/>
                <w:szCs w:val="28"/>
              </w:rPr>
              <w:t>本项目采用物业管理软件或平台进行物业辅助管理，具备设备台账、微信报修、工单分配、工单过程查询、校园信息发布、数据分析等基本服务功能。其中：（1）提供有效期内的物业软件租用（或购买）合同或自主研发物业软件著作权属相关证明的，得</w:t>
            </w:r>
            <w:r>
              <w:rPr>
                <w:rFonts w:hint="eastAsia" w:ascii="Times New Roman" w:hAnsi="Times New Roman" w:eastAsia="CESI仿宋-GB2312" w:cs="Times New Roman"/>
                <w:color w:val="auto"/>
                <w:spacing w:val="0"/>
                <w:sz w:val="28"/>
                <w:szCs w:val="28"/>
                <w:lang w:val="en-US" w:eastAsia="zh-CN"/>
              </w:rPr>
              <w:t>3</w:t>
            </w:r>
            <w:r>
              <w:rPr>
                <w:rFonts w:hint="default" w:ascii="Times New Roman" w:hAnsi="Times New Roman" w:eastAsia="CESI仿宋-GB2312" w:cs="Times New Roman"/>
                <w:color w:val="auto"/>
                <w:spacing w:val="0"/>
                <w:sz w:val="28"/>
                <w:szCs w:val="28"/>
              </w:rPr>
              <w:t>分；（2）提供客户使用物业软件系统或平台应用证明书盖章原件扫描件，每提供一份得1分，最高得2分。该项满分</w:t>
            </w:r>
            <w:r>
              <w:rPr>
                <w:rFonts w:hint="eastAsia" w:ascii="Times New Roman" w:hAnsi="Times New Roman" w:eastAsia="CESI仿宋-GB2312" w:cs="Times New Roman"/>
                <w:color w:val="auto"/>
                <w:spacing w:val="0"/>
                <w:sz w:val="28"/>
                <w:szCs w:val="28"/>
                <w:lang w:val="en-US" w:eastAsia="zh-CN"/>
              </w:rPr>
              <w:t>5</w:t>
            </w:r>
            <w:r>
              <w:rPr>
                <w:rFonts w:hint="default" w:ascii="Times New Roman" w:hAnsi="Times New Roman" w:eastAsia="CESI仿宋-GB2312" w:cs="Times New Roman"/>
                <w:color w:val="auto"/>
                <w:spacing w:val="0"/>
                <w:sz w:val="28"/>
                <w:szCs w:val="28"/>
              </w:rPr>
              <w:t>分。</w:t>
            </w:r>
          </w:p>
        </w:tc>
        <w:tc>
          <w:tcPr>
            <w:tcW w:w="506" w:type="dxa"/>
            <w:noWrap w:val="0"/>
            <w:vAlign w:val="center"/>
          </w:tcPr>
          <w:p w14:paraId="612DE9A0">
            <w:pPr>
              <w:pStyle w:val="269"/>
              <w:keepNext w:val="0"/>
              <w:keepLines w:val="0"/>
              <w:pageBreakBefore w:val="0"/>
              <w:kinsoku/>
              <w:wordWrap/>
              <w:overflowPunct/>
              <w:topLinePunct w:val="0"/>
              <w:autoSpaceDE/>
              <w:autoSpaceDN/>
              <w:bidi w:val="0"/>
              <w:adjustRightInd/>
              <w:snapToGrid/>
              <w:spacing w:line="460" w:lineRule="exact"/>
              <w:ind w:left="0" w:leftChars="0" w:right="0" w:rightChars="0"/>
              <w:jc w:val="center"/>
              <w:textAlignment w:val="auto"/>
              <w:rPr>
                <w:rFonts w:hint="default" w:ascii="Times New Roman" w:hAnsi="Times New Roman" w:eastAsia="CESI仿宋-GB2312" w:cs="Times New Roman"/>
                <w:color w:val="auto"/>
                <w:kern w:val="2"/>
                <w:sz w:val="28"/>
                <w:szCs w:val="28"/>
                <w:highlight w:val="none"/>
                <w:lang w:val="en-US" w:eastAsia="zh-CN" w:bidi="ar-SA"/>
              </w:rPr>
            </w:pPr>
            <w:r>
              <w:rPr>
                <w:rFonts w:hint="eastAsia" w:ascii="Times New Roman" w:hAnsi="Times New Roman" w:eastAsia="CESI仿宋-GB2312" w:cs="Times New Roman"/>
                <w:color w:val="auto"/>
                <w:spacing w:val="0"/>
                <w:sz w:val="28"/>
                <w:szCs w:val="28"/>
                <w:lang w:val="en-US" w:eastAsia="zh-CN"/>
              </w:rPr>
              <w:t>5</w:t>
            </w:r>
          </w:p>
        </w:tc>
      </w:tr>
      <w:tr w14:paraId="17EAA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vMerge w:val="continue"/>
            <w:noWrap w:val="0"/>
            <w:vAlign w:val="center"/>
          </w:tcPr>
          <w:p w14:paraId="52E13821">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CESI仿宋-GB2312" w:cs="Times New Roman"/>
                <w:color w:val="auto"/>
                <w:sz w:val="28"/>
                <w:szCs w:val="28"/>
              </w:rPr>
            </w:pPr>
          </w:p>
        </w:tc>
        <w:tc>
          <w:tcPr>
            <w:tcW w:w="1419" w:type="dxa"/>
            <w:noWrap w:val="0"/>
            <w:vAlign w:val="center"/>
          </w:tcPr>
          <w:p w14:paraId="51DBB0D0">
            <w:pPr>
              <w:pStyle w:val="269"/>
              <w:keepNext w:val="0"/>
              <w:keepLines w:val="0"/>
              <w:pageBreakBefore w:val="0"/>
              <w:kinsoku/>
              <w:wordWrap/>
              <w:overflowPunct/>
              <w:topLinePunct w:val="0"/>
              <w:autoSpaceDE/>
              <w:autoSpaceDN/>
              <w:bidi w:val="0"/>
              <w:adjustRightInd/>
              <w:snapToGrid/>
              <w:spacing w:line="460" w:lineRule="exact"/>
              <w:ind w:right="0" w:rightChars="0"/>
              <w:jc w:val="center"/>
              <w:textAlignment w:val="auto"/>
              <w:rPr>
                <w:rFonts w:hint="default" w:ascii="Times New Roman" w:hAnsi="Times New Roman" w:eastAsia="CESI仿宋-GB2312" w:cs="Times New Roman"/>
                <w:color w:val="auto"/>
                <w:kern w:val="2"/>
                <w:sz w:val="28"/>
                <w:szCs w:val="28"/>
                <w:lang w:val="en-US" w:eastAsia="en-US" w:bidi="ar-SA"/>
              </w:rPr>
            </w:pPr>
            <w:r>
              <w:rPr>
                <w:rFonts w:hint="default" w:ascii="Times New Roman" w:hAnsi="Times New Roman" w:eastAsia="CESI仿宋-GB2312" w:cs="Times New Roman"/>
                <w:color w:val="auto"/>
                <w:spacing w:val="0"/>
                <w:sz w:val="28"/>
                <w:szCs w:val="28"/>
                <w:lang w:val="en-US" w:eastAsia="zh-CN"/>
              </w:rPr>
              <w:t>培</w:t>
            </w:r>
            <w:r>
              <w:rPr>
                <w:rFonts w:hint="default" w:ascii="Times New Roman" w:hAnsi="Times New Roman" w:eastAsia="CESI仿宋-GB2312" w:cs="Times New Roman"/>
                <w:color w:val="auto"/>
                <w:spacing w:val="0"/>
                <w:sz w:val="28"/>
                <w:szCs w:val="28"/>
                <w:lang w:eastAsia="zh-CN"/>
              </w:rPr>
              <w:t>训方案</w:t>
            </w:r>
          </w:p>
        </w:tc>
        <w:tc>
          <w:tcPr>
            <w:tcW w:w="6543" w:type="dxa"/>
            <w:noWrap w:val="0"/>
            <w:vAlign w:val="top"/>
          </w:tcPr>
          <w:p w14:paraId="1302FFD6">
            <w:pPr>
              <w:pStyle w:val="269"/>
              <w:keepNext w:val="0"/>
              <w:keepLines w:val="0"/>
              <w:pageBreakBefore w:val="0"/>
              <w:kinsoku/>
              <w:wordWrap/>
              <w:overflowPunct/>
              <w:topLinePunct w:val="0"/>
              <w:autoSpaceDE/>
              <w:autoSpaceDN/>
              <w:bidi w:val="0"/>
              <w:adjustRightInd/>
              <w:snapToGrid/>
              <w:spacing w:line="460" w:lineRule="exact"/>
              <w:ind w:left="0" w:leftChars="0" w:right="0" w:rightChars="0"/>
              <w:jc w:val="both"/>
              <w:textAlignment w:val="auto"/>
              <w:rPr>
                <w:rFonts w:hint="default" w:ascii="Times New Roman" w:hAnsi="Times New Roman" w:eastAsia="CESI仿宋-GB2312" w:cs="Times New Roman"/>
                <w:color w:val="auto"/>
                <w:kern w:val="2"/>
                <w:sz w:val="28"/>
                <w:szCs w:val="28"/>
                <w:lang w:val="en-US" w:eastAsia="en-US" w:bidi="ar-SA"/>
              </w:rPr>
            </w:pPr>
            <w:r>
              <w:rPr>
                <w:rFonts w:hint="default" w:ascii="Times New Roman" w:hAnsi="Times New Roman" w:eastAsia="CESI仿宋-GB2312" w:cs="Times New Roman"/>
                <w:color w:val="auto"/>
                <w:spacing w:val="0"/>
                <w:sz w:val="28"/>
                <w:szCs w:val="28"/>
                <w:lang w:eastAsia="zh-CN"/>
              </w:rPr>
              <w:t>投标人</w:t>
            </w:r>
            <w:r>
              <w:rPr>
                <w:rFonts w:hint="default" w:ascii="Times New Roman" w:hAnsi="Times New Roman" w:eastAsia="CESI仿宋-GB2312" w:cs="Times New Roman"/>
                <w:color w:val="auto"/>
                <w:spacing w:val="0"/>
                <w:sz w:val="28"/>
                <w:szCs w:val="28"/>
              </w:rPr>
              <w:t>结合实际，针对本项目特点，制定人员培训方案。方案应包括但不限于：培训的时间、地点、目标方式、内容、对象和措施</w:t>
            </w:r>
            <w:r>
              <w:rPr>
                <w:rFonts w:hint="default" w:ascii="Times New Roman" w:hAnsi="Times New Roman" w:eastAsia="CESI仿宋-GB2312" w:cs="Times New Roman"/>
                <w:color w:val="auto"/>
                <w:spacing w:val="0"/>
                <w:sz w:val="28"/>
                <w:szCs w:val="28"/>
                <w:lang w:eastAsia="zh-CN"/>
              </w:rPr>
              <w:t>。</w:t>
            </w:r>
            <w:r>
              <w:rPr>
                <w:rFonts w:hint="default" w:ascii="Times New Roman" w:hAnsi="Times New Roman" w:eastAsia="仿宋" w:cs="Times New Roman"/>
                <w:color w:val="auto"/>
                <w:sz w:val="28"/>
                <w:szCs w:val="28"/>
              </w:rPr>
              <w:t>投标人对每项内容论述详细,完全贴合项目采购需求的得</w:t>
            </w:r>
            <w:r>
              <w:rPr>
                <w:rFonts w:hint="default" w:ascii="Times New Roman" w:hAnsi="Times New Roman" w:eastAsia="仿宋" w:cs="Times New Roman"/>
                <w:color w:val="auto"/>
                <w:sz w:val="28"/>
                <w:szCs w:val="28"/>
                <w:lang w:val="en-US" w:eastAsia="zh-CN"/>
              </w:rPr>
              <w:t>5</w:t>
            </w:r>
            <w:r>
              <w:rPr>
                <w:rFonts w:hint="default" w:ascii="Times New Roman" w:hAnsi="Times New Roman" w:eastAsia="仿宋" w:cs="Times New Roman"/>
                <w:color w:val="auto"/>
                <w:sz w:val="28"/>
                <w:szCs w:val="28"/>
              </w:rPr>
              <w:t>分;投标人对每项内容虽阐述但未贴合采购需求进行论述,或内容未包括具体细节的得</w:t>
            </w:r>
            <w:r>
              <w:rPr>
                <w:rFonts w:hint="default"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rPr>
              <w:t xml:space="preserve">分;投标人提供的内容不完整存在明显缺陷的得 </w:t>
            </w:r>
            <w:r>
              <w:rPr>
                <w:rFonts w:hint="default"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rPr>
              <w:t>分;未提供应相关内容的得 0 分。</w:t>
            </w:r>
          </w:p>
        </w:tc>
        <w:tc>
          <w:tcPr>
            <w:tcW w:w="506" w:type="dxa"/>
            <w:noWrap w:val="0"/>
            <w:vAlign w:val="center"/>
          </w:tcPr>
          <w:p w14:paraId="531D1A33">
            <w:pPr>
              <w:pStyle w:val="269"/>
              <w:keepNext w:val="0"/>
              <w:keepLines w:val="0"/>
              <w:pageBreakBefore w:val="0"/>
              <w:kinsoku/>
              <w:wordWrap/>
              <w:overflowPunct/>
              <w:topLinePunct w:val="0"/>
              <w:autoSpaceDE/>
              <w:autoSpaceDN/>
              <w:bidi w:val="0"/>
              <w:adjustRightInd/>
              <w:snapToGrid/>
              <w:spacing w:line="460" w:lineRule="exact"/>
              <w:ind w:left="0" w:leftChars="0" w:right="0" w:rightChars="0"/>
              <w:jc w:val="center"/>
              <w:textAlignment w:val="auto"/>
              <w:rPr>
                <w:rFonts w:hint="default" w:ascii="Times New Roman" w:hAnsi="Times New Roman" w:eastAsia="CESI仿宋-GB2312" w:cs="Times New Roman"/>
                <w:color w:val="auto"/>
                <w:kern w:val="2"/>
                <w:sz w:val="28"/>
                <w:szCs w:val="28"/>
                <w:lang w:val="en-US" w:eastAsia="zh-CN" w:bidi="ar-SA"/>
              </w:rPr>
            </w:pPr>
            <w:r>
              <w:rPr>
                <w:rFonts w:hint="default" w:ascii="Times New Roman" w:hAnsi="Times New Roman" w:eastAsia="CESI仿宋-GB2312" w:cs="Times New Roman"/>
                <w:color w:val="auto"/>
                <w:spacing w:val="0"/>
                <w:sz w:val="28"/>
                <w:szCs w:val="28"/>
                <w:lang w:val="en-US" w:eastAsia="zh-CN"/>
              </w:rPr>
              <w:t>5</w:t>
            </w:r>
          </w:p>
        </w:tc>
      </w:tr>
      <w:tr w14:paraId="6DE9B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vMerge w:val="continue"/>
            <w:noWrap w:val="0"/>
            <w:vAlign w:val="center"/>
          </w:tcPr>
          <w:p w14:paraId="1D8033DE">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CESI仿宋-GB2312" w:cs="Times New Roman"/>
                <w:color w:val="auto"/>
                <w:sz w:val="28"/>
                <w:szCs w:val="28"/>
              </w:rPr>
            </w:pPr>
          </w:p>
        </w:tc>
        <w:tc>
          <w:tcPr>
            <w:tcW w:w="1419" w:type="dxa"/>
            <w:noWrap w:val="0"/>
            <w:vAlign w:val="center"/>
          </w:tcPr>
          <w:p w14:paraId="154C6AA7">
            <w:pPr>
              <w:pStyle w:val="269"/>
              <w:keepNext w:val="0"/>
              <w:keepLines w:val="0"/>
              <w:pageBreakBefore w:val="0"/>
              <w:kinsoku/>
              <w:wordWrap/>
              <w:overflowPunct/>
              <w:topLinePunct w:val="0"/>
              <w:autoSpaceDE/>
              <w:autoSpaceDN/>
              <w:bidi w:val="0"/>
              <w:adjustRightInd/>
              <w:snapToGrid/>
              <w:spacing w:line="460" w:lineRule="exact"/>
              <w:ind w:left="0" w:leftChars="0" w:right="0" w:rightChars="0"/>
              <w:jc w:val="center"/>
              <w:textAlignment w:val="auto"/>
              <w:rPr>
                <w:rFonts w:hint="default" w:ascii="Times New Roman" w:hAnsi="Times New Roman" w:eastAsia="CESI仿宋-GB2312" w:cs="Times New Roman"/>
                <w:color w:val="auto"/>
                <w:kern w:val="2"/>
                <w:sz w:val="28"/>
                <w:szCs w:val="28"/>
                <w:lang w:val="en-US" w:eastAsia="en-US" w:bidi="ar-SA"/>
              </w:rPr>
            </w:pPr>
            <w:r>
              <w:rPr>
                <w:rFonts w:hint="default" w:ascii="Times New Roman" w:hAnsi="Times New Roman" w:eastAsia="CESI仿宋-GB2312" w:cs="Times New Roman"/>
                <w:color w:val="auto"/>
                <w:spacing w:val="0"/>
                <w:sz w:val="28"/>
                <w:szCs w:val="28"/>
              </w:rPr>
              <w:t>质量保证措施</w:t>
            </w:r>
          </w:p>
        </w:tc>
        <w:tc>
          <w:tcPr>
            <w:tcW w:w="6543" w:type="dxa"/>
            <w:noWrap w:val="0"/>
            <w:vAlign w:val="top"/>
          </w:tcPr>
          <w:p w14:paraId="64141692">
            <w:pPr>
              <w:pStyle w:val="269"/>
              <w:keepNext w:val="0"/>
              <w:keepLines w:val="0"/>
              <w:pageBreakBefore w:val="0"/>
              <w:kinsoku/>
              <w:wordWrap/>
              <w:overflowPunct/>
              <w:topLinePunct w:val="0"/>
              <w:autoSpaceDE/>
              <w:autoSpaceDN/>
              <w:bidi w:val="0"/>
              <w:adjustRightInd/>
              <w:snapToGrid/>
              <w:spacing w:line="460" w:lineRule="exact"/>
              <w:ind w:left="0" w:leftChars="0" w:right="0" w:rightChars="0" w:firstLine="1" w:firstLineChars="0"/>
              <w:jc w:val="both"/>
              <w:textAlignment w:val="auto"/>
              <w:rPr>
                <w:rFonts w:hint="default" w:ascii="Times New Roman" w:hAnsi="Times New Roman" w:eastAsia="CESI仿宋-GB2312" w:cs="Times New Roman"/>
                <w:color w:val="auto"/>
                <w:kern w:val="2"/>
                <w:sz w:val="28"/>
                <w:szCs w:val="28"/>
                <w:lang w:val="en-US" w:eastAsia="en-US" w:bidi="ar-SA"/>
              </w:rPr>
            </w:pPr>
            <w:r>
              <w:rPr>
                <w:rFonts w:hint="default" w:ascii="Times New Roman" w:hAnsi="Times New Roman" w:eastAsia="CESI仿宋-GB2312" w:cs="Times New Roman"/>
                <w:color w:val="auto"/>
                <w:spacing w:val="0"/>
                <w:sz w:val="28"/>
                <w:szCs w:val="28"/>
                <w:lang w:eastAsia="zh-CN"/>
              </w:rPr>
              <w:t>投标人</w:t>
            </w:r>
            <w:r>
              <w:rPr>
                <w:rFonts w:hint="default" w:ascii="Times New Roman" w:hAnsi="Times New Roman" w:eastAsia="CESI仿宋-GB2312" w:cs="Times New Roman"/>
                <w:color w:val="auto"/>
                <w:spacing w:val="0"/>
                <w:sz w:val="28"/>
                <w:szCs w:val="28"/>
              </w:rPr>
              <w:t>针对实现本项目服务目标，制定质量保证措施。质量保证措施应包括但不限于：质量管控、保证措施、质量保证制度、质量标准、检查方法等内容。</w:t>
            </w:r>
            <w:r>
              <w:rPr>
                <w:rFonts w:hint="default" w:ascii="Times New Roman" w:hAnsi="Times New Roman" w:eastAsia="仿宋" w:cs="Times New Roman"/>
                <w:color w:val="auto"/>
                <w:sz w:val="28"/>
                <w:szCs w:val="28"/>
              </w:rPr>
              <w:t>投标人对每项</w:t>
            </w:r>
            <w:r>
              <w:rPr>
                <w:rFonts w:hint="default" w:ascii="Times New Roman" w:hAnsi="Times New Roman" w:eastAsia="CESI仿宋-GB2312" w:cs="Times New Roman"/>
                <w:color w:val="auto"/>
                <w:spacing w:val="0"/>
                <w:sz w:val="28"/>
                <w:szCs w:val="28"/>
              </w:rPr>
              <w:t>内容</w:t>
            </w:r>
            <w:r>
              <w:rPr>
                <w:rFonts w:hint="default" w:ascii="Times New Roman" w:hAnsi="Times New Roman" w:eastAsia="仿宋" w:cs="Times New Roman"/>
                <w:color w:val="auto"/>
                <w:sz w:val="28"/>
                <w:szCs w:val="28"/>
              </w:rPr>
              <w:t>论述详细,完全贴合</w:t>
            </w:r>
            <w:r>
              <w:rPr>
                <w:rFonts w:hint="default" w:ascii="Times New Roman" w:hAnsi="Times New Roman" w:eastAsia="CESI仿宋-GB2312" w:cs="Times New Roman"/>
                <w:color w:val="auto"/>
                <w:spacing w:val="0"/>
                <w:sz w:val="28"/>
                <w:szCs w:val="28"/>
              </w:rPr>
              <w:t>项目采购需求的得</w:t>
            </w:r>
            <w:r>
              <w:rPr>
                <w:rFonts w:hint="default" w:ascii="Times New Roman" w:hAnsi="Times New Roman" w:eastAsia="CESI仿宋-GB2312" w:cs="Times New Roman"/>
                <w:color w:val="auto"/>
                <w:spacing w:val="0"/>
                <w:sz w:val="28"/>
                <w:szCs w:val="28"/>
                <w:lang w:val="en-US" w:eastAsia="zh-CN"/>
              </w:rPr>
              <w:t>5</w:t>
            </w:r>
            <w:r>
              <w:rPr>
                <w:rFonts w:hint="default" w:ascii="Times New Roman" w:hAnsi="Times New Roman" w:eastAsia="CESI仿宋-GB2312" w:cs="Times New Roman"/>
                <w:color w:val="auto"/>
                <w:spacing w:val="0"/>
                <w:sz w:val="28"/>
                <w:szCs w:val="28"/>
              </w:rPr>
              <w:t>分</w:t>
            </w:r>
            <w:r>
              <w:rPr>
                <w:rFonts w:hint="default" w:ascii="Times New Roman" w:hAnsi="Times New Roman" w:eastAsia="仿宋" w:cs="Times New Roman"/>
                <w:color w:val="auto"/>
                <w:sz w:val="28"/>
                <w:szCs w:val="28"/>
              </w:rPr>
              <w:t>;投标人对每项</w:t>
            </w:r>
            <w:r>
              <w:rPr>
                <w:rFonts w:hint="default" w:ascii="Times New Roman" w:hAnsi="Times New Roman" w:eastAsia="CESI仿宋-GB2312" w:cs="Times New Roman"/>
                <w:color w:val="auto"/>
                <w:spacing w:val="0"/>
                <w:sz w:val="28"/>
                <w:szCs w:val="28"/>
              </w:rPr>
              <w:t>内容</w:t>
            </w:r>
            <w:r>
              <w:rPr>
                <w:rFonts w:hint="default" w:ascii="Times New Roman" w:hAnsi="Times New Roman" w:eastAsia="仿宋" w:cs="Times New Roman"/>
                <w:color w:val="auto"/>
                <w:sz w:val="28"/>
                <w:szCs w:val="28"/>
              </w:rPr>
              <w:t>虽阐述但未贴合</w:t>
            </w:r>
            <w:r>
              <w:rPr>
                <w:rFonts w:hint="default" w:ascii="Times New Roman" w:hAnsi="Times New Roman" w:eastAsia="CESI仿宋-GB2312" w:cs="Times New Roman"/>
                <w:color w:val="auto"/>
                <w:spacing w:val="0"/>
                <w:sz w:val="28"/>
                <w:szCs w:val="28"/>
              </w:rPr>
              <w:t>采购需求</w:t>
            </w:r>
            <w:r>
              <w:rPr>
                <w:rFonts w:hint="default" w:ascii="Times New Roman" w:hAnsi="Times New Roman" w:eastAsia="仿宋" w:cs="Times New Roman"/>
                <w:color w:val="auto"/>
                <w:sz w:val="28"/>
                <w:szCs w:val="28"/>
              </w:rPr>
              <w:t>进行论述,或内容未包括具体</w:t>
            </w:r>
            <w:r>
              <w:rPr>
                <w:rFonts w:hint="default" w:ascii="Times New Roman" w:hAnsi="Times New Roman" w:eastAsia="CESI仿宋-GB2312" w:cs="Times New Roman"/>
                <w:color w:val="auto"/>
                <w:spacing w:val="0"/>
                <w:sz w:val="28"/>
                <w:szCs w:val="28"/>
              </w:rPr>
              <w:t>细节</w:t>
            </w:r>
            <w:r>
              <w:rPr>
                <w:rFonts w:hint="default" w:ascii="Times New Roman" w:hAnsi="Times New Roman" w:eastAsia="仿宋" w:cs="Times New Roman"/>
                <w:color w:val="auto"/>
                <w:sz w:val="28"/>
                <w:szCs w:val="28"/>
              </w:rPr>
              <w:t>的得</w:t>
            </w:r>
            <w:r>
              <w:rPr>
                <w:rFonts w:hint="default"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rPr>
              <w:t>分;投标人提供的</w:t>
            </w:r>
            <w:r>
              <w:rPr>
                <w:rFonts w:hint="default" w:ascii="Times New Roman" w:hAnsi="Times New Roman" w:eastAsia="CESI仿宋-GB2312" w:cs="Times New Roman"/>
                <w:color w:val="auto"/>
                <w:spacing w:val="0"/>
                <w:sz w:val="28"/>
                <w:szCs w:val="28"/>
              </w:rPr>
              <w:t>内容</w:t>
            </w:r>
            <w:r>
              <w:rPr>
                <w:rFonts w:hint="default" w:ascii="Times New Roman" w:hAnsi="Times New Roman" w:eastAsia="仿宋" w:cs="Times New Roman"/>
                <w:color w:val="auto"/>
                <w:sz w:val="28"/>
                <w:szCs w:val="28"/>
              </w:rPr>
              <w:t>不完整存在</w:t>
            </w:r>
            <w:r>
              <w:rPr>
                <w:rFonts w:hint="default" w:ascii="Times New Roman" w:hAnsi="Times New Roman" w:eastAsia="CESI仿宋-GB2312" w:cs="Times New Roman"/>
                <w:color w:val="auto"/>
                <w:spacing w:val="0"/>
                <w:sz w:val="28"/>
                <w:szCs w:val="28"/>
              </w:rPr>
              <w:t>明显</w:t>
            </w:r>
            <w:r>
              <w:rPr>
                <w:rFonts w:hint="default" w:ascii="Times New Roman" w:hAnsi="Times New Roman" w:eastAsia="仿宋" w:cs="Times New Roman"/>
                <w:color w:val="auto"/>
                <w:sz w:val="28"/>
                <w:szCs w:val="28"/>
              </w:rPr>
              <w:t>缺陷的得</w:t>
            </w:r>
            <w:r>
              <w:rPr>
                <w:rFonts w:hint="default"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rPr>
              <w:t>分;未提供应相关内容的得0分</w:t>
            </w:r>
            <w:r>
              <w:rPr>
                <w:rFonts w:hint="default" w:ascii="Times New Roman" w:hAnsi="Times New Roman" w:eastAsia="CESI仿宋-GB2312" w:cs="Times New Roman"/>
                <w:color w:val="auto"/>
                <w:spacing w:val="0"/>
                <w:sz w:val="28"/>
                <w:szCs w:val="28"/>
              </w:rPr>
              <w:t>。</w:t>
            </w:r>
          </w:p>
        </w:tc>
        <w:tc>
          <w:tcPr>
            <w:tcW w:w="506" w:type="dxa"/>
            <w:noWrap w:val="0"/>
            <w:vAlign w:val="center"/>
          </w:tcPr>
          <w:p w14:paraId="0D1925C7">
            <w:pPr>
              <w:pStyle w:val="269"/>
              <w:keepNext w:val="0"/>
              <w:keepLines w:val="0"/>
              <w:pageBreakBefore w:val="0"/>
              <w:kinsoku/>
              <w:wordWrap/>
              <w:overflowPunct/>
              <w:topLinePunct w:val="0"/>
              <w:autoSpaceDE/>
              <w:autoSpaceDN/>
              <w:bidi w:val="0"/>
              <w:adjustRightInd/>
              <w:snapToGrid/>
              <w:spacing w:line="460" w:lineRule="exact"/>
              <w:ind w:left="0" w:leftChars="0" w:right="0" w:rightChars="0"/>
              <w:jc w:val="center"/>
              <w:textAlignment w:val="auto"/>
              <w:rPr>
                <w:rFonts w:hint="default" w:ascii="Times New Roman" w:hAnsi="Times New Roman" w:eastAsia="CESI仿宋-GB2312" w:cs="Times New Roman"/>
                <w:color w:val="auto"/>
                <w:kern w:val="2"/>
                <w:sz w:val="28"/>
                <w:szCs w:val="28"/>
                <w:lang w:val="en-US" w:eastAsia="zh-CN" w:bidi="ar-SA"/>
              </w:rPr>
            </w:pPr>
            <w:r>
              <w:rPr>
                <w:rFonts w:hint="default" w:ascii="Times New Roman" w:hAnsi="Times New Roman" w:eastAsia="CESI仿宋-GB2312" w:cs="Times New Roman"/>
                <w:color w:val="auto"/>
                <w:spacing w:val="0"/>
                <w:sz w:val="28"/>
                <w:szCs w:val="28"/>
                <w:lang w:val="en-US" w:eastAsia="zh-CN"/>
              </w:rPr>
              <w:t>5</w:t>
            </w:r>
          </w:p>
        </w:tc>
      </w:tr>
      <w:tr w14:paraId="7DB9A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vMerge w:val="continue"/>
            <w:noWrap w:val="0"/>
            <w:vAlign w:val="center"/>
          </w:tcPr>
          <w:p w14:paraId="3E2199DE">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CESI仿宋-GB2312" w:cs="Times New Roman"/>
                <w:color w:val="auto"/>
                <w:sz w:val="28"/>
                <w:szCs w:val="28"/>
              </w:rPr>
            </w:pPr>
          </w:p>
        </w:tc>
        <w:tc>
          <w:tcPr>
            <w:tcW w:w="1419" w:type="dxa"/>
            <w:noWrap w:val="0"/>
            <w:vAlign w:val="center"/>
          </w:tcPr>
          <w:p w14:paraId="3557FB3E">
            <w:pPr>
              <w:pStyle w:val="269"/>
              <w:keepNext w:val="0"/>
              <w:keepLines w:val="0"/>
              <w:pageBreakBefore w:val="0"/>
              <w:kinsoku/>
              <w:wordWrap/>
              <w:overflowPunct/>
              <w:topLinePunct w:val="0"/>
              <w:autoSpaceDE/>
              <w:autoSpaceDN/>
              <w:bidi w:val="0"/>
              <w:adjustRightInd/>
              <w:snapToGrid/>
              <w:spacing w:line="460" w:lineRule="exact"/>
              <w:ind w:right="0" w:rightChars="0"/>
              <w:jc w:val="center"/>
              <w:textAlignment w:val="auto"/>
              <w:rPr>
                <w:rFonts w:hint="default" w:ascii="Times New Roman" w:hAnsi="Times New Roman" w:eastAsia="CESI仿宋-GB2312" w:cs="Times New Roman"/>
                <w:color w:val="auto"/>
                <w:kern w:val="2"/>
                <w:sz w:val="28"/>
                <w:szCs w:val="28"/>
                <w:lang w:val="en-US" w:eastAsia="en-US" w:bidi="ar-SA"/>
              </w:rPr>
            </w:pPr>
            <w:r>
              <w:rPr>
                <w:rFonts w:hint="default" w:ascii="Times New Roman" w:hAnsi="Times New Roman" w:eastAsia="CESI仿宋-GB2312" w:cs="Times New Roman"/>
                <w:color w:val="auto"/>
                <w:spacing w:val="0"/>
                <w:sz w:val="28"/>
                <w:szCs w:val="28"/>
                <w:lang w:val="en-US" w:eastAsia="zh-CN"/>
              </w:rPr>
              <w:t>应</w:t>
            </w:r>
            <w:r>
              <w:rPr>
                <w:rFonts w:hint="default" w:ascii="Times New Roman" w:hAnsi="Times New Roman" w:eastAsia="CESI仿宋-GB2312" w:cs="Times New Roman"/>
                <w:color w:val="auto"/>
                <w:spacing w:val="0"/>
                <w:sz w:val="28"/>
                <w:szCs w:val="28"/>
              </w:rPr>
              <w:t>急方案</w:t>
            </w:r>
          </w:p>
        </w:tc>
        <w:tc>
          <w:tcPr>
            <w:tcW w:w="6543" w:type="dxa"/>
            <w:noWrap w:val="0"/>
            <w:vAlign w:val="top"/>
          </w:tcPr>
          <w:p w14:paraId="64DD4451">
            <w:pPr>
              <w:pStyle w:val="269"/>
              <w:keepNext w:val="0"/>
              <w:keepLines w:val="0"/>
              <w:pageBreakBefore w:val="0"/>
              <w:kinsoku/>
              <w:wordWrap/>
              <w:overflowPunct/>
              <w:topLinePunct w:val="0"/>
              <w:autoSpaceDE/>
              <w:autoSpaceDN/>
              <w:bidi w:val="0"/>
              <w:adjustRightInd/>
              <w:snapToGrid/>
              <w:spacing w:line="460" w:lineRule="exact"/>
              <w:ind w:left="0" w:leftChars="0" w:right="0" w:rightChars="0"/>
              <w:jc w:val="both"/>
              <w:textAlignment w:val="auto"/>
              <w:rPr>
                <w:rFonts w:hint="default" w:ascii="Times New Roman" w:hAnsi="Times New Roman" w:eastAsia="CESI仿宋-GB2312" w:cs="Times New Roman"/>
                <w:color w:val="auto"/>
                <w:kern w:val="2"/>
                <w:sz w:val="28"/>
                <w:szCs w:val="28"/>
                <w:lang w:val="en-US" w:eastAsia="en-US" w:bidi="ar-SA"/>
              </w:rPr>
            </w:pPr>
            <w:r>
              <w:rPr>
                <w:rFonts w:hint="default" w:ascii="Times New Roman" w:hAnsi="Times New Roman" w:eastAsia="CESI仿宋-GB2312" w:cs="Times New Roman"/>
                <w:color w:val="auto"/>
                <w:spacing w:val="0"/>
                <w:sz w:val="28"/>
                <w:szCs w:val="28"/>
                <w:lang w:eastAsia="zh-CN"/>
              </w:rPr>
              <w:t>投标人</w:t>
            </w:r>
            <w:r>
              <w:rPr>
                <w:rFonts w:hint="default" w:ascii="Times New Roman" w:hAnsi="Times New Roman" w:eastAsia="CESI仿宋-GB2312" w:cs="Times New Roman"/>
                <w:color w:val="auto"/>
                <w:spacing w:val="0"/>
                <w:sz w:val="28"/>
                <w:szCs w:val="28"/>
              </w:rPr>
              <w:t>针对本项目特点，制定突发事件应急预案及处置措施，①针对迎新季、毕业季、重要会议、大型考试、运动会、全校性比赛等重大活动提供的服务保障方案；②水电气暖突发故障及事故、电梯故障及事故、食物中毒、高空坠落、火灾爆炸、公共突发事件、雨雪极端天气、消防应急预案等自然灾害应急预案及处置措施。</w:t>
            </w:r>
            <w:r>
              <w:rPr>
                <w:rFonts w:hint="default" w:ascii="Times New Roman" w:hAnsi="Times New Roman" w:eastAsia="仿宋" w:cs="Times New Roman"/>
                <w:color w:val="auto"/>
                <w:sz w:val="28"/>
                <w:szCs w:val="28"/>
              </w:rPr>
              <w:t>投标人对每项内容论述详细,完全贴合项目采购需求的得</w:t>
            </w:r>
            <w:r>
              <w:rPr>
                <w:rFonts w:hint="default" w:ascii="Times New Roman" w:hAnsi="Times New Roman" w:eastAsia="仿宋" w:cs="Times New Roman"/>
                <w:color w:val="auto"/>
                <w:sz w:val="28"/>
                <w:szCs w:val="28"/>
                <w:lang w:val="en-US" w:eastAsia="zh-CN"/>
              </w:rPr>
              <w:t>5</w:t>
            </w:r>
            <w:r>
              <w:rPr>
                <w:rFonts w:hint="default" w:ascii="Times New Roman" w:hAnsi="Times New Roman" w:eastAsia="仿宋" w:cs="Times New Roman"/>
                <w:color w:val="auto"/>
                <w:sz w:val="28"/>
                <w:szCs w:val="28"/>
              </w:rPr>
              <w:t>分;投标人对每项内容虽阐述但未贴合采购需求进行论述,或内容未包括具体细节的得</w:t>
            </w:r>
            <w:r>
              <w:rPr>
                <w:rFonts w:hint="default"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rPr>
              <w:t>分;投标人提供的内容不完整存在明显缺陷的得</w:t>
            </w:r>
            <w:r>
              <w:rPr>
                <w:rFonts w:hint="default"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rPr>
              <w:t>分;未提供应相关内容的得0分。</w:t>
            </w:r>
          </w:p>
        </w:tc>
        <w:tc>
          <w:tcPr>
            <w:tcW w:w="506" w:type="dxa"/>
            <w:noWrap w:val="0"/>
            <w:vAlign w:val="center"/>
          </w:tcPr>
          <w:p w14:paraId="6F4FF7F2">
            <w:pPr>
              <w:pStyle w:val="269"/>
              <w:keepNext w:val="0"/>
              <w:keepLines w:val="0"/>
              <w:pageBreakBefore w:val="0"/>
              <w:kinsoku/>
              <w:wordWrap/>
              <w:overflowPunct/>
              <w:topLinePunct w:val="0"/>
              <w:autoSpaceDE/>
              <w:autoSpaceDN/>
              <w:bidi w:val="0"/>
              <w:adjustRightInd/>
              <w:snapToGrid/>
              <w:spacing w:line="460" w:lineRule="exact"/>
              <w:ind w:left="0" w:leftChars="0" w:right="0" w:rightChars="0"/>
              <w:jc w:val="center"/>
              <w:textAlignment w:val="auto"/>
              <w:rPr>
                <w:rFonts w:hint="default" w:ascii="Times New Roman" w:hAnsi="Times New Roman" w:eastAsia="CESI仿宋-GB2312" w:cs="Times New Roman"/>
                <w:color w:val="auto"/>
                <w:kern w:val="2"/>
                <w:sz w:val="28"/>
                <w:szCs w:val="28"/>
                <w:lang w:val="en-US" w:eastAsia="zh-CN" w:bidi="ar-SA"/>
              </w:rPr>
            </w:pPr>
            <w:r>
              <w:rPr>
                <w:rFonts w:hint="default" w:ascii="Times New Roman" w:hAnsi="Times New Roman" w:eastAsia="CESI仿宋-GB2312" w:cs="Times New Roman"/>
                <w:color w:val="auto"/>
                <w:spacing w:val="0"/>
                <w:sz w:val="28"/>
                <w:szCs w:val="28"/>
                <w:lang w:val="en-US" w:eastAsia="zh-CN"/>
              </w:rPr>
              <w:t>5</w:t>
            </w:r>
          </w:p>
        </w:tc>
      </w:tr>
      <w:tr w14:paraId="1C8A3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568" w:type="dxa"/>
            <w:vMerge w:val="continue"/>
            <w:noWrap w:val="0"/>
            <w:vAlign w:val="center"/>
          </w:tcPr>
          <w:p w14:paraId="6CE6BD64">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CESI仿宋-GB2312" w:cs="Times New Roman"/>
                <w:color w:val="auto"/>
                <w:sz w:val="28"/>
                <w:szCs w:val="28"/>
              </w:rPr>
            </w:pPr>
          </w:p>
        </w:tc>
        <w:tc>
          <w:tcPr>
            <w:tcW w:w="1419" w:type="dxa"/>
            <w:noWrap w:val="0"/>
            <w:vAlign w:val="center"/>
          </w:tcPr>
          <w:p w14:paraId="2C299B4E">
            <w:pPr>
              <w:pStyle w:val="269"/>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CESI仿宋-GB2312" w:cs="Times New Roman"/>
                <w:color w:val="auto"/>
                <w:spacing w:val="0"/>
                <w:sz w:val="28"/>
                <w:szCs w:val="28"/>
              </w:rPr>
            </w:pPr>
            <w:r>
              <w:rPr>
                <w:rFonts w:hint="default" w:ascii="Times New Roman" w:hAnsi="Times New Roman" w:eastAsia="CESI仿宋-GB2312" w:cs="Times New Roman"/>
                <w:color w:val="auto"/>
                <w:spacing w:val="0"/>
                <w:sz w:val="28"/>
                <w:szCs w:val="28"/>
              </w:rPr>
              <w:t>档案管</w:t>
            </w:r>
          </w:p>
          <w:p w14:paraId="4794B7ED">
            <w:pPr>
              <w:pStyle w:val="269"/>
              <w:keepNext w:val="0"/>
              <w:keepLines w:val="0"/>
              <w:pageBreakBefore w:val="0"/>
              <w:kinsoku/>
              <w:wordWrap/>
              <w:overflowPunct/>
              <w:topLinePunct w:val="0"/>
              <w:autoSpaceDE/>
              <w:autoSpaceDN/>
              <w:bidi w:val="0"/>
              <w:adjustRightInd/>
              <w:snapToGrid/>
              <w:spacing w:line="460" w:lineRule="exact"/>
              <w:ind w:left="0" w:leftChars="0" w:right="0" w:rightChars="0"/>
              <w:jc w:val="center"/>
              <w:textAlignment w:val="auto"/>
              <w:rPr>
                <w:rFonts w:hint="default" w:ascii="Times New Roman" w:hAnsi="Times New Roman" w:eastAsia="CESI仿宋-GB2312" w:cs="Times New Roman"/>
                <w:color w:val="auto"/>
                <w:kern w:val="2"/>
                <w:sz w:val="28"/>
                <w:szCs w:val="28"/>
                <w:lang w:val="en-US" w:eastAsia="en-US" w:bidi="ar-SA"/>
              </w:rPr>
            </w:pPr>
            <w:r>
              <w:rPr>
                <w:rFonts w:hint="default" w:ascii="Times New Roman" w:hAnsi="Times New Roman" w:eastAsia="CESI仿宋-GB2312" w:cs="Times New Roman"/>
                <w:color w:val="auto"/>
                <w:spacing w:val="0"/>
                <w:sz w:val="28"/>
                <w:szCs w:val="28"/>
              </w:rPr>
              <w:t>理方案</w:t>
            </w:r>
          </w:p>
        </w:tc>
        <w:tc>
          <w:tcPr>
            <w:tcW w:w="6543" w:type="dxa"/>
            <w:noWrap w:val="0"/>
            <w:vAlign w:val="top"/>
          </w:tcPr>
          <w:p w14:paraId="66A04CB9">
            <w:pPr>
              <w:pStyle w:val="269"/>
              <w:keepNext w:val="0"/>
              <w:keepLines w:val="0"/>
              <w:pageBreakBefore w:val="0"/>
              <w:kinsoku/>
              <w:wordWrap/>
              <w:overflowPunct/>
              <w:topLinePunct w:val="0"/>
              <w:autoSpaceDE/>
              <w:autoSpaceDN/>
              <w:bidi w:val="0"/>
              <w:adjustRightInd/>
              <w:snapToGrid/>
              <w:spacing w:line="460" w:lineRule="exact"/>
              <w:ind w:left="0" w:leftChars="0" w:right="0" w:rightChars="0" w:hanging="2" w:firstLineChars="0"/>
              <w:jc w:val="both"/>
              <w:textAlignment w:val="auto"/>
              <w:rPr>
                <w:rFonts w:hint="default" w:ascii="Times New Roman" w:hAnsi="Times New Roman" w:eastAsia="CESI仿宋-GB2312" w:cs="Times New Roman"/>
                <w:color w:val="auto"/>
                <w:kern w:val="2"/>
                <w:sz w:val="28"/>
                <w:szCs w:val="28"/>
                <w:lang w:val="en-US" w:eastAsia="en-US" w:bidi="ar-SA"/>
              </w:rPr>
            </w:pPr>
            <w:r>
              <w:rPr>
                <w:rFonts w:hint="default" w:ascii="Times New Roman" w:hAnsi="Times New Roman" w:eastAsia="CESI仿宋-GB2312" w:cs="Times New Roman"/>
                <w:color w:val="auto"/>
                <w:spacing w:val="0"/>
                <w:sz w:val="28"/>
                <w:szCs w:val="28"/>
                <w:lang w:eastAsia="zh-CN"/>
              </w:rPr>
              <w:t>投标人</w:t>
            </w:r>
            <w:r>
              <w:rPr>
                <w:rFonts w:hint="default" w:ascii="Times New Roman" w:hAnsi="Times New Roman" w:eastAsia="CESI仿宋-GB2312" w:cs="Times New Roman"/>
                <w:color w:val="auto"/>
                <w:spacing w:val="0"/>
                <w:sz w:val="28"/>
                <w:szCs w:val="28"/>
              </w:rPr>
              <w:t>需针对本项目制定档案管理方案，方案至少包含档案的建立、档案的收集、档案的分类、档案的管理。</w:t>
            </w:r>
            <w:r>
              <w:rPr>
                <w:rFonts w:hint="default" w:ascii="Times New Roman" w:hAnsi="Times New Roman" w:eastAsia="仿宋" w:cs="Times New Roman"/>
                <w:color w:val="auto"/>
                <w:sz w:val="28"/>
                <w:szCs w:val="28"/>
              </w:rPr>
              <w:t>投标人对每项内容论述详细,完全贴合项目采购需求的得</w:t>
            </w:r>
            <w:r>
              <w:rPr>
                <w:rFonts w:hint="eastAsia" w:ascii="Times New Roman" w:hAnsi="Times New Roman" w:cs="Times New Roman"/>
                <w:color w:val="auto"/>
                <w:sz w:val="28"/>
                <w:szCs w:val="28"/>
                <w:lang w:val="en-US" w:eastAsia="zh-CN"/>
              </w:rPr>
              <w:t>5</w:t>
            </w:r>
            <w:r>
              <w:rPr>
                <w:rFonts w:hint="default" w:ascii="Times New Roman" w:hAnsi="Times New Roman" w:eastAsia="仿宋" w:cs="Times New Roman"/>
                <w:color w:val="auto"/>
                <w:sz w:val="28"/>
                <w:szCs w:val="28"/>
              </w:rPr>
              <w:t>分;投标人对每项内容虽阐述但未贴合采购需求进行论述,或内容未包括具体细节的得</w:t>
            </w:r>
            <w:r>
              <w:rPr>
                <w:rFonts w:hint="eastAsia" w:ascii="Times New Roman" w:hAnsi="Times New Roman" w:cs="Times New Roman"/>
                <w:color w:val="auto"/>
                <w:sz w:val="28"/>
                <w:szCs w:val="28"/>
                <w:lang w:val="en-US" w:eastAsia="zh-CN"/>
              </w:rPr>
              <w:t>3</w:t>
            </w:r>
            <w:r>
              <w:rPr>
                <w:rFonts w:hint="default" w:ascii="Times New Roman" w:hAnsi="Times New Roman" w:eastAsia="仿宋" w:cs="Times New Roman"/>
                <w:color w:val="auto"/>
                <w:sz w:val="28"/>
                <w:szCs w:val="28"/>
              </w:rPr>
              <w:t xml:space="preserve">分;投标人提供的内容不完整存在明显缺陷的得 </w:t>
            </w:r>
            <w:r>
              <w:rPr>
                <w:rFonts w:hint="default"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rPr>
              <w:t>分;未提供应相关内容的得 0 分。</w:t>
            </w:r>
          </w:p>
        </w:tc>
        <w:tc>
          <w:tcPr>
            <w:tcW w:w="506" w:type="dxa"/>
            <w:noWrap w:val="0"/>
            <w:vAlign w:val="center"/>
          </w:tcPr>
          <w:p w14:paraId="3DFC32D7">
            <w:pPr>
              <w:pStyle w:val="269"/>
              <w:keepNext w:val="0"/>
              <w:keepLines w:val="0"/>
              <w:pageBreakBefore w:val="0"/>
              <w:kinsoku/>
              <w:wordWrap/>
              <w:overflowPunct/>
              <w:topLinePunct w:val="0"/>
              <w:autoSpaceDE/>
              <w:autoSpaceDN/>
              <w:bidi w:val="0"/>
              <w:adjustRightInd/>
              <w:snapToGrid/>
              <w:spacing w:line="460" w:lineRule="exact"/>
              <w:ind w:left="0" w:leftChars="0" w:right="0" w:rightChars="0"/>
              <w:jc w:val="center"/>
              <w:textAlignment w:val="auto"/>
              <w:rPr>
                <w:rFonts w:hint="default" w:ascii="Times New Roman" w:hAnsi="Times New Roman" w:eastAsia="CESI仿宋-GB2312" w:cs="Times New Roman"/>
                <w:color w:val="auto"/>
                <w:kern w:val="2"/>
                <w:sz w:val="28"/>
                <w:szCs w:val="28"/>
                <w:lang w:val="en-US" w:eastAsia="zh-CN" w:bidi="ar-SA"/>
              </w:rPr>
            </w:pPr>
            <w:r>
              <w:rPr>
                <w:rFonts w:hint="eastAsia" w:ascii="Times New Roman" w:hAnsi="Times New Roman" w:eastAsia="CESI仿宋-GB2312" w:cs="Times New Roman"/>
                <w:color w:val="auto"/>
                <w:spacing w:val="0"/>
                <w:sz w:val="28"/>
                <w:szCs w:val="28"/>
                <w:lang w:val="en-US" w:eastAsia="zh-CN"/>
              </w:rPr>
              <w:t>5</w:t>
            </w:r>
          </w:p>
        </w:tc>
      </w:tr>
    </w:tbl>
    <w:p w14:paraId="392AFFA1">
      <w:pPr>
        <w:pStyle w:val="2"/>
        <w:spacing w:before="0" w:after="0" w:line="240" w:lineRule="auto"/>
        <w:jc w:val="center"/>
        <w:rPr>
          <w:rFonts w:hint="default" w:ascii="Times New Roman" w:hAnsi="Times New Roman" w:eastAsia="宋体" w:cs="Times New Roman"/>
          <w:color w:val="auto"/>
          <w:sz w:val="36"/>
          <w:szCs w:val="36"/>
          <w:lang w:eastAsia="zh-CN"/>
        </w:rPr>
      </w:pPr>
      <w:r>
        <w:rPr>
          <w:rFonts w:hint="default" w:ascii="Times New Roman" w:hAnsi="Times New Roman" w:cs="Times New Roman"/>
          <w:color w:val="auto"/>
        </w:rPr>
        <w:br w:type="page"/>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Start w:id="621" w:name="_Toc16361"/>
      <w:bookmarkStart w:id="622" w:name="_Toc1876950018_WPSOffice_Level1"/>
      <w:bookmarkStart w:id="623" w:name="_Toc1366447656"/>
      <w:bookmarkStart w:id="624" w:name="_Toc2128211085"/>
      <w:bookmarkStart w:id="625" w:name="_Toc1212124171"/>
      <w:bookmarkStart w:id="626" w:name="_Toc694927784"/>
      <w:bookmarkStart w:id="627" w:name="_Toc667407289"/>
      <w:bookmarkStart w:id="628" w:name="_Toc1216028725_WPSOffice_Level2"/>
      <w:bookmarkStart w:id="629" w:name="_Toc2021117886"/>
      <w:bookmarkStart w:id="630" w:name="_Toc2146371347"/>
      <w:bookmarkStart w:id="631" w:name="_Toc1554580408"/>
      <w:bookmarkStart w:id="632" w:name="_Toc505697850"/>
      <w:bookmarkStart w:id="633" w:name="_Toc1351594660_WPSOffice_Level2"/>
      <w:bookmarkStart w:id="634" w:name="_Toc1331652897_WPSOffice_Level2"/>
      <w:bookmarkStart w:id="635" w:name="_Toc1887969822_WPSOffice_Level2"/>
      <w:bookmarkStart w:id="636" w:name="_Toc1047604175"/>
      <w:bookmarkStart w:id="637" w:name="_Toc339295120"/>
      <w:r>
        <w:rPr>
          <w:rFonts w:hint="default" w:ascii="Times New Roman" w:hAnsi="Times New Roman" w:eastAsia="宋体" w:cs="Times New Roman"/>
          <w:color w:val="auto"/>
          <w:sz w:val="36"/>
          <w:szCs w:val="36"/>
          <w:lang w:val="en-US" w:eastAsia="zh-CN"/>
        </w:rPr>
        <w:t xml:space="preserve">第八章 </w:t>
      </w:r>
      <w:r>
        <w:rPr>
          <w:rFonts w:hint="default" w:ascii="Times New Roman" w:hAnsi="Times New Roman" w:eastAsia="宋体" w:cs="Times New Roman"/>
          <w:color w:val="auto"/>
          <w:sz w:val="36"/>
          <w:szCs w:val="36"/>
          <w:lang w:eastAsia="zh-CN"/>
        </w:rPr>
        <w:t>政府采购合同</w:t>
      </w:r>
      <w:bookmarkEnd w:id="621"/>
    </w:p>
    <w:p w14:paraId="4418700D">
      <w:pPr>
        <w:pStyle w:val="228"/>
        <w:rPr>
          <w:rFonts w:hint="default" w:ascii="Times New Roman" w:hAnsi="Times New Roman" w:eastAsia="仿宋_GB2312" w:cs="Times New Roman"/>
          <w:color w:val="auto"/>
        </w:rPr>
      </w:pPr>
      <w:bookmarkStart w:id="638" w:name="_Toc714862996"/>
      <w:bookmarkStart w:id="639" w:name="_Toc1568280797"/>
      <w:bookmarkStart w:id="640" w:name="_Toc473367889"/>
    </w:p>
    <w:p w14:paraId="1456E017">
      <w:pPr>
        <w:rPr>
          <w:rFonts w:hint="default" w:ascii="Times New Roman" w:hAnsi="Times New Roman" w:eastAsia="仿宋_GB2312" w:cs="Times New Roman"/>
          <w:color w:val="auto"/>
        </w:rPr>
      </w:pPr>
      <w:r>
        <w:rPr>
          <w:rFonts w:hint="default" w:ascii="Times New Roman" w:hAnsi="Times New Roman" w:eastAsia="仿宋_GB2312" w:cs="Times New Roman"/>
          <w:color w:val="auto"/>
          <w:sz w:val="28"/>
          <w:szCs w:val="28"/>
        </w:rPr>
        <w:t>合同编号：</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auto"/>
        </w:rPr>
        <w:t xml:space="preserve">          </w:t>
      </w:r>
    </w:p>
    <w:p w14:paraId="4BDF11D5">
      <w:pPr>
        <w:spacing w:line="480" w:lineRule="auto"/>
        <w:jc w:val="center"/>
        <w:rPr>
          <w:rFonts w:hint="default" w:ascii="Times New Roman" w:hAnsi="Times New Roman" w:eastAsia="仿宋_GB2312" w:cs="Times New Roman"/>
          <w:b/>
          <w:color w:val="auto"/>
          <w:sz w:val="28"/>
          <w:szCs w:val="28"/>
        </w:rPr>
      </w:pPr>
    </w:p>
    <w:p w14:paraId="78D5EDF4">
      <w:pPr>
        <w:spacing w:line="480" w:lineRule="auto"/>
        <w:jc w:val="center"/>
        <w:rPr>
          <w:rFonts w:hint="default" w:ascii="Times New Roman" w:hAnsi="Times New Roman" w:eastAsia="仿宋_GB2312" w:cs="Times New Roman"/>
          <w:color w:val="auto"/>
        </w:rPr>
      </w:pPr>
    </w:p>
    <w:p w14:paraId="02FC6E7B">
      <w:pPr>
        <w:jc w:val="center"/>
        <w:rPr>
          <w:rFonts w:hint="default" w:ascii="Times New Roman" w:hAnsi="Times New Roman" w:eastAsia="仿宋_GB2312" w:cs="Times New Roman"/>
          <w:color w:val="auto"/>
          <w:sz w:val="30"/>
          <w:szCs w:val="30"/>
          <w:lang w:eastAsia="zh-CN"/>
        </w:rPr>
      </w:pPr>
      <w:bookmarkStart w:id="641" w:name="_Toc2112678539_WPSOffice_Level2"/>
      <w:r>
        <w:rPr>
          <w:rFonts w:hint="default" w:ascii="Times New Roman" w:hAnsi="Times New Roman" w:eastAsia="仿宋_GB2312" w:cs="Times New Roman"/>
          <w:b/>
          <w:color w:val="auto"/>
          <w:sz w:val="44"/>
          <w:szCs w:val="44"/>
        </w:rPr>
        <w:t>政府采购合同</w:t>
      </w:r>
      <w:bookmarkEnd w:id="641"/>
    </w:p>
    <w:p w14:paraId="3A50F8CE">
      <w:pPr>
        <w:pStyle w:val="108"/>
        <w:ind w:firstLine="0"/>
        <w:rPr>
          <w:rFonts w:hint="default" w:ascii="Times New Roman" w:hAnsi="Times New Roman" w:eastAsia="仿宋_GB2312" w:cs="Times New Roman"/>
          <w:color w:val="auto"/>
          <w:sz w:val="28"/>
          <w:szCs w:val="28"/>
        </w:rPr>
      </w:pPr>
    </w:p>
    <w:p w14:paraId="2201818C">
      <w:pPr>
        <w:pStyle w:val="108"/>
        <w:ind w:firstLine="0"/>
        <w:rPr>
          <w:rFonts w:hint="default" w:ascii="Times New Roman" w:hAnsi="Times New Roman" w:eastAsia="仿宋_GB2312" w:cs="Times New Roman"/>
          <w:color w:val="auto"/>
          <w:sz w:val="28"/>
          <w:szCs w:val="28"/>
        </w:rPr>
      </w:pPr>
    </w:p>
    <w:p w14:paraId="3C8B7AC3">
      <w:pPr>
        <w:pStyle w:val="108"/>
        <w:ind w:firstLine="0"/>
        <w:rPr>
          <w:rFonts w:hint="default" w:ascii="Times New Roman" w:hAnsi="Times New Roman" w:eastAsia="仿宋_GB2312" w:cs="Times New Roman"/>
          <w:color w:val="auto"/>
          <w:sz w:val="28"/>
          <w:szCs w:val="28"/>
        </w:rPr>
      </w:pPr>
    </w:p>
    <w:p w14:paraId="642E1B83">
      <w:pPr>
        <w:spacing w:before="120" w:line="22" w:lineRule="atLeast"/>
        <w:rPr>
          <w:rFonts w:hint="default" w:ascii="Times New Roman" w:hAnsi="Times New Roman" w:eastAsia="仿宋_GB2312" w:cs="Times New Roman"/>
          <w:color w:val="auto"/>
          <w:sz w:val="28"/>
          <w:szCs w:val="28"/>
        </w:rPr>
      </w:pPr>
    </w:p>
    <w:p w14:paraId="0A039BA7">
      <w:pPr>
        <w:spacing w:before="120" w:line="22" w:lineRule="atLeast"/>
        <w:ind w:left="960"/>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项目名称：</w:t>
      </w:r>
      <w:r>
        <w:rPr>
          <w:rFonts w:hint="default" w:ascii="Times New Roman" w:hAnsi="Times New Roman" w:eastAsia="仿宋_GB2312" w:cs="Times New Roman"/>
          <w:b/>
          <w:bCs/>
          <w:color w:val="auto"/>
          <w:sz w:val="28"/>
          <w:szCs w:val="28"/>
          <w:u w:val="single"/>
        </w:rPr>
        <w:t xml:space="preserve">                          </w:t>
      </w:r>
      <w:r>
        <w:rPr>
          <w:rFonts w:hint="default" w:ascii="Times New Roman" w:hAnsi="Times New Roman" w:eastAsia="仿宋_GB2312" w:cs="Times New Roman"/>
          <w:b/>
          <w:bCs/>
          <w:color w:val="auto"/>
          <w:sz w:val="28"/>
          <w:szCs w:val="28"/>
          <w:u w:val="single"/>
          <w:lang w:val="en-US" w:eastAsia="zh-CN"/>
        </w:rPr>
        <w:t xml:space="preserve">    </w:t>
      </w:r>
      <w:r>
        <w:rPr>
          <w:rFonts w:hint="default" w:ascii="Times New Roman" w:hAnsi="Times New Roman" w:eastAsia="仿宋_GB2312" w:cs="Times New Roman"/>
          <w:b/>
          <w:bCs/>
          <w:color w:val="auto"/>
          <w:sz w:val="28"/>
          <w:szCs w:val="28"/>
          <w:u w:val="single"/>
        </w:rPr>
        <w:t xml:space="preserve">         </w:t>
      </w:r>
    </w:p>
    <w:p w14:paraId="63D09572">
      <w:pPr>
        <w:pStyle w:val="175"/>
        <w:spacing w:before="120" w:line="22" w:lineRule="atLeast"/>
        <w:rPr>
          <w:rFonts w:hint="default" w:ascii="Times New Roman" w:hAnsi="Times New Roman" w:cs="Times New Roman"/>
          <w:b/>
          <w:bCs/>
          <w:color w:val="auto"/>
          <w:sz w:val="28"/>
          <w:szCs w:val="28"/>
        </w:rPr>
      </w:pPr>
    </w:p>
    <w:p w14:paraId="3ADC2778">
      <w:pPr>
        <w:spacing w:before="120" w:line="22" w:lineRule="atLeast"/>
        <w:ind w:left="960"/>
        <w:rPr>
          <w:rFonts w:hint="default" w:ascii="Times New Roman" w:hAnsi="Times New Roman" w:eastAsia="仿宋_GB2312" w:cs="Times New Roman"/>
          <w:b/>
          <w:bCs/>
          <w:color w:val="auto"/>
          <w:sz w:val="28"/>
          <w:szCs w:val="28"/>
          <w:u w:val="single"/>
        </w:rPr>
      </w:pPr>
      <w:r>
        <w:rPr>
          <w:rFonts w:hint="default" w:ascii="Times New Roman" w:hAnsi="Times New Roman" w:eastAsia="仿宋_GB2312" w:cs="Times New Roman"/>
          <w:b/>
          <w:bCs/>
          <w:color w:val="auto"/>
          <w:sz w:val="28"/>
          <w:szCs w:val="28"/>
        </w:rPr>
        <w:t>甲</w:t>
      </w:r>
      <w:r>
        <w:rPr>
          <w:rFonts w:hint="default" w:ascii="Times New Roman" w:hAnsi="Times New Roman" w:eastAsia="仿宋_GB2312" w:cs="Times New Roman"/>
          <w:b/>
          <w:bCs/>
          <w:color w:val="auto"/>
          <w:sz w:val="28"/>
          <w:szCs w:val="28"/>
          <w:lang w:val="en-US" w:eastAsia="zh-CN"/>
        </w:rPr>
        <w:t xml:space="preserve">    </w:t>
      </w:r>
      <w:r>
        <w:rPr>
          <w:rFonts w:hint="default" w:ascii="Times New Roman" w:hAnsi="Times New Roman" w:eastAsia="仿宋_GB2312" w:cs="Times New Roman"/>
          <w:b/>
          <w:bCs/>
          <w:color w:val="auto"/>
          <w:sz w:val="28"/>
          <w:szCs w:val="28"/>
        </w:rPr>
        <w:t>方：</w:t>
      </w:r>
      <w:r>
        <w:rPr>
          <w:rFonts w:hint="default" w:ascii="Times New Roman" w:hAnsi="Times New Roman" w:eastAsia="仿宋_GB2312" w:cs="Times New Roman"/>
          <w:b/>
          <w:bCs/>
          <w:color w:val="auto"/>
          <w:sz w:val="28"/>
          <w:szCs w:val="28"/>
          <w:u w:val="single"/>
        </w:rPr>
        <w:t xml:space="preserve">                                       </w:t>
      </w:r>
    </w:p>
    <w:p w14:paraId="0AEF792B">
      <w:pPr>
        <w:spacing w:before="120" w:line="22" w:lineRule="atLeast"/>
        <w:rPr>
          <w:rFonts w:hint="default" w:ascii="Times New Roman" w:hAnsi="Times New Roman" w:eastAsia="仿宋_GB2312" w:cs="Times New Roman"/>
          <w:b/>
          <w:bCs/>
          <w:color w:val="auto"/>
          <w:sz w:val="28"/>
          <w:szCs w:val="28"/>
        </w:rPr>
      </w:pPr>
    </w:p>
    <w:p w14:paraId="4AAEA6B2">
      <w:pPr>
        <w:spacing w:before="120" w:line="22" w:lineRule="atLeast"/>
        <w:ind w:left="960"/>
        <w:rPr>
          <w:rFonts w:hint="default" w:ascii="Times New Roman" w:hAnsi="Times New Roman" w:eastAsia="仿宋_GB2312" w:cs="Times New Roman"/>
          <w:b/>
          <w:bCs/>
          <w:color w:val="auto"/>
          <w:sz w:val="28"/>
          <w:szCs w:val="28"/>
          <w:u w:val="single"/>
        </w:rPr>
      </w:pPr>
      <w:r>
        <w:rPr>
          <w:rFonts w:hint="default" w:ascii="Times New Roman" w:hAnsi="Times New Roman" w:eastAsia="仿宋_GB2312" w:cs="Times New Roman"/>
          <w:b/>
          <w:bCs/>
          <w:color w:val="auto"/>
          <w:sz w:val="28"/>
          <w:szCs w:val="28"/>
        </w:rPr>
        <w:t>乙</w:t>
      </w:r>
      <w:r>
        <w:rPr>
          <w:rFonts w:hint="default" w:ascii="Times New Roman" w:hAnsi="Times New Roman" w:eastAsia="仿宋_GB2312" w:cs="Times New Roman"/>
          <w:b/>
          <w:bCs/>
          <w:color w:val="auto"/>
          <w:sz w:val="28"/>
          <w:szCs w:val="28"/>
          <w:lang w:val="en-US" w:eastAsia="zh-CN"/>
        </w:rPr>
        <w:t xml:space="preserve">    </w:t>
      </w:r>
      <w:r>
        <w:rPr>
          <w:rFonts w:hint="default" w:ascii="Times New Roman" w:hAnsi="Times New Roman" w:eastAsia="仿宋_GB2312" w:cs="Times New Roman"/>
          <w:b/>
          <w:bCs/>
          <w:color w:val="auto"/>
          <w:sz w:val="28"/>
          <w:szCs w:val="28"/>
        </w:rPr>
        <w:t>方：</w:t>
      </w:r>
      <w:r>
        <w:rPr>
          <w:rFonts w:hint="default" w:ascii="Times New Roman" w:hAnsi="Times New Roman" w:eastAsia="仿宋_GB2312" w:cs="Times New Roman"/>
          <w:b/>
          <w:bCs/>
          <w:color w:val="auto"/>
          <w:sz w:val="28"/>
          <w:szCs w:val="28"/>
          <w:u w:val="single"/>
        </w:rPr>
        <w:t xml:space="preserve">                                       </w:t>
      </w:r>
    </w:p>
    <w:p w14:paraId="024A3611">
      <w:pPr>
        <w:spacing w:before="120" w:line="22" w:lineRule="atLeast"/>
        <w:rPr>
          <w:rFonts w:hint="default" w:ascii="Times New Roman" w:hAnsi="Times New Roman" w:eastAsia="仿宋_GB2312" w:cs="Times New Roman"/>
          <w:b/>
          <w:bCs/>
          <w:color w:val="auto"/>
          <w:sz w:val="28"/>
          <w:szCs w:val="28"/>
        </w:rPr>
      </w:pPr>
    </w:p>
    <w:p w14:paraId="3C47B1B9">
      <w:pPr>
        <w:spacing w:before="120" w:line="22" w:lineRule="atLeast"/>
        <w:ind w:left="960"/>
        <w:rPr>
          <w:rFonts w:hint="default" w:ascii="Times New Roman" w:hAnsi="Times New Roman" w:eastAsia="仿宋_GB2312" w:cs="Times New Roman"/>
          <w:b/>
          <w:bCs/>
          <w:color w:val="auto"/>
          <w:sz w:val="28"/>
          <w:szCs w:val="28"/>
          <w:u w:val="single"/>
        </w:rPr>
      </w:pPr>
      <w:r>
        <w:rPr>
          <w:rFonts w:hint="default" w:ascii="Times New Roman" w:hAnsi="Times New Roman" w:eastAsia="仿宋_GB2312" w:cs="Times New Roman"/>
          <w:b/>
          <w:bCs/>
          <w:color w:val="auto"/>
          <w:sz w:val="28"/>
          <w:szCs w:val="28"/>
        </w:rPr>
        <w:t>签</w:t>
      </w:r>
      <w:r>
        <w:rPr>
          <w:rFonts w:hint="default" w:ascii="Times New Roman" w:hAnsi="Times New Roman" w:eastAsia="仿宋_GB2312" w:cs="Times New Roman"/>
          <w:b/>
          <w:bCs/>
          <w:color w:val="auto"/>
          <w:sz w:val="28"/>
          <w:szCs w:val="28"/>
          <w:lang w:val="en-US" w:eastAsia="zh-CN"/>
        </w:rPr>
        <w:t xml:space="preserve"> </w:t>
      </w:r>
      <w:r>
        <w:rPr>
          <w:rFonts w:hint="default" w:ascii="Times New Roman" w:hAnsi="Times New Roman" w:eastAsia="仿宋_GB2312" w:cs="Times New Roman"/>
          <w:b/>
          <w:bCs/>
          <w:color w:val="auto"/>
          <w:sz w:val="28"/>
          <w:szCs w:val="28"/>
        </w:rPr>
        <w:t>订</w:t>
      </w:r>
      <w:r>
        <w:rPr>
          <w:rFonts w:hint="default" w:ascii="Times New Roman" w:hAnsi="Times New Roman" w:eastAsia="仿宋_GB2312" w:cs="Times New Roman"/>
          <w:b/>
          <w:bCs/>
          <w:color w:val="auto"/>
          <w:sz w:val="28"/>
          <w:szCs w:val="28"/>
          <w:lang w:val="en-US" w:eastAsia="zh-CN"/>
        </w:rPr>
        <w:t xml:space="preserve"> </w:t>
      </w:r>
      <w:r>
        <w:rPr>
          <w:rFonts w:hint="default" w:ascii="Times New Roman" w:hAnsi="Times New Roman" w:eastAsia="仿宋_GB2312" w:cs="Times New Roman"/>
          <w:b/>
          <w:bCs/>
          <w:color w:val="auto"/>
          <w:sz w:val="28"/>
          <w:szCs w:val="28"/>
        </w:rPr>
        <w:t>地：</w:t>
      </w:r>
      <w:r>
        <w:rPr>
          <w:rFonts w:hint="default" w:ascii="Times New Roman" w:hAnsi="Times New Roman" w:eastAsia="仿宋_GB2312" w:cs="Times New Roman"/>
          <w:b/>
          <w:bCs/>
          <w:color w:val="auto"/>
          <w:sz w:val="28"/>
          <w:szCs w:val="28"/>
          <w:u w:val="single"/>
        </w:rPr>
        <w:t xml:space="preserve">                           </w:t>
      </w:r>
      <w:r>
        <w:rPr>
          <w:rFonts w:hint="default" w:ascii="Times New Roman" w:hAnsi="Times New Roman" w:eastAsia="仿宋_GB2312" w:cs="Times New Roman"/>
          <w:b/>
          <w:bCs/>
          <w:color w:val="auto"/>
          <w:sz w:val="28"/>
          <w:szCs w:val="28"/>
          <w:u w:val="single"/>
          <w:lang w:val="en-US" w:eastAsia="zh-CN"/>
        </w:rPr>
        <w:t xml:space="preserve">  </w:t>
      </w:r>
      <w:r>
        <w:rPr>
          <w:rFonts w:hint="default" w:ascii="Times New Roman" w:hAnsi="Times New Roman" w:eastAsia="仿宋_GB2312" w:cs="Times New Roman"/>
          <w:b/>
          <w:bCs/>
          <w:color w:val="auto"/>
          <w:sz w:val="28"/>
          <w:szCs w:val="28"/>
          <w:u w:val="single"/>
        </w:rPr>
        <w:t xml:space="preserve">          </w:t>
      </w:r>
    </w:p>
    <w:p w14:paraId="34B12AEA">
      <w:pPr>
        <w:spacing w:before="120" w:line="22" w:lineRule="atLeast"/>
        <w:rPr>
          <w:rFonts w:hint="default" w:ascii="Times New Roman" w:hAnsi="Times New Roman" w:eastAsia="仿宋_GB2312" w:cs="Times New Roman"/>
          <w:b/>
          <w:bCs/>
          <w:color w:val="auto"/>
          <w:sz w:val="28"/>
          <w:szCs w:val="28"/>
        </w:rPr>
      </w:pPr>
    </w:p>
    <w:p w14:paraId="09511651">
      <w:pPr>
        <w:spacing w:before="120" w:line="22" w:lineRule="atLeast"/>
        <w:ind w:left="960"/>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签订日期：</w:t>
      </w:r>
      <w:r>
        <w:rPr>
          <w:rFonts w:hint="default" w:ascii="Times New Roman" w:hAnsi="Times New Roman" w:eastAsia="仿宋_GB2312" w:cs="Times New Roman"/>
          <w:b/>
          <w:bCs/>
          <w:color w:val="auto"/>
          <w:sz w:val="28"/>
          <w:szCs w:val="28"/>
          <w:u w:val="single"/>
        </w:rPr>
        <w:t xml:space="preserve">       </w:t>
      </w:r>
      <w:r>
        <w:rPr>
          <w:rFonts w:hint="default" w:ascii="Times New Roman" w:hAnsi="Times New Roman" w:eastAsia="仿宋_GB2312" w:cs="Times New Roman"/>
          <w:b/>
          <w:bCs/>
          <w:color w:val="auto"/>
          <w:sz w:val="28"/>
          <w:szCs w:val="28"/>
        </w:rPr>
        <w:t>年</w:t>
      </w:r>
      <w:r>
        <w:rPr>
          <w:rFonts w:hint="default" w:ascii="Times New Roman" w:hAnsi="Times New Roman" w:eastAsia="仿宋_GB2312" w:cs="Times New Roman"/>
          <w:b/>
          <w:bCs/>
          <w:color w:val="auto"/>
          <w:sz w:val="28"/>
          <w:szCs w:val="28"/>
          <w:u w:val="single"/>
        </w:rPr>
        <w:t xml:space="preserve">       </w:t>
      </w:r>
      <w:r>
        <w:rPr>
          <w:rFonts w:hint="default" w:ascii="Times New Roman" w:hAnsi="Times New Roman" w:eastAsia="仿宋_GB2312" w:cs="Times New Roman"/>
          <w:b/>
          <w:bCs/>
          <w:color w:val="auto"/>
          <w:sz w:val="28"/>
          <w:szCs w:val="28"/>
        </w:rPr>
        <w:t>月</w:t>
      </w:r>
      <w:r>
        <w:rPr>
          <w:rFonts w:hint="default" w:ascii="Times New Roman" w:hAnsi="Times New Roman" w:eastAsia="仿宋_GB2312" w:cs="Times New Roman"/>
          <w:b/>
          <w:bCs/>
          <w:color w:val="auto"/>
          <w:sz w:val="28"/>
          <w:szCs w:val="28"/>
          <w:u w:val="single"/>
        </w:rPr>
        <w:t xml:space="preserve">      </w:t>
      </w:r>
      <w:r>
        <w:rPr>
          <w:rFonts w:hint="default" w:ascii="Times New Roman" w:hAnsi="Times New Roman" w:eastAsia="仿宋_GB2312" w:cs="Times New Roman"/>
          <w:b/>
          <w:bCs/>
          <w:color w:val="auto"/>
          <w:sz w:val="28"/>
          <w:szCs w:val="28"/>
        </w:rPr>
        <w:t>日</w:t>
      </w:r>
    </w:p>
    <w:p w14:paraId="32248B4B">
      <w:pPr>
        <w:pStyle w:val="228"/>
        <w:rPr>
          <w:rFonts w:hint="default" w:ascii="Times New Roman" w:hAnsi="Times New Roman" w:eastAsia="仿宋_GB2312" w:cs="Times New Roman"/>
          <w:color w:val="auto"/>
        </w:rPr>
      </w:pPr>
    </w:p>
    <w:p w14:paraId="744B04CA">
      <w:pPr>
        <w:spacing w:line="360" w:lineRule="auto"/>
        <w:jc w:val="center"/>
        <w:rPr>
          <w:rFonts w:hint="default" w:ascii="Times New Roman" w:hAnsi="Times New Roman" w:cs="Times New Roman"/>
          <w:b/>
          <w:color w:val="auto"/>
          <w:sz w:val="32"/>
          <w:szCs w:val="32"/>
        </w:rPr>
      </w:pPr>
      <w:r>
        <w:rPr>
          <w:rFonts w:hint="default" w:ascii="Times New Roman" w:hAnsi="Times New Roman" w:eastAsia="仿宋_GB2312" w:cs="Times New Roman"/>
          <w:b/>
          <w:bCs/>
          <w:color w:val="auto"/>
          <w:sz w:val="28"/>
          <w:szCs w:val="28"/>
        </w:rPr>
        <w:br w:type="page"/>
      </w:r>
      <w:bookmarkStart w:id="642" w:name="bookmark2"/>
      <w:bookmarkStart w:id="643" w:name="bookmark1"/>
      <w:bookmarkStart w:id="644" w:name="bookmark0"/>
      <w:r>
        <w:rPr>
          <w:rFonts w:hint="default" w:ascii="Times New Roman" w:hAnsi="Times New Roman" w:eastAsia="Arial Unicode MS" w:cs="Times New Roman"/>
          <w:b/>
          <w:bCs w:val="0"/>
          <w:color w:val="auto"/>
          <w:sz w:val="32"/>
          <w:szCs w:val="32"/>
        </w:rPr>
        <w:t>河南工业和信息化职业学院2025年-2028年物业服务项目</w:t>
      </w:r>
      <w:r>
        <w:rPr>
          <w:rFonts w:hint="default" w:ascii="Times New Roman" w:hAnsi="Times New Roman" w:cs="Times New Roman"/>
          <w:b/>
          <w:color w:val="auto"/>
          <w:sz w:val="32"/>
          <w:szCs w:val="32"/>
        </w:rPr>
        <w:t>服务合同</w:t>
      </w:r>
    </w:p>
    <w:p w14:paraId="670527B5">
      <w:pPr>
        <w:pStyle w:val="151"/>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 xml:space="preserve">                            </w:t>
      </w:r>
    </w:p>
    <w:p w14:paraId="2D362C99">
      <w:pPr>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甲方：河南工业和信息化职业学院</w:t>
      </w:r>
    </w:p>
    <w:p w14:paraId="4509F28C">
      <w:pPr>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乙方：</w:t>
      </w:r>
      <w:r>
        <w:rPr>
          <w:rFonts w:hint="default" w:ascii="Times New Roman" w:hAnsi="Times New Roman" w:cs="Times New Roman"/>
          <w:color w:val="auto"/>
          <w:sz w:val="21"/>
          <w:szCs w:val="21"/>
          <w:lang w:val="en-US" w:eastAsia="zh-CN"/>
        </w:rPr>
        <w:t xml:space="preserve">              </w:t>
      </w:r>
    </w:p>
    <w:p w14:paraId="6224464E">
      <w:pPr>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签订地点：焦作市新区碧莲路801号</w:t>
      </w:r>
    </w:p>
    <w:p w14:paraId="038A99C7">
      <w:pPr>
        <w:keepNext w:val="0"/>
        <w:keepLines w:val="0"/>
        <w:pageBreakBefore w:val="0"/>
        <w:kinsoku/>
        <w:wordWrap/>
        <w:overflowPunct/>
        <w:topLinePunct w:val="0"/>
        <w:autoSpaceDE/>
        <w:autoSpaceDN/>
        <w:bidi w:val="0"/>
        <w:adjustRightInd/>
        <w:snapToGrid/>
        <w:spacing w:line="46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依据《中华人民共和国民法典》、《中华人民共和国政府采购法》等有关法律规定，双方就河南工业和信息化职业学院2025年-2028年物业服务项目有关事项协商一致，达成以下条款，须双方共同遵守。</w:t>
      </w:r>
    </w:p>
    <w:p w14:paraId="0837F70F">
      <w:pPr>
        <w:keepNext w:val="0"/>
        <w:keepLines w:val="0"/>
        <w:pageBreakBefore w:val="0"/>
        <w:kinsoku/>
        <w:wordWrap/>
        <w:overflowPunct/>
        <w:topLinePunct w:val="0"/>
        <w:autoSpaceDE/>
        <w:autoSpaceDN/>
        <w:bidi w:val="0"/>
        <w:adjustRightInd/>
        <w:snapToGrid/>
        <w:spacing w:line="460" w:lineRule="exact"/>
        <w:ind w:left="0" w:right="0" w:firstLine="42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一、本合同的基本原则及基本情况</w:t>
      </w:r>
    </w:p>
    <w:p w14:paraId="3FA12FD1">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乙方须服从甲方相关职能部门的管理，乙方委派投标文件明确的项目经理为驻甲方项目管理的负责人，非特殊情况合同期内不得更换项目管理负责人。甲方相应的服务要求通过所属的物业管理部门传达给乙方，乙方应当组织人员完成甲方的服务。</w:t>
      </w:r>
    </w:p>
    <w:p w14:paraId="2AF1CB4D">
      <w:pPr>
        <w:keepNext w:val="0"/>
        <w:keepLines w:val="0"/>
        <w:pageBreakBefore w:val="0"/>
        <w:kinsoku/>
        <w:wordWrap/>
        <w:overflowPunct/>
        <w:topLinePunct w:val="0"/>
        <w:autoSpaceDE/>
        <w:autoSpaceDN/>
        <w:bidi w:val="0"/>
        <w:adjustRightInd/>
        <w:snapToGrid/>
        <w:spacing w:line="460" w:lineRule="exact"/>
        <w:ind w:left="0" w:right="0" w:firstLine="480" w:firstLineChars="200"/>
        <w:textAlignment w:val="auto"/>
        <w:rPr>
          <w:rFonts w:hint="default" w:ascii="Times New Roman" w:hAnsi="Times New Roman" w:cs="Times New Roman"/>
          <w:color w:val="auto"/>
        </w:rPr>
      </w:pPr>
      <w:r>
        <w:rPr>
          <w:rFonts w:hint="default" w:ascii="Times New Roman" w:hAnsi="Times New Roman" w:eastAsia="宋体" w:cs="Times New Roman"/>
          <w:color w:val="auto"/>
          <w:sz w:val="24"/>
          <w:szCs w:val="24"/>
        </w:rPr>
        <w:t>2.服务内容：</w:t>
      </w:r>
      <w:r>
        <w:rPr>
          <w:rFonts w:hint="default" w:ascii="Times New Roman" w:hAnsi="Times New Roman" w:eastAsia="宋体" w:cs="Times New Roman"/>
          <w:color w:val="auto"/>
          <w:sz w:val="24"/>
          <w:szCs w:val="24"/>
          <w:lang w:val="en-US" w:eastAsia="zh-CN"/>
        </w:rPr>
        <w:t>教学组团、宿舍楼、办公楼、教学楼内公共教室、主要会议室等处公共部分（走廊、楼梯、卫生间）的保洁工作；校园内道路、人行步道、广场、绿篱、草坪、宣传栏等的保洁工作；校园内所有公共区域垃圾清理外运工作；宿舍楼的管理工作；学生宿舍调整后宿舍内部整理工作；楼宇内下水道堵塞清理工作；校园整体水电五金维修工作。</w:t>
      </w:r>
    </w:p>
    <w:p w14:paraId="534DD273">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3.业主名称：河南工业和信息化职业学院 </w:t>
      </w:r>
    </w:p>
    <w:p w14:paraId="1B3C7D13">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地理位置：焦作市新区碧莲路801号河南工业和信息化职业学院学校内。</w:t>
      </w:r>
    </w:p>
    <w:p w14:paraId="20C4D522">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4.服务期限：从20</w:t>
      </w:r>
      <w:r>
        <w:rPr>
          <w:rFonts w:hint="default"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rPr>
        <w:t>年9月1日至20</w:t>
      </w:r>
      <w:r>
        <w:rPr>
          <w:rFonts w:hint="default" w:ascii="Times New Roman" w:hAnsi="Times New Roman" w:eastAsia="宋体" w:cs="Times New Roman"/>
          <w:color w:val="auto"/>
          <w:sz w:val="24"/>
          <w:szCs w:val="24"/>
          <w:lang w:val="en-US" w:eastAsia="zh-CN"/>
        </w:rPr>
        <w:t>28</w:t>
      </w:r>
      <w:r>
        <w:rPr>
          <w:rFonts w:hint="default" w:ascii="Times New Roman" w:hAnsi="Times New Roman" w:eastAsia="宋体" w:cs="Times New Roman"/>
          <w:color w:val="auto"/>
          <w:sz w:val="24"/>
          <w:szCs w:val="24"/>
        </w:rPr>
        <w:t>年8月31日。</w:t>
      </w:r>
    </w:p>
    <w:p w14:paraId="23F01D8F">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5.合同价格：</w:t>
      </w:r>
      <w:r>
        <w:rPr>
          <w:rFonts w:hint="default" w:ascii="Times New Roman" w:hAnsi="Times New Roman" w:eastAsia="宋体" w:cs="Times New Roman"/>
          <w:color w:val="auto"/>
          <w:sz w:val="24"/>
          <w:szCs w:val="24"/>
          <w:lang w:val="en-US" w:eastAsia="zh-CN"/>
        </w:rPr>
        <w:t>三</w:t>
      </w:r>
      <w:r>
        <w:rPr>
          <w:rFonts w:hint="default" w:ascii="Times New Roman" w:hAnsi="Times New Roman" w:eastAsia="宋体" w:cs="Times New Roman"/>
          <w:color w:val="auto"/>
          <w:sz w:val="24"/>
          <w:szCs w:val="24"/>
        </w:rPr>
        <w:t>年总服务费为</w:t>
      </w:r>
      <w:r>
        <w:rPr>
          <w:rFonts w:hint="default" w:ascii="Times New Roman" w:hAnsi="Times New Roman" w:cs="Times New Roman"/>
          <w:color w:val="auto"/>
          <w:sz w:val="21"/>
          <w:szCs w:val="21"/>
          <w:lang w:val="en-US" w:eastAsia="zh-CN"/>
        </w:rPr>
        <w:t xml:space="preserve">           </w:t>
      </w:r>
      <w:r>
        <w:rPr>
          <w:rFonts w:hint="default" w:ascii="Times New Roman" w:hAnsi="Times New Roman" w:eastAsia="宋体" w:cs="Times New Roman"/>
          <w:b/>
          <w:color w:val="auto"/>
          <w:sz w:val="24"/>
          <w:szCs w:val="24"/>
          <w:u w:val="single"/>
        </w:rPr>
        <w:t>元</w:t>
      </w:r>
      <w:r>
        <w:rPr>
          <w:rFonts w:hint="default" w:ascii="Times New Roman" w:hAnsi="Times New Roman" w:eastAsia="宋体" w:cs="Times New Roman"/>
          <w:color w:val="auto"/>
          <w:sz w:val="24"/>
          <w:szCs w:val="24"/>
        </w:rPr>
        <w:t>人民币，大写：</w:t>
      </w:r>
      <w:r>
        <w:rPr>
          <w:rFonts w:hint="default" w:ascii="Times New Roman" w:hAnsi="Times New Roman" w:cs="Times New Roman"/>
          <w:color w:val="auto"/>
          <w:sz w:val="21"/>
          <w:szCs w:val="21"/>
          <w:lang w:val="en-US" w:eastAsia="zh-CN"/>
        </w:rPr>
        <w:t xml:space="preserve">              </w:t>
      </w:r>
      <w:r>
        <w:rPr>
          <w:rFonts w:hint="default" w:ascii="Times New Roman" w:hAnsi="Times New Roman" w:eastAsia="宋体" w:cs="Times New Roman"/>
          <w:b/>
          <w:color w:val="auto"/>
          <w:sz w:val="24"/>
          <w:szCs w:val="24"/>
          <w:u w:val="single"/>
        </w:rPr>
        <w:t>整</w:t>
      </w:r>
      <w:r>
        <w:rPr>
          <w:rFonts w:hint="default" w:ascii="Times New Roman" w:hAnsi="Times New Roman" w:eastAsia="宋体" w:cs="Times New Roman"/>
          <w:color w:val="auto"/>
          <w:sz w:val="24"/>
          <w:szCs w:val="24"/>
        </w:rPr>
        <w:t>。</w:t>
      </w:r>
    </w:p>
    <w:p w14:paraId="11970482">
      <w:pPr>
        <w:keepNext w:val="0"/>
        <w:keepLines w:val="0"/>
        <w:pageBreakBefore w:val="0"/>
        <w:tabs>
          <w:tab w:val="center" w:pos="1169"/>
          <w:tab w:val="center" w:pos="4289"/>
          <w:tab w:val="center" w:pos="8189"/>
        </w:tabs>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t>6.付款条件及方式：  根据考核结果，服务费用按月支付。</w:t>
      </w:r>
      <w:r>
        <w:rPr>
          <w:rFonts w:hint="eastAsia" w:ascii="Times New Roman" w:hAnsi="Times New Roman" w:eastAsia="宋体" w:cs="Times New Roman"/>
          <w:color w:val="auto"/>
          <w:sz w:val="24"/>
          <w:szCs w:val="24"/>
          <w:lang w:eastAsia="zh-CN"/>
        </w:rPr>
        <w:t>乙方</w:t>
      </w:r>
      <w:r>
        <w:rPr>
          <w:rFonts w:hint="default" w:ascii="Times New Roman" w:hAnsi="Times New Roman" w:eastAsia="宋体" w:cs="Times New Roman"/>
          <w:color w:val="auto"/>
          <w:sz w:val="24"/>
          <w:szCs w:val="24"/>
        </w:rPr>
        <w:t>于次月的前5日出具上个月正规发票，</w:t>
      </w:r>
      <w:r>
        <w:rPr>
          <w:rFonts w:hint="eastAsia" w:ascii="Times New Roman" w:hAnsi="Times New Roman" w:eastAsia="宋体" w:cs="Times New Roman"/>
          <w:color w:val="auto"/>
          <w:sz w:val="24"/>
          <w:szCs w:val="24"/>
          <w:lang w:eastAsia="zh-CN"/>
        </w:rPr>
        <w:t>甲方</w:t>
      </w:r>
      <w:r>
        <w:rPr>
          <w:rFonts w:hint="default" w:ascii="Times New Roman" w:hAnsi="Times New Roman" w:eastAsia="宋体" w:cs="Times New Roman"/>
          <w:color w:val="auto"/>
          <w:sz w:val="24"/>
          <w:szCs w:val="24"/>
        </w:rPr>
        <w:t>在接到发票后，于当月支付上月费用，节假日顺延。合同期内最后一个月的服务费待双方办理完交接手续后无遗留问题，由</w:t>
      </w:r>
      <w:r>
        <w:rPr>
          <w:rFonts w:hint="eastAsia" w:ascii="Times New Roman" w:hAnsi="Times New Roman" w:eastAsia="宋体" w:cs="Times New Roman"/>
          <w:color w:val="auto"/>
          <w:sz w:val="24"/>
          <w:szCs w:val="24"/>
          <w:lang w:eastAsia="zh-CN"/>
        </w:rPr>
        <w:t>甲方</w:t>
      </w:r>
      <w:r>
        <w:rPr>
          <w:rFonts w:hint="default" w:ascii="Times New Roman" w:hAnsi="Times New Roman" w:eastAsia="宋体" w:cs="Times New Roman"/>
          <w:color w:val="auto"/>
          <w:sz w:val="24"/>
          <w:szCs w:val="24"/>
        </w:rPr>
        <w:t>支付给</w:t>
      </w:r>
      <w:r>
        <w:rPr>
          <w:rFonts w:hint="eastAsia" w:ascii="Times New Roman" w:hAnsi="Times New Roman" w:eastAsia="宋体" w:cs="Times New Roman"/>
          <w:color w:val="auto"/>
          <w:sz w:val="24"/>
          <w:szCs w:val="24"/>
          <w:lang w:eastAsia="zh-CN"/>
        </w:rPr>
        <w:t>乙方</w:t>
      </w:r>
      <w:r>
        <w:rPr>
          <w:rFonts w:hint="default" w:ascii="Times New Roman" w:hAnsi="Times New Roman" w:eastAsia="宋体" w:cs="Times New Roman"/>
          <w:color w:val="auto"/>
          <w:sz w:val="24"/>
          <w:szCs w:val="24"/>
        </w:rPr>
        <w:t>。</w:t>
      </w:r>
    </w:p>
    <w:p w14:paraId="63A51EB6">
      <w:pPr>
        <w:keepNext w:val="0"/>
        <w:keepLines w:val="0"/>
        <w:pageBreakBefore w:val="0"/>
        <w:kinsoku/>
        <w:wordWrap/>
        <w:overflowPunct/>
        <w:topLinePunct w:val="0"/>
        <w:autoSpaceDE/>
        <w:autoSpaceDN/>
        <w:bidi w:val="0"/>
        <w:adjustRightInd/>
        <w:snapToGrid/>
        <w:spacing w:line="460" w:lineRule="exact"/>
        <w:ind w:left="0" w:right="0" w:firstLine="42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7.履约保证金：合同金额的4%，以支票、汇票、本票或者金融机构、担保机构出具的保函等非现金形式提交。</w:t>
      </w:r>
      <w:r>
        <w:rPr>
          <w:rFonts w:hint="eastAsia" w:ascii="Times New Roman" w:hAnsi="Times New Roman" w:eastAsia="宋体" w:cs="Times New Roman"/>
          <w:color w:val="auto"/>
          <w:sz w:val="24"/>
          <w:szCs w:val="24"/>
          <w:lang w:val="en-US" w:eastAsia="zh-CN"/>
        </w:rPr>
        <w:t>乙方</w:t>
      </w:r>
      <w:r>
        <w:rPr>
          <w:rFonts w:hint="default" w:ascii="Times New Roman" w:hAnsi="Times New Roman" w:eastAsia="宋体" w:cs="Times New Roman"/>
          <w:color w:val="auto"/>
          <w:sz w:val="24"/>
          <w:szCs w:val="24"/>
        </w:rPr>
        <w:t>履行完合同约定义务事项后退还。</w:t>
      </w:r>
    </w:p>
    <w:p w14:paraId="53DAE5AF">
      <w:pPr>
        <w:keepNext w:val="0"/>
        <w:keepLines w:val="0"/>
        <w:pageBreakBefore w:val="0"/>
        <w:kinsoku/>
        <w:wordWrap/>
        <w:overflowPunct/>
        <w:topLinePunct w:val="0"/>
        <w:autoSpaceDE/>
        <w:autoSpaceDN/>
        <w:bidi w:val="0"/>
        <w:adjustRightInd/>
        <w:snapToGrid/>
        <w:spacing w:line="460" w:lineRule="exact"/>
        <w:ind w:left="0" w:right="0" w:firstLine="422"/>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二、乙方对甲方负责提供物业管理服务详见招标文件技术部分确定的服务范围和内容。</w:t>
      </w:r>
    </w:p>
    <w:p w14:paraId="678CEB28">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1.保洁和宿舍管理服务范围</w:t>
      </w:r>
    </w:p>
    <w:tbl>
      <w:tblPr>
        <w:tblStyle w:val="52"/>
        <w:tblW w:w="9420" w:type="dxa"/>
        <w:jc w:val="center"/>
        <w:tblLayout w:type="fixed"/>
        <w:tblCellMar>
          <w:top w:w="0" w:type="dxa"/>
          <w:left w:w="108" w:type="dxa"/>
          <w:bottom w:w="0" w:type="dxa"/>
          <w:right w:w="108" w:type="dxa"/>
        </w:tblCellMar>
      </w:tblPr>
      <w:tblGrid>
        <w:gridCol w:w="814"/>
        <w:gridCol w:w="818"/>
        <w:gridCol w:w="1124"/>
        <w:gridCol w:w="2164"/>
        <w:gridCol w:w="868"/>
        <w:gridCol w:w="837"/>
        <w:gridCol w:w="837"/>
        <w:gridCol w:w="947"/>
        <w:gridCol w:w="1011"/>
      </w:tblGrid>
      <w:tr w14:paraId="021B0DEC">
        <w:tblPrEx>
          <w:tblCellMar>
            <w:top w:w="0" w:type="dxa"/>
            <w:left w:w="108" w:type="dxa"/>
            <w:bottom w:w="0" w:type="dxa"/>
            <w:right w:w="108" w:type="dxa"/>
          </w:tblCellMar>
        </w:tblPrEx>
        <w:trPr>
          <w:trHeight w:val="780" w:hRule="atLeast"/>
          <w:jc w:val="center"/>
        </w:trPr>
        <w:tc>
          <w:tcPr>
            <w:tcW w:w="814" w:type="dxa"/>
            <w:tcBorders>
              <w:top w:val="single" w:color="auto" w:sz="4" w:space="0"/>
              <w:left w:val="single" w:color="auto" w:sz="4" w:space="0"/>
              <w:bottom w:val="single" w:color="auto" w:sz="4" w:space="0"/>
              <w:right w:val="single" w:color="auto" w:sz="4" w:space="0"/>
            </w:tcBorders>
            <w:noWrap w:val="0"/>
            <w:vAlign w:val="center"/>
          </w:tcPr>
          <w:p w14:paraId="205C8313">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岗位</w:t>
            </w:r>
          </w:p>
        </w:tc>
        <w:tc>
          <w:tcPr>
            <w:tcW w:w="1942" w:type="dxa"/>
            <w:gridSpan w:val="2"/>
            <w:tcBorders>
              <w:top w:val="single" w:color="auto" w:sz="4" w:space="0"/>
              <w:left w:val="nil"/>
              <w:bottom w:val="single" w:color="auto" w:sz="4" w:space="0"/>
              <w:right w:val="single" w:color="auto" w:sz="4" w:space="0"/>
            </w:tcBorders>
            <w:noWrap w:val="0"/>
            <w:vAlign w:val="center"/>
          </w:tcPr>
          <w:p w14:paraId="53DFBB51">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人数</w:t>
            </w:r>
          </w:p>
        </w:tc>
        <w:tc>
          <w:tcPr>
            <w:tcW w:w="6664" w:type="dxa"/>
            <w:gridSpan w:val="6"/>
            <w:tcBorders>
              <w:top w:val="single" w:color="auto" w:sz="4" w:space="0"/>
              <w:left w:val="nil"/>
              <w:bottom w:val="single" w:color="auto" w:sz="4" w:space="0"/>
              <w:right w:val="single" w:color="auto" w:sz="4" w:space="0"/>
            </w:tcBorders>
            <w:noWrap w:val="0"/>
            <w:vAlign w:val="center"/>
          </w:tcPr>
          <w:p w14:paraId="3306FD11">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主要工作职责</w:t>
            </w:r>
          </w:p>
        </w:tc>
      </w:tr>
      <w:tr w14:paraId="67EB87CD">
        <w:tblPrEx>
          <w:tblCellMar>
            <w:top w:w="0" w:type="dxa"/>
            <w:left w:w="108" w:type="dxa"/>
            <w:bottom w:w="0" w:type="dxa"/>
            <w:right w:w="108" w:type="dxa"/>
          </w:tblCellMar>
        </w:tblPrEx>
        <w:trPr>
          <w:trHeight w:val="495" w:hRule="atLeast"/>
          <w:jc w:val="center"/>
        </w:trPr>
        <w:tc>
          <w:tcPr>
            <w:tcW w:w="814" w:type="dxa"/>
            <w:tcBorders>
              <w:top w:val="nil"/>
              <w:left w:val="single" w:color="auto" w:sz="4" w:space="0"/>
              <w:bottom w:val="single" w:color="auto" w:sz="4" w:space="0"/>
              <w:right w:val="single" w:color="auto" w:sz="4" w:space="0"/>
            </w:tcBorders>
            <w:noWrap/>
            <w:vAlign w:val="center"/>
          </w:tcPr>
          <w:p w14:paraId="2C0C140F">
            <w:pPr>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项目</w:t>
            </w:r>
          </w:p>
          <w:p w14:paraId="42FA87B1">
            <w:pPr>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经理</w:t>
            </w:r>
          </w:p>
        </w:tc>
        <w:tc>
          <w:tcPr>
            <w:tcW w:w="1942" w:type="dxa"/>
            <w:gridSpan w:val="2"/>
            <w:tcBorders>
              <w:top w:val="single" w:color="auto" w:sz="4" w:space="0"/>
              <w:left w:val="nil"/>
              <w:bottom w:val="single" w:color="auto" w:sz="4" w:space="0"/>
              <w:right w:val="single" w:color="auto" w:sz="4" w:space="0"/>
            </w:tcBorders>
            <w:noWrap w:val="0"/>
            <w:vAlign w:val="center"/>
          </w:tcPr>
          <w:p w14:paraId="5125BB4E">
            <w:pPr>
              <w:keepNext w:val="0"/>
              <w:keepLines w:val="0"/>
              <w:pageBreakBefore w:val="0"/>
              <w:kinsoku/>
              <w:wordWrap/>
              <w:overflowPunct/>
              <w:topLinePunct w:val="0"/>
              <w:autoSpaceDE/>
              <w:autoSpaceDN/>
              <w:bidi w:val="0"/>
              <w:adjustRightInd/>
              <w:snapToGrid/>
              <w:spacing w:line="460" w:lineRule="exact"/>
              <w:ind w:left="0" w:leftChars="0" w:right="0" w:firstLine="0" w:firstLineChars="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6664" w:type="dxa"/>
            <w:gridSpan w:val="6"/>
            <w:tcBorders>
              <w:top w:val="nil"/>
              <w:left w:val="nil"/>
              <w:bottom w:val="single" w:color="auto" w:sz="4" w:space="0"/>
              <w:right w:val="single" w:color="auto" w:sz="4" w:space="0"/>
            </w:tcBorders>
            <w:noWrap w:val="0"/>
            <w:vAlign w:val="center"/>
          </w:tcPr>
          <w:p w14:paraId="05B5BEE7">
            <w:pPr>
              <w:keepNext w:val="0"/>
              <w:keepLines w:val="0"/>
              <w:pageBreakBefore w:val="0"/>
              <w:kinsoku/>
              <w:wordWrap/>
              <w:overflowPunct/>
              <w:topLinePunct w:val="0"/>
              <w:autoSpaceDE/>
              <w:autoSpaceDN/>
              <w:bidi w:val="0"/>
              <w:adjustRightInd/>
              <w:snapToGrid/>
              <w:spacing w:line="460" w:lineRule="exact"/>
              <w:ind w:left="0" w:right="0" w:firstLine="48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统筹负责物业各项工作</w:t>
            </w:r>
          </w:p>
        </w:tc>
      </w:tr>
      <w:tr w14:paraId="427B990B">
        <w:tblPrEx>
          <w:tblCellMar>
            <w:top w:w="0" w:type="dxa"/>
            <w:left w:w="108" w:type="dxa"/>
            <w:bottom w:w="0" w:type="dxa"/>
            <w:right w:w="108" w:type="dxa"/>
          </w:tblCellMar>
        </w:tblPrEx>
        <w:trPr>
          <w:trHeight w:val="495" w:hRule="atLeast"/>
          <w:jc w:val="center"/>
        </w:trPr>
        <w:tc>
          <w:tcPr>
            <w:tcW w:w="814" w:type="dxa"/>
            <w:vMerge w:val="restart"/>
            <w:tcBorders>
              <w:top w:val="nil"/>
              <w:left w:val="single" w:color="auto" w:sz="4" w:space="0"/>
              <w:right w:val="single" w:color="auto" w:sz="4" w:space="0"/>
            </w:tcBorders>
            <w:noWrap/>
            <w:vAlign w:val="center"/>
          </w:tcPr>
          <w:p w14:paraId="64412E16">
            <w:pPr>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color w:val="auto"/>
                <w:kern w:val="0"/>
                <w:sz w:val="24"/>
                <w:szCs w:val="24"/>
              </w:rPr>
              <w:t>保洁</w:t>
            </w:r>
          </w:p>
        </w:tc>
        <w:tc>
          <w:tcPr>
            <w:tcW w:w="1942" w:type="dxa"/>
            <w:gridSpan w:val="2"/>
            <w:tcBorders>
              <w:top w:val="single" w:color="auto" w:sz="4" w:space="0"/>
              <w:left w:val="nil"/>
              <w:bottom w:val="single" w:color="auto" w:sz="4" w:space="0"/>
              <w:right w:val="single" w:color="auto" w:sz="4" w:space="0"/>
            </w:tcBorders>
            <w:noWrap w:val="0"/>
            <w:vAlign w:val="center"/>
          </w:tcPr>
          <w:p w14:paraId="08DA4FB0">
            <w:pPr>
              <w:keepNext w:val="0"/>
              <w:keepLines w:val="0"/>
              <w:pageBreakBefore w:val="0"/>
              <w:kinsoku/>
              <w:wordWrap/>
              <w:overflowPunct/>
              <w:topLinePunct w:val="0"/>
              <w:autoSpaceDE/>
              <w:autoSpaceDN/>
              <w:bidi w:val="0"/>
              <w:adjustRightInd/>
              <w:snapToGrid/>
              <w:spacing w:line="460" w:lineRule="exact"/>
              <w:ind w:left="0" w:right="0" w:firstLine="482"/>
              <w:jc w:val="center"/>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位置</w:t>
            </w:r>
          </w:p>
        </w:tc>
        <w:tc>
          <w:tcPr>
            <w:tcW w:w="2164" w:type="dxa"/>
            <w:tcBorders>
              <w:top w:val="nil"/>
              <w:left w:val="nil"/>
              <w:bottom w:val="single" w:color="auto" w:sz="4" w:space="0"/>
              <w:right w:val="single" w:color="auto" w:sz="4" w:space="0"/>
            </w:tcBorders>
            <w:noWrap w:val="0"/>
            <w:vAlign w:val="center"/>
          </w:tcPr>
          <w:p w14:paraId="676A7A74">
            <w:pPr>
              <w:keepNext w:val="0"/>
              <w:keepLines w:val="0"/>
              <w:pageBreakBefore w:val="0"/>
              <w:kinsoku/>
              <w:wordWrap/>
              <w:overflowPunct/>
              <w:topLinePunct w:val="0"/>
              <w:autoSpaceDE/>
              <w:autoSpaceDN/>
              <w:bidi w:val="0"/>
              <w:adjustRightInd/>
              <w:snapToGrid/>
              <w:spacing w:line="460" w:lineRule="exact"/>
              <w:ind w:left="0" w:leftChars="0" w:right="0" w:firstLine="0" w:firstLineChars="0"/>
              <w:jc w:val="center"/>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类别</w:t>
            </w:r>
          </w:p>
        </w:tc>
        <w:tc>
          <w:tcPr>
            <w:tcW w:w="868" w:type="dxa"/>
            <w:tcBorders>
              <w:top w:val="nil"/>
              <w:left w:val="nil"/>
              <w:bottom w:val="single" w:color="auto" w:sz="4" w:space="0"/>
              <w:right w:val="single" w:color="auto" w:sz="4" w:space="0"/>
            </w:tcBorders>
            <w:noWrap w:val="0"/>
            <w:vAlign w:val="center"/>
          </w:tcPr>
          <w:p w14:paraId="5F2E62D3">
            <w:pPr>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层数</w:t>
            </w:r>
          </w:p>
        </w:tc>
        <w:tc>
          <w:tcPr>
            <w:tcW w:w="837" w:type="dxa"/>
            <w:tcBorders>
              <w:top w:val="nil"/>
              <w:left w:val="nil"/>
              <w:bottom w:val="single" w:color="auto" w:sz="4" w:space="0"/>
              <w:right w:val="single" w:color="auto" w:sz="4" w:space="0"/>
            </w:tcBorders>
            <w:noWrap w:val="0"/>
            <w:vAlign w:val="center"/>
          </w:tcPr>
          <w:p w14:paraId="4C285C3C">
            <w:pPr>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每层个数</w:t>
            </w:r>
          </w:p>
        </w:tc>
        <w:tc>
          <w:tcPr>
            <w:tcW w:w="837" w:type="dxa"/>
            <w:tcBorders>
              <w:top w:val="nil"/>
              <w:left w:val="nil"/>
              <w:bottom w:val="single" w:color="auto" w:sz="4" w:space="0"/>
              <w:right w:val="single" w:color="auto" w:sz="4" w:space="0"/>
            </w:tcBorders>
            <w:noWrap w:val="0"/>
            <w:vAlign w:val="center"/>
          </w:tcPr>
          <w:p w14:paraId="7B4C07E1">
            <w:pPr>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总数</w:t>
            </w:r>
          </w:p>
        </w:tc>
        <w:tc>
          <w:tcPr>
            <w:tcW w:w="947" w:type="dxa"/>
            <w:tcBorders>
              <w:top w:val="nil"/>
              <w:left w:val="nil"/>
              <w:bottom w:val="single" w:color="auto" w:sz="4" w:space="0"/>
              <w:right w:val="single" w:color="auto" w:sz="4" w:space="0"/>
            </w:tcBorders>
            <w:noWrap w:val="0"/>
            <w:vAlign w:val="center"/>
          </w:tcPr>
          <w:p w14:paraId="5EACE262">
            <w:pPr>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面积/m</w:t>
            </w:r>
            <w:r>
              <w:rPr>
                <w:rFonts w:hint="default" w:ascii="Times New Roman" w:hAnsi="Times New Roman" w:eastAsia="宋体" w:cs="Times New Roman"/>
                <w:b/>
                <w:bCs/>
                <w:color w:val="auto"/>
                <w:kern w:val="0"/>
                <w:sz w:val="24"/>
                <w:szCs w:val="24"/>
                <w:vertAlign w:val="superscript"/>
              </w:rPr>
              <w:t>2</w:t>
            </w:r>
          </w:p>
        </w:tc>
        <w:tc>
          <w:tcPr>
            <w:tcW w:w="1011" w:type="dxa"/>
            <w:tcBorders>
              <w:top w:val="nil"/>
              <w:left w:val="nil"/>
              <w:bottom w:val="single" w:color="auto" w:sz="4" w:space="0"/>
              <w:right w:val="single" w:color="auto" w:sz="4" w:space="0"/>
            </w:tcBorders>
            <w:noWrap w:val="0"/>
            <w:vAlign w:val="center"/>
          </w:tcPr>
          <w:p w14:paraId="66470FC8">
            <w:pPr>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总面积/m</w:t>
            </w:r>
            <w:r>
              <w:rPr>
                <w:rFonts w:hint="default" w:ascii="Times New Roman" w:hAnsi="Times New Roman" w:eastAsia="宋体" w:cs="Times New Roman"/>
                <w:b/>
                <w:bCs/>
                <w:color w:val="auto"/>
                <w:kern w:val="0"/>
                <w:sz w:val="24"/>
                <w:szCs w:val="24"/>
                <w:vertAlign w:val="superscript"/>
              </w:rPr>
              <w:t>2</w:t>
            </w:r>
          </w:p>
        </w:tc>
      </w:tr>
      <w:tr w14:paraId="60787E50">
        <w:tblPrEx>
          <w:tblCellMar>
            <w:top w:w="0" w:type="dxa"/>
            <w:left w:w="108" w:type="dxa"/>
            <w:bottom w:w="0" w:type="dxa"/>
            <w:right w:w="108" w:type="dxa"/>
          </w:tblCellMar>
        </w:tblPrEx>
        <w:trPr>
          <w:trHeight w:val="570" w:hRule="atLeast"/>
          <w:jc w:val="center"/>
        </w:trPr>
        <w:tc>
          <w:tcPr>
            <w:tcW w:w="814" w:type="dxa"/>
            <w:vMerge w:val="continue"/>
            <w:tcBorders>
              <w:left w:val="single" w:color="auto" w:sz="4" w:space="0"/>
              <w:right w:val="single" w:color="auto" w:sz="4" w:space="0"/>
            </w:tcBorders>
            <w:noWrap/>
            <w:vAlign w:val="center"/>
          </w:tcPr>
          <w:p w14:paraId="51573303">
            <w:pPr>
              <w:keepNext w:val="0"/>
              <w:keepLines w:val="0"/>
              <w:pageBreakBefore w:val="0"/>
              <w:kinsoku/>
              <w:wordWrap/>
              <w:overflowPunct/>
              <w:topLinePunct w:val="0"/>
              <w:autoSpaceDE/>
              <w:autoSpaceDN/>
              <w:bidi w:val="0"/>
              <w:adjustRightInd/>
              <w:snapToGrid/>
              <w:spacing w:line="460" w:lineRule="exact"/>
              <w:ind w:left="0" w:right="0" w:firstLine="480"/>
              <w:jc w:val="center"/>
              <w:textAlignment w:val="auto"/>
              <w:rPr>
                <w:rFonts w:hint="default" w:ascii="Times New Roman" w:hAnsi="Times New Roman" w:eastAsia="宋体" w:cs="Times New Roman"/>
                <w:color w:val="auto"/>
                <w:kern w:val="0"/>
                <w:sz w:val="24"/>
                <w:szCs w:val="24"/>
              </w:rPr>
            </w:pPr>
          </w:p>
        </w:tc>
        <w:tc>
          <w:tcPr>
            <w:tcW w:w="1942" w:type="dxa"/>
            <w:gridSpan w:val="2"/>
            <w:vMerge w:val="restart"/>
            <w:tcBorders>
              <w:top w:val="single" w:color="auto" w:sz="4" w:space="0"/>
              <w:left w:val="nil"/>
              <w:right w:val="single" w:color="auto" w:sz="4" w:space="0"/>
            </w:tcBorders>
            <w:noWrap w:val="0"/>
            <w:vAlign w:val="center"/>
          </w:tcPr>
          <w:p w14:paraId="605CDB51">
            <w:pPr>
              <w:keepNext w:val="0"/>
              <w:keepLines w:val="0"/>
              <w:pageBreakBefore w:val="0"/>
              <w:kinsoku/>
              <w:wordWrap/>
              <w:overflowPunct/>
              <w:topLinePunct w:val="0"/>
              <w:autoSpaceDE/>
              <w:autoSpaceDN/>
              <w:bidi w:val="0"/>
              <w:adjustRightInd/>
              <w:snapToGrid/>
              <w:spacing w:line="460" w:lineRule="exact"/>
              <w:ind w:left="0" w:right="0" w:firstLine="48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信息楼</w:t>
            </w:r>
          </w:p>
        </w:tc>
        <w:tc>
          <w:tcPr>
            <w:tcW w:w="2164" w:type="dxa"/>
            <w:tcBorders>
              <w:top w:val="nil"/>
              <w:left w:val="nil"/>
              <w:bottom w:val="single" w:color="auto" w:sz="4" w:space="0"/>
              <w:right w:val="single" w:color="auto" w:sz="4" w:space="0"/>
            </w:tcBorders>
            <w:noWrap w:val="0"/>
            <w:vAlign w:val="center"/>
          </w:tcPr>
          <w:p w14:paraId="40C6BF71">
            <w:pPr>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厕所（含洗漱间）</w:t>
            </w:r>
          </w:p>
        </w:tc>
        <w:tc>
          <w:tcPr>
            <w:tcW w:w="868" w:type="dxa"/>
            <w:tcBorders>
              <w:top w:val="nil"/>
              <w:left w:val="nil"/>
              <w:bottom w:val="single" w:color="auto" w:sz="4" w:space="0"/>
              <w:right w:val="single" w:color="auto" w:sz="4" w:space="0"/>
            </w:tcBorders>
            <w:noWrap w:val="0"/>
            <w:vAlign w:val="center"/>
          </w:tcPr>
          <w:p w14:paraId="7D7F989A">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9</w:t>
            </w:r>
          </w:p>
        </w:tc>
        <w:tc>
          <w:tcPr>
            <w:tcW w:w="837" w:type="dxa"/>
            <w:tcBorders>
              <w:top w:val="nil"/>
              <w:left w:val="nil"/>
              <w:bottom w:val="single" w:color="auto" w:sz="4" w:space="0"/>
              <w:right w:val="single" w:color="auto" w:sz="4" w:space="0"/>
            </w:tcBorders>
            <w:noWrap w:val="0"/>
            <w:vAlign w:val="center"/>
          </w:tcPr>
          <w:p w14:paraId="35023DCE">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837" w:type="dxa"/>
            <w:tcBorders>
              <w:top w:val="nil"/>
              <w:left w:val="nil"/>
              <w:bottom w:val="single" w:color="auto" w:sz="4" w:space="0"/>
              <w:right w:val="single" w:color="auto" w:sz="4" w:space="0"/>
            </w:tcBorders>
            <w:noWrap w:val="0"/>
            <w:vAlign w:val="center"/>
          </w:tcPr>
          <w:p w14:paraId="6E16E3FA">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18</w:t>
            </w:r>
          </w:p>
        </w:tc>
        <w:tc>
          <w:tcPr>
            <w:tcW w:w="947" w:type="dxa"/>
            <w:tcBorders>
              <w:top w:val="nil"/>
              <w:left w:val="nil"/>
              <w:bottom w:val="single" w:color="auto" w:sz="4" w:space="0"/>
              <w:right w:val="single" w:color="auto" w:sz="4" w:space="0"/>
            </w:tcBorders>
            <w:noWrap w:val="0"/>
            <w:vAlign w:val="center"/>
          </w:tcPr>
          <w:p w14:paraId="59DAA8C8">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45</w:t>
            </w:r>
          </w:p>
        </w:tc>
        <w:tc>
          <w:tcPr>
            <w:tcW w:w="1011" w:type="dxa"/>
            <w:tcBorders>
              <w:top w:val="nil"/>
              <w:left w:val="nil"/>
              <w:bottom w:val="single" w:color="auto" w:sz="4" w:space="0"/>
              <w:right w:val="single" w:color="auto" w:sz="4" w:space="0"/>
            </w:tcBorders>
            <w:noWrap w:val="0"/>
            <w:vAlign w:val="center"/>
          </w:tcPr>
          <w:p w14:paraId="4A12BBBF">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810</w:t>
            </w:r>
          </w:p>
        </w:tc>
      </w:tr>
      <w:tr w14:paraId="4F5DF215">
        <w:tblPrEx>
          <w:tblCellMar>
            <w:top w:w="0" w:type="dxa"/>
            <w:left w:w="108" w:type="dxa"/>
            <w:bottom w:w="0" w:type="dxa"/>
            <w:right w:w="108" w:type="dxa"/>
          </w:tblCellMar>
        </w:tblPrEx>
        <w:trPr>
          <w:trHeight w:val="570" w:hRule="atLeast"/>
          <w:jc w:val="center"/>
        </w:trPr>
        <w:tc>
          <w:tcPr>
            <w:tcW w:w="814" w:type="dxa"/>
            <w:vMerge w:val="continue"/>
            <w:tcBorders>
              <w:left w:val="single" w:color="auto" w:sz="4" w:space="0"/>
              <w:right w:val="single" w:color="auto" w:sz="4" w:space="0"/>
            </w:tcBorders>
            <w:noWrap/>
            <w:vAlign w:val="center"/>
          </w:tcPr>
          <w:p w14:paraId="147CDF3A">
            <w:pPr>
              <w:keepNext w:val="0"/>
              <w:keepLines w:val="0"/>
              <w:pageBreakBefore w:val="0"/>
              <w:kinsoku/>
              <w:wordWrap/>
              <w:overflowPunct/>
              <w:topLinePunct w:val="0"/>
              <w:autoSpaceDE/>
              <w:autoSpaceDN/>
              <w:bidi w:val="0"/>
              <w:adjustRightInd/>
              <w:snapToGrid/>
              <w:spacing w:line="460" w:lineRule="exact"/>
              <w:ind w:left="0" w:right="0" w:firstLine="480"/>
              <w:jc w:val="center"/>
              <w:textAlignment w:val="auto"/>
              <w:rPr>
                <w:rFonts w:hint="default" w:ascii="Times New Roman" w:hAnsi="Times New Roman" w:eastAsia="宋体" w:cs="Times New Roman"/>
                <w:color w:val="auto"/>
                <w:kern w:val="0"/>
                <w:sz w:val="24"/>
                <w:szCs w:val="24"/>
              </w:rPr>
            </w:pPr>
          </w:p>
        </w:tc>
        <w:tc>
          <w:tcPr>
            <w:tcW w:w="1942" w:type="dxa"/>
            <w:gridSpan w:val="2"/>
            <w:vMerge w:val="continue"/>
            <w:tcBorders>
              <w:left w:val="nil"/>
              <w:bottom w:val="single" w:color="auto" w:sz="4" w:space="0"/>
              <w:right w:val="single" w:color="auto" w:sz="4" w:space="0"/>
            </w:tcBorders>
            <w:noWrap w:val="0"/>
            <w:vAlign w:val="center"/>
          </w:tcPr>
          <w:p w14:paraId="511EBC64">
            <w:pPr>
              <w:keepNext w:val="0"/>
              <w:keepLines w:val="0"/>
              <w:pageBreakBefore w:val="0"/>
              <w:kinsoku/>
              <w:wordWrap/>
              <w:overflowPunct/>
              <w:topLinePunct w:val="0"/>
              <w:autoSpaceDE/>
              <w:autoSpaceDN/>
              <w:bidi w:val="0"/>
              <w:adjustRightInd/>
              <w:snapToGrid/>
              <w:spacing w:line="460" w:lineRule="exact"/>
              <w:ind w:left="0" w:right="0" w:firstLine="480"/>
              <w:jc w:val="center"/>
              <w:textAlignment w:val="auto"/>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0"/>
            <w:vAlign w:val="center"/>
          </w:tcPr>
          <w:p w14:paraId="725A6271">
            <w:pPr>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0"/>
            <w:vAlign w:val="center"/>
          </w:tcPr>
          <w:p w14:paraId="04966BFB">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9</w:t>
            </w:r>
          </w:p>
        </w:tc>
        <w:tc>
          <w:tcPr>
            <w:tcW w:w="837" w:type="dxa"/>
            <w:tcBorders>
              <w:top w:val="nil"/>
              <w:left w:val="nil"/>
              <w:bottom w:val="single" w:color="auto" w:sz="4" w:space="0"/>
              <w:right w:val="single" w:color="auto" w:sz="4" w:space="0"/>
            </w:tcBorders>
            <w:noWrap w:val="0"/>
            <w:vAlign w:val="center"/>
          </w:tcPr>
          <w:p w14:paraId="1F144541">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4CA54845">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9</w:t>
            </w:r>
          </w:p>
        </w:tc>
        <w:tc>
          <w:tcPr>
            <w:tcW w:w="947" w:type="dxa"/>
            <w:tcBorders>
              <w:top w:val="nil"/>
              <w:left w:val="nil"/>
              <w:bottom w:val="single" w:color="auto" w:sz="4" w:space="0"/>
              <w:right w:val="single" w:color="auto" w:sz="4" w:space="0"/>
            </w:tcBorders>
            <w:noWrap w:val="0"/>
            <w:vAlign w:val="center"/>
          </w:tcPr>
          <w:p w14:paraId="3AAD3F55">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205</w:t>
            </w:r>
          </w:p>
        </w:tc>
        <w:tc>
          <w:tcPr>
            <w:tcW w:w="1011" w:type="dxa"/>
            <w:tcBorders>
              <w:top w:val="nil"/>
              <w:left w:val="nil"/>
              <w:bottom w:val="single" w:color="auto" w:sz="4" w:space="0"/>
              <w:right w:val="single" w:color="auto" w:sz="4" w:space="0"/>
            </w:tcBorders>
            <w:noWrap w:val="0"/>
            <w:vAlign w:val="center"/>
          </w:tcPr>
          <w:p w14:paraId="21FA49A9">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1845</w:t>
            </w:r>
          </w:p>
        </w:tc>
      </w:tr>
      <w:tr w14:paraId="2180FEF5">
        <w:tblPrEx>
          <w:tblCellMar>
            <w:top w:w="0" w:type="dxa"/>
            <w:left w:w="108" w:type="dxa"/>
            <w:bottom w:w="0" w:type="dxa"/>
            <w:right w:w="108" w:type="dxa"/>
          </w:tblCellMar>
        </w:tblPrEx>
        <w:trPr>
          <w:trHeight w:val="570" w:hRule="atLeast"/>
          <w:jc w:val="center"/>
        </w:trPr>
        <w:tc>
          <w:tcPr>
            <w:tcW w:w="814" w:type="dxa"/>
            <w:vMerge w:val="continue"/>
            <w:tcBorders>
              <w:left w:val="single" w:color="auto" w:sz="4" w:space="0"/>
              <w:right w:val="single" w:color="auto" w:sz="4" w:space="0"/>
            </w:tcBorders>
            <w:noWrap w:val="0"/>
            <w:vAlign w:val="center"/>
          </w:tcPr>
          <w:p w14:paraId="49F88FC6">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818" w:type="dxa"/>
            <w:vMerge w:val="restart"/>
            <w:tcBorders>
              <w:top w:val="nil"/>
              <w:left w:val="single" w:color="auto" w:sz="4" w:space="0"/>
              <w:right w:val="single" w:color="auto" w:sz="4" w:space="0"/>
            </w:tcBorders>
            <w:noWrap w:val="0"/>
            <w:vAlign w:val="center"/>
          </w:tcPr>
          <w:p w14:paraId="3F14949A">
            <w:pPr>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一组团</w:t>
            </w:r>
          </w:p>
        </w:tc>
        <w:tc>
          <w:tcPr>
            <w:tcW w:w="1124" w:type="dxa"/>
            <w:vMerge w:val="restart"/>
            <w:tcBorders>
              <w:top w:val="nil"/>
              <w:left w:val="nil"/>
              <w:right w:val="single" w:color="auto" w:sz="4" w:space="0"/>
            </w:tcBorders>
            <w:noWrap w:val="0"/>
            <w:vAlign w:val="center"/>
          </w:tcPr>
          <w:p w14:paraId="1655E43A">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教学楼</w:t>
            </w:r>
          </w:p>
        </w:tc>
        <w:tc>
          <w:tcPr>
            <w:tcW w:w="2164" w:type="dxa"/>
            <w:tcBorders>
              <w:top w:val="nil"/>
              <w:left w:val="nil"/>
              <w:bottom w:val="single" w:color="auto" w:sz="4" w:space="0"/>
              <w:right w:val="single" w:color="auto" w:sz="4" w:space="0"/>
            </w:tcBorders>
            <w:noWrap w:val="0"/>
            <w:vAlign w:val="center"/>
          </w:tcPr>
          <w:p w14:paraId="1E23D2D8">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厕所（含洗漱间）</w:t>
            </w:r>
          </w:p>
        </w:tc>
        <w:tc>
          <w:tcPr>
            <w:tcW w:w="868" w:type="dxa"/>
            <w:tcBorders>
              <w:top w:val="nil"/>
              <w:left w:val="nil"/>
              <w:bottom w:val="single" w:color="auto" w:sz="4" w:space="0"/>
              <w:right w:val="single" w:color="auto" w:sz="4" w:space="0"/>
            </w:tcBorders>
            <w:noWrap w:val="0"/>
            <w:vAlign w:val="center"/>
          </w:tcPr>
          <w:p w14:paraId="607A4869">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0"/>
            <w:vAlign w:val="center"/>
          </w:tcPr>
          <w:p w14:paraId="71C3D8C0">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w:t>
            </w:r>
          </w:p>
        </w:tc>
        <w:tc>
          <w:tcPr>
            <w:tcW w:w="837" w:type="dxa"/>
            <w:tcBorders>
              <w:top w:val="nil"/>
              <w:left w:val="nil"/>
              <w:bottom w:val="single" w:color="auto" w:sz="4" w:space="0"/>
              <w:right w:val="single" w:color="auto" w:sz="4" w:space="0"/>
            </w:tcBorders>
            <w:noWrap w:val="0"/>
            <w:vAlign w:val="center"/>
          </w:tcPr>
          <w:p w14:paraId="5997F119">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24</w:t>
            </w:r>
          </w:p>
        </w:tc>
        <w:tc>
          <w:tcPr>
            <w:tcW w:w="947" w:type="dxa"/>
            <w:tcBorders>
              <w:top w:val="nil"/>
              <w:left w:val="nil"/>
              <w:bottom w:val="single" w:color="auto" w:sz="4" w:space="0"/>
              <w:right w:val="single" w:color="auto" w:sz="4" w:space="0"/>
            </w:tcBorders>
            <w:noWrap w:val="0"/>
            <w:vAlign w:val="center"/>
          </w:tcPr>
          <w:p w14:paraId="677B93F5">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w:t>
            </w:r>
          </w:p>
        </w:tc>
        <w:tc>
          <w:tcPr>
            <w:tcW w:w="1011" w:type="dxa"/>
            <w:tcBorders>
              <w:top w:val="nil"/>
              <w:left w:val="nil"/>
              <w:bottom w:val="single" w:color="auto" w:sz="4" w:space="0"/>
              <w:right w:val="single" w:color="auto" w:sz="4" w:space="0"/>
            </w:tcBorders>
            <w:noWrap w:val="0"/>
            <w:vAlign w:val="center"/>
          </w:tcPr>
          <w:p w14:paraId="160BF42E">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720</w:t>
            </w:r>
          </w:p>
        </w:tc>
      </w:tr>
      <w:tr w14:paraId="0EAEB6F4">
        <w:tblPrEx>
          <w:tblCellMar>
            <w:top w:w="0" w:type="dxa"/>
            <w:left w:w="108" w:type="dxa"/>
            <w:bottom w:w="0" w:type="dxa"/>
            <w:right w:w="108" w:type="dxa"/>
          </w:tblCellMar>
        </w:tblPrEx>
        <w:trPr>
          <w:trHeight w:val="570" w:hRule="atLeast"/>
          <w:jc w:val="center"/>
        </w:trPr>
        <w:tc>
          <w:tcPr>
            <w:tcW w:w="814" w:type="dxa"/>
            <w:vMerge w:val="continue"/>
            <w:tcBorders>
              <w:left w:val="single" w:color="auto" w:sz="4" w:space="0"/>
              <w:right w:val="single" w:color="auto" w:sz="4" w:space="0"/>
            </w:tcBorders>
            <w:noWrap w:val="0"/>
            <w:vAlign w:val="center"/>
          </w:tcPr>
          <w:p w14:paraId="00D90A8E">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715E2DBA">
            <w:pPr>
              <w:keepNext w:val="0"/>
              <w:keepLines w:val="0"/>
              <w:pageBreakBefore w:val="0"/>
              <w:kinsoku/>
              <w:wordWrap/>
              <w:overflowPunct/>
              <w:topLinePunct w:val="0"/>
              <w:autoSpaceDE/>
              <w:autoSpaceDN/>
              <w:bidi w:val="0"/>
              <w:adjustRightInd/>
              <w:snapToGrid/>
              <w:spacing w:line="460" w:lineRule="exact"/>
              <w:ind w:left="0" w:right="0" w:firstLine="480"/>
              <w:jc w:val="center"/>
              <w:textAlignment w:val="auto"/>
              <w:rPr>
                <w:rFonts w:hint="default" w:ascii="Times New Roman" w:hAnsi="Times New Roman" w:eastAsia="宋体" w:cs="Times New Roman"/>
                <w:color w:val="auto"/>
                <w:kern w:val="0"/>
                <w:sz w:val="24"/>
                <w:szCs w:val="24"/>
              </w:rPr>
            </w:pPr>
          </w:p>
        </w:tc>
        <w:tc>
          <w:tcPr>
            <w:tcW w:w="1124" w:type="dxa"/>
            <w:vMerge w:val="continue"/>
            <w:tcBorders>
              <w:left w:val="nil"/>
              <w:bottom w:val="single" w:color="auto" w:sz="4" w:space="0"/>
              <w:right w:val="single" w:color="auto" w:sz="4" w:space="0"/>
            </w:tcBorders>
            <w:noWrap w:val="0"/>
            <w:vAlign w:val="center"/>
          </w:tcPr>
          <w:p w14:paraId="41D557B8">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0"/>
            <w:vAlign w:val="center"/>
          </w:tcPr>
          <w:p w14:paraId="761FE24F">
            <w:pPr>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0"/>
            <w:vAlign w:val="center"/>
          </w:tcPr>
          <w:p w14:paraId="1EA277B4">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0"/>
            <w:vAlign w:val="center"/>
          </w:tcPr>
          <w:p w14:paraId="65D56964">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4ED8E1E0">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947" w:type="dxa"/>
            <w:tcBorders>
              <w:top w:val="nil"/>
              <w:left w:val="nil"/>
              <w:bottom w:val="single" w:color="auto" w:sz="4" w:space="0"/>
              <w:right w:val="single" w:color="auto" w:sz="4" w:space="0"/>
            </w:tcBorders>
            <w:noWrap w:val="0"/>
            <w:vAlign w:val="center"/>
          </w:tcPr>
          <w:p w14:paraId="406A4782">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285</w:t>
            </w:r>
          </w:p>
        </w:tc>
        <w:tc>
          <w:tcPr>
            <w:tcW w:w="1011" w:type="dxa"/>
            <w:tcBorders>
              <w:top w:val="nil"/>
              <w:left w:val="nil"/>
              <w:bottom w:val="single" w:color="auto" w:sz="4" w:space="0"/>
              <w:right w:val="single" w:color="auto" w:sz="4" w:space="0"/>
            </w:tcBorders>
            <w:noWrap w:val="0"/>
            <w:vAlign w:val="center"/>
          </w:tcPr>
          <w:p w14:paraId="5702012F">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1710</w:t>
            </w:r>
          </w:p>
        </w:tc>
      </w:tr>
      <w:tr w14:paraId="76E7A512">
        <w:tblPrEx>
          <w:tblCellMar>
            <w:top w:w="0" w:type="dxa"/>
            <w:left w:w="108" w:type="dxa"/>
            <w:bottom w:w="0" w:type="dxa"/>
            <w:right w:w="108" w:type="dxa"/>
          </w:tblCellMar>
        </w:tblPrEx>
        <w:trPr>
          <w:trHeight w:val="525" w:hRule="atLeast"/>
          <w:jc w:val="center"/>
        </w:trPr>
        <w:tc>
          <w:tcPr>
            <w:tcW w:w="814" w:type="dxa"/>
            <w:vMerge w:val="continue"/>
            <w:tcBorders>
              <w:left w:val="single" w:color="auto" w:sz="4" w:space="0"/>
              <w:right w:val="single" w:color="auto" w:sz="4" w:space="0"/>
            </w:tcBorders>
            <w:noWrap w:val="0"/>
            <w:vAlign w:val="center"/>
          </w:tcPr>
          <w:p w14:paraId="06C9D91C">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725471BD">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124" w:type="dxa"/>
            <w:vMerge w:val="restart"/>
            <w:tcBorders>
              <w:top w:val="nil"/>
              <w:left w:val="nil"/>
              <w:right w:val="single" w:color="auto" w:sz="4" w:space="0"/>
            </w:tcBorders>
            <w:noWrap w:val="0"/>
            <w:vAlign w:val="center"/>
          </w:tcPr>
          <w:p w14:paraId="1E4DBDBF">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实训楼</w:t>
            </w:r>
          </w:p>
        </w:tc>
        <w:tc>
          <w:tcPr>
            <w:tcW w:w="2164" w:type="dxa"/>
            <w:tcBorders>
              <w:top w:val="nil"/>
              <w:left w:val="nil"/>
              <w:bottom w:val="single" w:color="auto" w:sz="4" w:space="0"/>
              <w:right w:val="single" w:color="auto" w:sz="4" w:space="0"/>
            </w:tcBorders>
            <w:noWrap w:val="0"/>
            <w:vAlign w:val="center"/>
          </w:tcPr>
          <w:p w14:paraId="45E3F8FB">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厕所（含洗漱间）</w:t>
            </w:r>
          </w:p>
        </w:tc>
        <w:tc>
          <w:tcPr>
            <w:tcW w:w="868" w:type="dxa"/>
            <w:tcBorders>
              <w:top w:val="nil"/>
              <w:left w:val="nil"/>
              <w:bottom w:val="single" w:color="auto" w:sz="4" w:space="0"/>
              <w:right w:val="single" w:color="auto" w:sz="4" w:space="0"/>
            </w:tcBorders>
            <w:noWrap w:val="0"/>
            <w:vAlign w:val="center"/>
          </w:tcPr>
          <w:p w14:paraId="0FBF31E9">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w:t>
            </w:r>
          </w:p>
        </w:tc>
        <w:tc>
          <w:tcPr>
            <w:tcW w:w="837" w:type="dxa"/>
            <w:tcBorders>
              <w:top w:val="nil"/>
              <w:left w:val="nil"/>
              <w:bottom w:val="single" w:color="auto" w:sz="4" w:space="0"/>
              <w:right w:val="single" w:color="auto" w:sz="4" w:space="0"/>
            </w:tcBorders>
            <w:noWrap w:val="0"/>
            <w:vAlign w:val="center"/>
          </w:tcPr>
          <w:p w14:paraId="3C505A0B">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837" w:type="dxa"/>
            <w:tcBorders>
              <w:top w:val="nil"/>
              <w:left w:val="nil"/>
              <w:bottom w:val="single" w:color="auto" w:sz="4" w:space="0"/>
              <w:right w:val="single" w:color="auto" w:sz="4" w:space="0"/>
            </w:tcBorders>
            <w:noWrap w:val="0"/>
            <w:vAlign w:val="center"/>
          </w:tcPr>
          <w:p w14:paraId="3CE03D0D">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10</w:t>
            </w:r>
          </w:p>
        </w:tc>
        <w:tc>
          <w:tcPr>
            <w:tcW w:w="947" w:type="dxa"/>
            <w:tcBorders>
              <w:top w:val="nil"/>
              <w:left w:val="nil"/>
              <w:bottom w:val="single" w:color="auto" w:sz="4" w:space="0"/>
              <w:right w:val="single" w:color="auto" w:sz="4" w:space="0"/>
            </w:tcBorders>
            <w:noWrap w:val="0"/>
            <w:vAlign w:val="center"/>
          </w:tcPr>
          <w:p w14:paraId="4EB60189">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25</w:t>
            </w:r>
          </w:p>
        </w:tc>
        <w:tc>
          <w:tcPr>
            <w:tcW w:w="1011" w:type="dxa"/>
            <w:tcBorders>
              <w:top w:val="nil"/>
              <w:left w:val="nil"/>
              <w:bottom w:val="single" w:color="auto" w:sz="4" w:space="0"/>
              <w:right w:val="single" w:color="auto" w:sz="4" w:space="0"/>
            </w:tcBorders>
            <w:noWrap w:val="0"/>
            <w:vAlign w:val="center"/>
          </w:tcPr>
          <w:p w14:paraId="3C7644BC">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250</w:t>
            </w:r>
          </w:p>
        </w:tc>
      </w:tr>
      <w:tr w14:paraId="297CCA3E">
        <w:tblPrEx>
          <w:tblCellMar>
            <w:top w:w="0" w:type="dxa"/>
            <w:left w:w="108" w:type="dxa"/>
            <w:bottom w:w="0" w:type="dxa"/>
            <w:right w:w="108" w:type="dxa"/>
          </w:tblCellMar>
        </w:tblPrEx>
        <w:trPr>
          <w:trHeight w:val="525" w:hRule="atLeast"/>
          <w:jc w:val="center"/>
        </w:trPr>
        <w:tc>
          <w:tcPr>
            <w:tcW w:w="814" w:type="dxa"/>
            <w:vMerge w:val="continue"/>
            <w:tcBorders>
              <w:left w:val="single" w:color="auto" w:sz="4" w:space="0"/>
              <w:right w:val="single" w:color="auto" w:sz="4" w:space="0"/>
            </w:tcBorders>
            <w:noWrap w:val="0"/>
            <w:vAlign w:val="center"/>
          </w:tcPr>
          <w:p w14:paraId="6A9AA06A">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818" w:type="dxa"/>
            <w:vMerge w:val="continue"/>
            <w:tcBorders>
              <w:left w:val="single" w:color="auto" w:sz="4" w:space="0"/>
              <w:bottom w:val="single" w:color="auto" w:sz="4" w:space="0"/>
              <w:right w:val="single" w:color="auto" w:sz="4" w:space="0"/>
            </w:tcBorders>
            <w:noWrap w:val="0"/>
            <w:vAlign w:val="center"/>
          </w:tcPr>
          <w:p w14:paraId="1A8E7F27">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124" w:type="dxa"/>
            <w:vMerge w:val="continue"/>
            <w:tcBorders>
              <w:left w:val="nil"/>
              <w:bottom w:val="single" w:color="auto" w:sz="4" w:space="0"/>
              <w:right w:val="single" w:color="auto" w:sz="4" w:space="0"/>
            </w:tcBorders>
            <w:noWrap w:val="0"/>
            <w:vAlign w:val="center"/>
          </w:tcPr>
          <w:p w14:paraId="2F07A063">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0"/>
            <w:vAlign w:val="center"/>
          </w:tcPr>
          <w:p w14:paraId="2D6634D6">
            <w:pPr>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0"/>
            <w:vAlign w:val="center"/>
          </w:tcPr>
          <w:p w14:paraId="4348137C">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w:t>
            </w:r>
          </w:p>
        </w:tc>
        <w:tc>
          <w:tcPr>
            <w:tcW w:w="837" w:type="dxa"/>
            <w:tcBorders>
              <w:top w:val="nil"/>
              <w:left w:val="nil"/>
              <w:bottom w:val="single" w:color="auto" w:sz="4" w:space="0"/>
              <w:right w:val="single" w:color="auto" w:sz="4" w:space="0"/>
            </w:tcBorders>
            <w:noWrap w:val="0"/>
            <w:vAlign w:val="center"/>
          </w:tcPr>
          <w:p w14:paraId="0BD8EDC1">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06B7B9A7">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w:t>
            </w:r>
          </w:p>
        </w:tc>
        <w:tc>
          <w:tcPr>
            <w:tcW w:w="947" w:type="dxa"/>
            <w:tcBorders>
              <w:top w:val="nil"/>
              <w:left w:val="nil"/>
              <w:bottom w:val="single" w:color="auto" w:sz="4" w:space="0"/>
              <w:right w:val="single" w:color="auto" w:sz="4" w:space="0"/>
            </w:tcBorders>
            <w:noWrap w:val="0"/>
            <w:vAlign w:val="center"/>
          </w:tcPr>
          <w:p w14:paraId="14AC7FB0">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320</w:t>
            </w:r>
          </w:p>
        </w:tc>
        <w:tc>
          <w:tcPr>
            <w:tcW w:w="1011" w:type="dxa"/>
            <w:tcBorders>
              <w:top w:val="nil"/>
              <w:left w:val="nil"/>
              <w:bottom w:val="single" w:color="auto" w:sz="4" w:space="0"/>
              <w:right w:val="single" w:color="auto" w:sz="4" w:space="0"/>
            </w:tcBorders>
            <w:noWrap w:val="0"/>
            <w:vAlign w:val="center"/>
          </w:tcPr>
          <w:p w14:paraId="150FE2F2">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1600</w:t>
            </w:r>
          </w:p>
        </w:tc>
      </w:tr>
      <w:tr w14:paraId="4EFEFC63">
        <w:tblPrEx>
          <w:tblCellMar>
            <w:top w:w="0" w:type="dxa"/>
            <w:left w:w="108" w:type="dxa"/>
            <w:bottom w:w="0" w:type="dxa"/>
            <w:right w:w="108" w:type="dxa"/>
          </w:tblCellMar>
        </w:tblPrEx>
        <w:trPr>
          <w:trHeight w:val="555" w:hRule="atLeast"/>
          <w:jc w:val="center"/>
        </w:trPr>
        <w:tc>
          <w:tcPr>
            <w:tcW w:w="814" w:type="dxa"/>
            <w:vMerge w:val="continue"/>
            <w:tcBorders>
              <w:left w:val="single" w:color="auto" w:sz="4" w:space="0"/>
              <w:right w:val="single" w:color="auto" w:sz="4" w:space="0"/>
            </w:tcBorders>
            <w:noWrap w:val="0"/>
            <w:vAlign w:val="center"/>
          </w:tcPr>
          <w:p w14:paraId="786A8385">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818" w:type="dxa"/>
            <w:vMerge w:val="restart"/>
            <w:tcBorders>
              <w:top w:val="nil"/>
              <w:left w:val="single" w:color="auto" w:sz="4" w:space="0"/>
              <w:right w:val="single" w:color="auto" w:sz="4" w:space="0"/>
            </w:tcBorders>
            <w:noWrap w:val="0"/>
            <w:vAlign w:val="center"/>
          </w:tcPr>
          <w:p w14:paraId="4C71B99E">
            <w:pPr>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二组团</w:t>
            </w:r>
          </w:p>
        </w:tc>
        <w:tc>
          <w:tcPr>
            <w:tcW w:w="1124" w:type="dxa"/>
            <w:vMerge w:val="restart"/>
            <w:tcBorders>
              <w:top w:val="nil"/>
              <w:left w:val="nil"/>
              <w:right w:val="single" w:color="auto" w:sz="4" w:space="0"/>
            </w:tcBorders>
            <w:noWrap w:val="0"/>
            <w:vAlign w:val="center"/>
          </w:tcPr>
          <w:p w14:paraId="0BA6D6F4">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教学楼</w:t>
            </w:r>
          </w:p>
        </w:tc>
        <w:tc>
          <w:tcPr>
            <w:tcW w:w="2164" w:type="dxa"/>
            <w:tcBorders>
              <w:top w:val="nil"/>
              <w:left w:val="nil"/>
              <w:bottom w:val="single" w:color="auto" w:sz="4" w:space="0"/>
              <w:right w:val="single" w:color="auto" w:sz="4" w:space="0"/>
            </w:tcBorders>
            <w:noWrap w:val="0"/>
            <w:vAlign w:val="center"/>
          </w:tcPr>
          <w:p w14:paraId="5FBF27C9">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厕所（含洗漱间）</w:t>
            </w:r>
          </w:p>
        </w:tc>
        <w:tc>
          <w:tcPr>
            <w:tcW w:w="868" w:type="dxa"/>
            <w:tcBorders>
              <w:top w:val="nil"/>
              <w:left w:val="nil"/>
              <w:bottom w:val="single" w:color="auto" w:sz="4" w:space="0"/>
              <w:right w:val="single" w:color="auto" w:sz="4" w:space="0"/>
            </w:tcBorders>
            <w:noWrap w:val="0"/>
            <w:vAlign w:val="center"/>
          </w:tcPr>
          <w:p w14:paraId="30D10A74">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0"/>
            <w:vAlign w:val="center"/>
          </w:tcPr>
          <w:p w14:paraId="3AA148E5">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w:t>
            </w:r>
          </w:p>
        </w:tc>
        <w:tc>
          <w:tcPr>
            <w:tcW w:w="837" w:type="dxa"/>
            <w:tcBorders>
              <w:top w:val="nil"/>
              <w:left w:val="nil"/>
              <w:bottom w:val="single" w:color="auto" w:sz="4" w:space="0"/>
              <w:right w:val="single" w:color="auto" w:sz="4" w:space="0"/>
            </w:tcBorders>
            <w:noWrap w:val="0"/>
            <w:vAlign w:val="center"/>
          </w:tcPr>
          <w:p w14:paraId="73B77F62">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24</w:t>
            </w:r>
          </w:p>
        </w:tc>
        <w:tc>
          <w:tcPr>
            <w:tcW w:w="947" w:type="dxa"/>
            <w:tcBorders>
              <w:top w:val="nil"/>
              <w:left w:val="nil"/>
              <w:bottom w:val="single" w:color="auto" w:sz="4" w:space="0"/>
              <w:right w:val="single" w:color="auto" w:sz="4" w:space="0"/>
            </w:tcBorders>
            <w:noWrap w:val="0"/>
            <w:vAlign w:val="center"/>
          </w:tcPr>
          <w:p w14:paraId="434092AB">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25</w:t>
            </w:r>
          </w:p>
        </w:tc>
        <w:tc>
          <w:tcPr>
            <w:tcW w:w="1011" w:type="dxa"/>
            <w:tcBorders>
              <w:top w:val="nil"/>
              <w:left w:val="nil"/>
              <w:bottom w:val="single" w:color="auto" w:sz="4" w:space="0"/>
              <w:right w:val="single" w:color="auto" w:sz="4" w:space="0"/>
            </w:tcBorders>
            <w:noWrap w:val="0"/>
            <w:vAlign w:val="center"/>
          </w:tcPr>
          <w:p w14:paraId="16FB5F0B">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600</w:t>
            </w:r>
          </w:p>
        </w:tc>
      </w:tr>
      <w:tr w14:paraId="50CF6A97">
        <w:tblPrEx>
          <w:tblCellMar>
            <w:top w:w="0" w:type="dxa"/>
            <w:left w:w="108" w:type="dxa"/>
            <w:bottom w:w="0" w:type="dxa"/>
            <w:right w:w="108" w:type="dxa"/>
          </w:tblCellMar>
        </w:tblPrEx>
        <w:trPr>
          <w:trHeight w:val="555" w:hRule="atLeast"/>
          <w:jc w:val="center"/>
        </w:trPr>
        <w:tc>
          <w:tcPr>
            <w:tcW w:w="814" w:type="dxa"/>
            <w:vMerge w:val="continue"/>
            <w:tcBorders>
              <w:left w:val="single" w:color="auto" w:sz="4" w:space="0"/>
              <w:right w:val="single" w:color="auto" w:sz="4" w:space="0"/>
            </w:tcBorders>
            <w:noWrap w:val="0"/>
            <w:vAlign w:val="center"/>
          </w:tcPr>
          <w:p w14:paraId="5F943C7D">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34F5C7A8">
            <w:pPr>
              <w:keepNext w:val="0"/>
              <w:keepLines w:val="0"/>
              <w:pageBreakBefore w:val="0"/>
              <w:kinsoku/>
              <w:wordWrap/>
              <w:overflowPunct/>
              <w:topLinePunct w:val="0"/>
              <w:autoSpaceDE/>
              <w:autoSpaceDN/>
              <w:bidi w:val="0"/>
              <w:adjustRightInd/>
              <w:snapToGrid/>
              <w:spacing w:line="460" w:lineRule="exact"/>
              <w:ind w:left="0" w:right="0" w:firstLine="480"/>
              <w:jc w:val="center"/>
              <w:textAlignment w:val="auto"/>
              <w:rPr>
                <w:rFonts w:hint="default" w:ascii="Times New Roman" w:hAnsi="Times New Roman" w:eastAsia="宋体" w:cs="Times New Roman"/>
                <w:color w:val="auto"/>
                <w:kern w:val="0"/>
                <w:sz w:val="24"/>
                <w:szCs w:val="24"/>
              </w:rPr>
            </w:pPr>
          </w:p>
        </w:tc>
        <w:tc>
          <w:tcPr>
            <w:tcW w:w="1124" w:type="dxa"/>
            <w:vMerge w:val="continue"/>
            <w:tcBorders>
              <w:left w:val="nil"/>
              <w:bottom w:val="single" w:color="auto" w:sz="4" w:space="0"/>
              <w:right w:val="single" w:color="auto" w:sz="4" w:space="0"/>
            </w:tcBorders>
            <w:noWrap w:val="0"/>
            <w:vAlign w:val="center"/>
          </w:tcPr>
          <w:p w14:paraId="2EDC0599">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0"/>
            <w:vAlign w:val="center"/>
          </w:tcPr>
          <w:p w14:paraId="280FBC50">
            <w:pPr>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0"/>
            <w:vAlign w:val="center"/>
          </w:tcPr>
          <w:p w14:paraId="5300D011">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0"/>
            <w:vAlign w:val="center"/>
          </w:tcPr>
          <w:p w14:paraId="71627A92">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1F6ECED2">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947" w:type="dxa"/>
            <w:tcBorders>
              <w:top w:val="nil"/>
              <w:left w:val="nil"/>
              <w:bottom w:val="single" w:color="auto" w:sz="4" w:space="0"/>
              <w:right w:val="single" w:color="auto" w:sz="4" w:space="0"/>
            </w:tcBorders>
            <w:noWrap w:val="0"/>
            <w:vAlign w:val="center"/>
          </w:tcPr>
          <w:p w14:paraId="3C40750E">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315</w:t>
            </w:r>
          </w:p>
        </w:tc>
        <w:tc>
          <w:tcPr>
            <w:tcW w:w="1011" w:type="dxa"/>
            <w:tcBorders>
              <w:top w:val="nil"/>
              <w:left w:val="nil"/>
              <w:bottom w:val="single" w:color="auto" w:sz="4" w:space="0"/>
              <w:right w:val="single" w:color="auto" w:sz="4" w:space="0"/>
            </w:tcBorders>
            <w:noWrap w:val="0"/>
            <w:vAlign w:val="center"/>
          </w:tcPr>
          <w:p w14:paraId="1C98249B">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1890</w:t>
            </w:r>
          </w:p>
        </w:tc>
      </w:tr>
      <w:tr w14:paraId="541266AB">
        <w:tblPrEx>
          <w:tblCellMar>
            <w:top w:w="0" w:type="dxa"/>
            <w:left w:w="108" w:type="dxa"/>
            <w:bottom w:w="0" w:type="dxa"/>
            <w:right w:w="108" w:type="dxa"/>
          </w:tblCellMar>
        </w:tblPrEx>
        <w:trPr>
          <w:trHeight w:val="555" w:hRule="atLeast"/>
          <w:jc w:val="center"/>
        </w:trPr>
        <w:tc>
          <w:tcPr>
            <w:tcW w:w="814" w:type="dxa"/>
            <w:vMerge w:val="continue"/>
            <w:tcBorders>
              <w:left w:val="single" w:color="auto" w:sz="4" w:space="0"/>
              <w:right w:val="single" w:color="auto" w:sz="4" w:space="0"/>
            </w:tcBorders>
            <w:noWrap w:val="0"/>
            <w:vAlign w:val="center"/>
          </w:tcPr>
          <w:p w14:paraId="025A6266">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7A1D6988">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124" w:type="dxa"/>
            <w:vMerge w:val="restart"/>
            <w:tcBorders>
              <w:top w:val="nil"/>
              <w:left w:val="nil"/>
              <w:right w:val="single" w:color="auto" w:sz="4" w:space="0"/>
            </w:tcBorders>
            <w:noWrap w:val="0"/>
            <w:vAlign w:val="center"/>
          </w:tcPr>
          <w:p w14:paraId="20CB7E2E">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实训楼</w:t>
            </w:r>
          </w:p>
        </w:tc>
        <w:tc>
          <w:tcPr>
            <w:tcW w:w="2164" w:type="dxa"/>
            <w:tcBorders>
              <w:top w:val="nil"/>
              <w:left w:val="nil"/>
              <w:bottom w:val="single" w:color="auto" w:sz="4" w:space="0"/>
              <w:right w:val="single" w:color="auto" w:sz="4" w:space="0"/>
            </w:tcBorders>
            <w:noWrap w:val="0"/>
            <w:vAlign w:val="center"/>
          </w:tcPr>
          <w:p w14:paraId="3AED784E">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厕所（含洗漱间）</w:t>
            </w:r>
          </w:p>
        </w:tc>
        <w:tc>
          <w:tcPr>
            <w:tcW w:w="868" w:type="dxa"/>
            <w:tcBorders>
              <w:top w:val="nil"/>
              <w:left w:val="nil"/>
              <w:bottom w:val="single" w:color="auto" w:sz="4" w:space="0"/>
              <w:right w:val="single" w:color="auto" w:sz="4" w:space="0"/>
            </w:tcBorders>
            <w:noWrap w:val="0"/>
            <w:vAlign w:val="center"/>
          </w:tcPr>
          <w:p w14:paraId="323A17DF">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w:t>
            </w:r>
          </w:p>
        </w:tc>
        <w:tc>
          <w:tcPr>
            <w:tcW w:w="837" w:type="dxa"/>
            <w:tcBorders>
              <w:top w:val="nil"/>
              <w:left w:val="nil"/>
              <w:bottom w:val="single" w:color="auto" w:sz="4" w:space="0"/>
              <w:right w:val="single" w:color="auto" w:sz="4" w:space="0"/>
            </w:tcBorders>
            <w:noWrap w:val="0"/>
            <w:vAlign w:val="center"/>
          </w:tcPr>
          <w:p w14:paraId="3A506EF9">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837" w:type="dxa"/>
            <w:tcBorders>
              <w:top w:val="nil"/>
              <w:left w:val="nil"/>
              <w:bottom w:val="single" w:color="auto" w:sz="4" w:space="0"/>
              <w:right w:val="single" w:color="auto" w:sz="4" w:space="0"/>
            </w:tcBorders>
            <w:noWrap w:val="0"/>
            <w:vAlign w:val="center"/>
          </w:tcPr>
          <w:p w14:paraId="618154A6">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10</w:t>
            </w:r>
          </w:p>
        </w:tc>
        <w:tc>
          <w:tcPr>
            <w:tcW w:w="947" w:type="dxa"/>
            <w:tcBorders>
              <w:top w:val="nil"/>
              <w:left w:val="nil"/>
              <w:bottom w:val="single" w:color="auto" w:sz="4" w:space="0"/>
              <w:right w:val="single" w:color="auto" w:sz="4" w:space="0"/>
            </w:tcBorders>
            <w:noWrap w:val="0"/>
            <w:vAlign w:val="center"/>
          </w:tcPr>
          <w:p w14:paraId="6866DF5E">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w:t>
            </w:r>
          </w:p>
        </w:tc>
        <w:tc>
          <w:tcPr>
            <w:tcW w:w="1011" w:type="dxa"/>
            <w:tcBorders>
              <w:top w:val="nil"/>
              <w:left w:val="nil"/>
              <w:bottom w:val="single" w:color="auto" w:sz="4" w:space="0"/>
              <w:right w:val="single" w:color="auto" w:sz="4" w:space="0"/>
            </w:tcBorders>
            <w:noWrap w:val="0"/>
            <w:vAlign w:val="center"/>
          </w:tcPr>
          <w:p w14:paraId="5C7DBC1F">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300</w:t>
            </w:r>
          </w:p>
        </w:tc>
      </w:tr>
      <w:tr w14:paraId="55CCFB0C">
        <w:tblPrEx>
          <w:tblCellMar>
            <w:top w:w="0" w:type="dxa"/>
            <w:left w:w="108" w:type="dxa"/>
            <w:bottom w:w="0" w:type="dxa"/>
            <w:right w:w="108" w:type="dxa"/>
          </w:tblCellMar>
        </w:tblPrEx>
        <w:trPr>
          <w:trHeight w:val="555" w:hRule="atLeast"/>
          <w:jc w:val="center"/>
        </w:trPr>
        <w:tc>
          <w:tcPr>
            <w:tcW w:w="814" w:type="dxa"/>
            <w:vMerge w:val="continue"/>
            <w:tcBorders>
              <w:left w:val="single" w:color="auto" w:sz="4" w:space="0"/>
              <w:right w:val="single" w:color="auto" w:sz="4" w:space="0"/>
            </w:tcBorders>
            <w:noWrap w:val="0"/>
            <w:vAlign w:val="center"/>
          </w:tcPr>
          <w:p w14:paraId="6629BCF5">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818" w:type="dxa"/>
            <w:vMerge w:val="continue"/>
            <w:tcBorders>
              <w:left w:val="single" w:color="auto" w:sz="4" w:space="0"/>
              <w:bottom w:val="single" w:color="auto" w:sz="4" w:space="0"/>
              <w:right w:val="single" w:color="auto" w:sz="4" w:space="0"/>
            </w:tcBorders>
            <w:noWrap w:val="0"/>
            <w:vAlign w:val="center"/>
          </w:tcPr>
          <w:p w14:paraId="627DA33A">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124" w:type="dxa"/>
            <w:vMerge w:val="continue"/>
            <w:tcBorders>
              <w:left w:val="nil"/>
              <w:bottom w:val="single" w:color="auto" w:sz="4" w:space="0"/>
              <w:right w:val="single" w:color="auto" w:sz="4" w:space="0"/>
            </w:tcBorders>
            <w:noWrap w:val="0"/>
            <w:vAlign w:val="center"/>
          </w:tcPr>
          <w:p w14:paraId="2B815C6A">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0"/>
            <w:vAlign w:val="center"/>
          </w:tcPr>
          <w:p w14:paraId="13023138">
            <w:pPr>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0"/>
            <w:vAlign w:val="center"/>
          </w:tcPr>
          <w:p w14:paraId="219780D4">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w:t>
            </w:r>
          </w:p>
        </w:tc>
        <w:tc>
          <w:tcPr>
            <w:tcW w:w="837" w:type="dxa"/>
            <w:tcBorders>
              <w:top w:val="nil"/>
              <w:left w:val="nil"/>
              <w:bottom w:val="single" w:color="auto" w:sz="4" w:space="0"/>
              <w:right w:val="single" w:color="auto" w:sz="4" w:space="0"/>
            </w:tcBorders>
            <w:noWrap w:val="0"/>
            <w:vAlign w:val="center"/>
          </w:tcPr>
          <w:p w14:paraId="7101ADDC">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04A17D00">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w:t>
            </w:r>
          </w:p>
        </w:tc>
        <w:tc>
          <w:tcPr>
            <w:tcW w:w="947" w:type="dxa"/>
            <w:tcBorders>
              <w:top w:val="nil"/>
              <w:left w:val="nil"/>
              <w:bottom w:val="single" w:color="auto" w:sz="4" w:space="0"/>
              <w:right w:val="single" w:color="auto" w:sz="4" w:space="0"/>
            </w:tcBorders>
            <w:noWrap w:val="0"/>
            <w:vAlign w:val="center"/>
          </w:tcPr>
          <w:p w14:paraId="0D31F700">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275</w:t>
            </w:r>
          </w:p>
        </w:tc>
        <w:tc>
          <w:tcPr>
            <w:tcW w:w="1011" w:type="dxa"/>
            <w:tcBorders>
              <w:top w:val="nil"/>
              <w:left w:val="nil"/>
              <w:bottom w:val="single" w:color="auto" w:sz="4" w:space="0"/>
              <w:right w:val="single" w:color="auto" w:sz="4" w:space="0"/>
            </w:tcBorders>
            <w:noWrap w:val="0"/>
            <w:vAlign w:val="center"/>
          </w:tcPr>
          <w:p w14:paraId="42DF1815">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1375</w:t>
            </w:r>
          </w:p>
        </w:tc>
      </w:tr>
      <w:tr w14:paraId="47E4C665">
        <w:tblPrEx>
          <w:tblCellMar>
            <w:top w:w="0" w:type="dxa"/>
            <w:left w:w="108" w:type="dxa"/>
            <w:bottom w:w="0" w:type="dxa"/>
            <w:right w:w="108" w:type="dxa"/>
          </w:tblCellMar>
        </w:tblPrEx>
        <w:trPr>
          <w:trHeight w:val="555" w:hRule="atLeast"/>
          <w:jc w:val="center"/>
        </w:trPr>
        <w:tc>
          <w:tcPr>
            <w:tcW w:w="814" w:type="dxa"/>
            <w:vMerge w:val="continue"/>
            <w:tcBorders>
              <w:left w:val="single" w:color="auto" w:sz="4" w:space="0"/>
              <w:right w:val="single" w:color="auto" w:sz="4" w:space="0"/>
            </w:tcBorders>
            <w:noWrap w:val="0"/>
            <w:vAlign w:val="center"/>
          </w:tcPr>
          <w:p w14:paraId="14E4E6E0">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818" w:type="dxa"/>
            <w:vMerge w:val="restart"/>
            <w:tcBorders>
              <w:top w:val="nil"/>
              <w:left w:val="single" w:color="auto" w:sz="4" w:space="0"/>
              <w:right w:val="single" w:color="auto" w:sz="4" w:space="0"/>
            </w:tcBorders>
            <w:noWrap w:val="0"/>
            <w:vAlign w:val="center"/>
          </w:tcPr>
          <w:p w14:paraId="79711268">
            <w:pPr>
              <w:keepNext w:val="0"/>
              <w:keepLines w:val="0"/>
              <w:pageBreakBefore w:val="0"/>
              <w:kinsoku/>
              <w:wordWrap/>
              <w:overflowPunct/>
              <w:topLinePunct w:val="0"/>
              <w:autoSpaceDE/>
              <w:autoSpaceDN/>
              <w:bidi w:val="0"/>
              <w:adjustRightInd/>
              <w:snapToGrid/>
              <w:spacing w:line="460" w:lineRule="exact"/>
              <w:ind w:left="0" w:right="0" w:hanging="240" w:hangingChars="100"/>
              <w:jc w:val="left"/>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五组团</w:t>
            </w:r>
          </w:p>
        </w:tc>
        <w:tc>
          <w:tcPr>
            <w:tcW w:w="1124" w:type="dxa"/>
            <w:vMerge w:val="restart"/>
            <w:tcBorders>
              <w:top w:val="nil"/>
              <w:left w:val="nil"/>
              <w:right w:val="single" w:color="auto" w:sz="4" w:space="0"/>
            </w:tcBorders>
            <w:noWrap w:val="0"/>
            <w:vAlign w:val="center"/>
          </w:tcPr>
          <w:p w14:paraId="5E63F3CD">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实训楼</w:t>
            </w:r>
          </w:p>
        </w:tc>
        <w:tc>
          <w:tcPr>
            <w:tcW w:w="2164" w:type="dxa"/>
            <w:tcBorders>
              <w:top w:val="nil"/>
              <w:left w:val="nil"/>
              <w:bottom w:val="single" w:color="auto" w:sz="4" w:space="0"/>
              <w:right w:val="single" w:color="auto" w:sz="4" w:space="0"/>
            </w:tcBorders>
            <w:noWrap w:val="0"/>
            <w:vAlign w:val="center"/>
          </w:tcPr>
          <w:p w14:paraId="4EBAC250">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厕所（含洗漱间）</w:t>
            </w:r>
          </w:p>
        </w:tc>
        <w:tc>
          <w:tcPr>
            <w:tcW w:w="868" w:type="dxa"/>
            <w:tcBorders>
              <w:top w:val="nil"/>
              <w:left w:val="nil"/>
              <w:bottom w:val="single" w:color="auto" w:sz="4" w:space="0"/>
              <w:right w:val="single" w:color="auto" w:sz="4" w:space="0"/>
            </w:tcBorders>
            <w:noWrap w:val="0"/>
            <w:vAlign w:val="center"/>
          </w:tcPr>
          <w:p w14:paraId="38DE66EF">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w:t>
            </w:r>
          </w:p>
        </w:tc>
        <w:tc>
          <w:tcPr>
            <w:tcW w:w="837" w:type="dxa"/>
            <w:tcBorders>
              <w:top w:val="nil"/>
              <w:left w:val="nil"/>
              <w:bottom w:val="single" w:color="auto" w:sz="4" w:space="0"/>
              <w:right w:val="single" w:color="auto" w:sz="4" w:space="0"/>
            </w:tcBorders>
            <w:noWrap w:val="0"/>
            <w:vAlign w:val="center"/>
          </w:tcPr>
          <w:p w14:paraId="21BE512E">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837" w:type="dxa"/>
            <w:tcBorders>
              <w:top w:val="nil"/>
              <w:left w:val="nil"/>
              <w:bottom w:val="single" w:color="auto" w:sz="4" w:space="0"/>
              <w:right w:val="single" w:color="auto" w:sz="4" w:space="0"/>
            </w:tcBorders>
            <w:noWrap w:val="0"/>
            <w:vAlign w:val="center"/>
          </w:tcPr>
          <w:p w14:paraId="747B23F6">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10</w:t>
            </w:r>
          </w:p>
        </w:tc>
        <w:tc>
          <w:tcPr>
            <w:tcW w:w="947" w:type="dxa"/>
            <w:tcBorders>
              <w:top w:val="nil"/>
              <w:left w:val="nil"/>
              <w:bottom w:val="single" w:color="auto" w:sz="4" w:space="0"/>
              <w:right w:val="single" w:color="auto" w:sz="4" w:space="0"/>
            </w:tcBorders>
            <w:noWrap w:val="0"/>
            <w:vAlign w:val="center"/>
          </w:tcPr>
          <w:p w14:paraId="752A623C">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w:t>
            </w:r>
          </w:p>
        </w:tc>
        <w:tc>
          <w:tcPr>
            <w:tcW w:w="1011" w:type="dxa"/>
            <w:tcBorders>
              <w:top w:val="nil"/>
              <w:left w:val="nil"/>
              <w:bottom w:val="single" w:color="auto" w:sz="4" w:space="0"/>
              <w:right w:val="single" w:color="auto" w:sz="4" w:space="0"/>
            </w:tcBorders>
            <w:noWrap w:val="0"/>
            <w:vAlign w:val="center"/>
          </w:tcPr>
          <w:p w14:paraId="6DB84AEB">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300</w:t>
            </w:r>
          </w:p>
        </w:tc>
      </w:tr>
      <w:tr w14:paraId="7E3ECC12">
        <w:tblPrEx>
          <w:tblCellMar>
            <w:top w:w="0" w:type="dxa"/>
            <w:left w:w="108" w:type="dxa"/>
            <w:bottom w:w="0" w:type="dxa"/>
            <w:right w:w="108" w:type="dxa"/>
          </w:tblCellMar>
        </w:tblPrEx>
        <w:trPr>
          <w:trHeight w:val="555" w:hRule="atLeast"/>
          <w:jc w:val="center"/>
        </w:trPr>
        <w:tc>
          <w:tcPr>
            <w:tcW w:w="814" w:type="dxa"/>
            <w:vMerge w:val="continue"/>
            <w:tcBorders>
              <w:left w:val="single" w:color="auto" w:sz="4" w:space="0"/>
              <w:right w:val="single" w:color="auto" w:sz="4" w:space="0"/>
            </w:tcBorders>
            <w:noWrap w:val="0"/>
            <w:vAlign w:val="center"/>
          </w:tcPr>
          <w:p w14:paraId="597F7762">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818" w:type="dxa"/>
            <w:vMerge w:val="continue"/>
            <w:tcBorders>
              <w:left w:val="single" w:color="auto" w:sz="4" w:space="0"/>
              <w:bottom w:val="single" w:color="auto" w:sz="4" w:space="0"/>
              <w:right w:val="single" w:color="auto" w:sz="4" w:space="0"/>
            </w:tcBorders>
            <w:noWrap w:val="0"/>
            <w:vAlign w:val="center"/>
          </w:tcPr>
          <w:p w14:paraId="481D55C0">
            <w:pPr>
              <w:keepNext w:val="0"/>
              <w:keepLines w:val="0"/>
              <w:pageBreakBefore w:val="0"/>
              <w:kinsoku/>
              <w:wordWrap/>
              <w:overflowPunct/>
              <w:topLinePunct w:val="0"/>
              <w:autoSpaceDE/>
              <w:autoSpaceDN/>
              <w:bidi w:val="0"/>
              <w:adjustRightInd/>
              <w:snapToGrid/>
              <w:spacing w:line="460" w:lineRule="exact"/>
              <w:ind w:left="0" w:right="0" w:hanging="240" w:hangingChars="100"/>
              <w:jc w:val="left"/>
              <w:textAlignment w:val="auto"/>
              <w:rPr>
                <w:rFonts w:hint="default" w:ascii="Times New Roman" w:hAnsi="Times New Roman" w:eastAsia="宋体" w:cs="Times New Roman"/>
                <w:color w:val="auto"/>
                <w:kern w:val="0"/>
                <w:sz w:val="24"/>
                <w:szCs w:val="24"/>
              </w:rPr>
            </w:pPr>
          </w:p>
        </w:tc>
        <w:tc>
          <w:tcPr>
            <w:tcW w:w="1124" w:type="dxa"/>
            <w:vMerge w:val="continue"/>
            <w:tcBorders>
              <w:left w:val="nil"/>
              <w:bottom w:val="single" w:color="auto" w:sz="4" w:space="0"/>
              <w:right w:val="single" w:color="auto" w:sz="4" w:space="0"/>
            </w:tcBorders>
            <w:noWrap w:val="0"/>
            <w:vAlign w:val="center"/>
          </w:tcPr>
          <w:p w14:paraId="682FB54F">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0"/>
            <w:vAlign w:val="center"/>
          </w:tcPr>
          <w:p w14:paraId="3966A8BF">
            <w:pPr>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0"/>
            <w:vAlign w:val="center"/>
          </w:tcPr>
          <w:p w14:paraId="738B5363">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w:t>
            </w:r>
          </w:p>
        </w:tc>
        <w:tc>
          <w:tcPr>
            <w:tcW w:w="837" w:type="dxa"/>
            <w:tcBorders>
              <w:top w:val="nil"/>
              <w:left w:val="nil"/>
              <w:bottom w:val="single" w:color="auto" w:sz="4" w:space="0"/>
              <w:right w:val="single" w:color="auto" w:sz="4" w:space="0"/>
            </w:tcBorders>
            <w:noWrap w:val="0"/>
            <w:vAlign w:val="center"/>
          </w:tcPr>
          <w:p w14:paraId="172EF4F1">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166F046A">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w:t>
            </w:r>
          </w:p>
        </w:tc>
        <w:tc>
          <w:tcPr>
            <w:tcW w:w="947" w:type="dxa"/>
            <w:tcBorders>
              <w:top w:val="nil"/>
              <w:left w:val="nil"/>
              <w:bottom w:val="single" w:color="auto" w:sz="4" w:space="0"/>
              <w:right w:val="single" w:color="auto" w:sz="4" w:space="0"/>
            </w:tcBorders>
            <w:noWrap w:val="0"/>
            <w:vAlign w:val="center"/>
          </w:tcPr>
          <w:p w14:paraId="7128E8BF">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290</w:t>
            </w:r>
          </w:p>
        </w:tc>
        <w:tc>
          <w:tcPr>
            <w:tcW w:w="1011" w:type="dxa"/>
            <w:tcBorders>
              <w:top w:val="nil"/>
              <w:left w:val="nil"/>
              <w:bottom w:val="single" w:color="auto" w:sz="4" w:space="0"/>
              <w:right w:val="single" w:color="auto" w:sz="4" w:space="0"/>
            </w:tcBorders>
            <w:noWrap w:val="0"/>
            <w:vAlign w:val="center"/>
          </w:tcPr>
          <w:p w14:paraId="5A7FEC30">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1450</w:t>
            </w:r>
          </w:p>
        </w:tc>
      </w:tr>
      <w:tr w14:paraId="27138F7F">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7FA102AD">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818" w:type="dxa"/>
            <w:vMerge w:val="restart"/>
            <w:tcBorders>
              <w:top w:val="nil"/>
              <w:left w:val="single" w:color="auto" w:sz="4" w:space="0"/>
              <w:right w:val="single" w:color="auto" w:sz="4" w:space="0"/>
            </w:tcBorders>
            <w:noWrap w:val="0"/>
            <w:vAlign w:val="center"/>
          </w:tcPr>
          <w:p w14:paraId="14E2AB5D">
            <w:pPr>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宿舍楼</w:t>
            </w:r>
          </w:p>
        </w:tc>
        <w:tc>
          <w:tcPr>
            <w:tcW w:w="1124" w:type="dxa"/>
            <w:vMerge w:val="restart"/>
            <w:tcBorders>
              <w:top w:val="nil"/>
              <w:left w:val="single" w:color="auto" w:sz="4" w:space="0"/>
              <w:bottom w:val="single" w:color="auto" w:sz="4" w:space="0"/>
              <w:right w:val="single" w:color="auto" w:sz="4" w:space="0"/>
            </w:tcBorders>
            <w:noWrap w:val="0"/>
            <w:vAlign w:val="center"/>
          </w:tcPr>
          <w:p w14:paraId="4851C843">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1号宿舍楼</w:t>
            </w:r>
          </w:p>
        </w:tc>
        <w:tc>
          <w:tcPr>
            <w:tcW w:w="2164" w:type="dxa"/>
            <w:tcBorders>
              <w:top w:val="nil"/>
              <w:left w:val="nil"/>
              <w:bottom w:val="single" w:color="auto" w:sz="4" w:space="0"/>
              <w:right w:val="single" w:color="auto" w:sz="4" w:space="0"/>
            </w:tcBorders>
            <w:noWrap w:val="0"/>
            <w:vAlign w:val="center"/>
          </w:tcPr>
          <w:p w14:paraId="0A09134C">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w:t>
            </w:r>
          </w:p>
        </w:tc>
        <w:tc>
          <w:tcPr>
            <w:tcW w:w="868" w:type="dxa"/>
            <w:tcBorders>
              <w:top w:val="nil"/>
              <w:left w:val="nil"/>
              <w:bottom w:val="single" w:color="auto" w:sz="4" w:space="0"/>
              <w:right w:val="single" w:color="auto" w:sz="4" w:space="0"/>
            </w:tcBorders>
            <w:noWrap w:val="0"/>
            <w:vAlign w:val="center"/>
          </w:tcPr>
          <w:p w14:paraId="32C5432F">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0"/>
            <w:vAlign w:val="center"/>
          </w:tcPr>
          <w:p w14:paraId="35B82E6C">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w:t>
            </w:r>
          </w:p>
        </w:tc>
        <w:tc>
          <w:tcPr>
            <w:tcW w:w="837" w:type="dxa"/>
            <w:tcBorders>
              <w:top w:val="nil"/>
              <w:left w:val="nil"/>
              <w:bottom w:val="single" w:color="auto" w:sz="4" w:space="0"/>
              <w:right w:val="single" w:color="auto" w:sz="4" w:space="0"/>
            </w:tcBorders>
            <w:noWrap w:val="0"/>
            <w:vAlign w:val="center"/>
          </w:tcPr>
          <w:p w14:paraId="7DC4312E">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18</w:t>
            </w:r>
          </w:p>
        </w:tc>
        <w:tc>
          <w:tcPr>
            <w:tcW w:w="947" w:type="dxa"/>
            <w:tcBorders>
              <w:top w:val="nil"/>
              <w:left w:val="nil"/>
              <w:bottom w:val="single" w:color="auto" w:sz="4" w:space="0"/>
              <w:right w:val="single" w:color="auto" w:sz="4" w:space="0"/>
            </w:tcBorders>
            <w:noWrap w:val="0"/>
            <w:vAlign w:val="center"/>
          </w:tcPr>
          <w:p w14:paraId="21AC93C0">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w:t>
            </w:r>
          </w:p>
        </w:tc>
        <w:tc>
          <w:tcPr>
            <w:tcW w:w="1011" w:type="dxa"/>
            <w:tcBorders>
              <w:top w:val="nil"/>
              <w:left w:val="nil"/>
              <w:bottom w:val="single" w:color="auto" w:sz="4" w:space="0"/>
              <w:right w:val="single" w:color="auto" w:sz="4" w:space="0"/>
            </w:tcBorders>
            <w:noWrap w:val="0"/>
            <w:vAlign w:val="center"/>
          </w:tcPr>
          <w:p w14:paraId="54144DE6">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540</w:t>
            </w:r>
          </w:p>
        </w:tc>
      </w:tr>
      <w:tr w14:paraId="4A6589E9">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60707368">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6B172AD7">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124" w:type="dxa"/>
            <w:vMerge w:val="continue"/>
            <w:tcBorders>
              <w:top w:val="nil"/>
              <w:left w:val="single" w:color="auto" w:sz="4" w:space="0"/>
              <w:bottom w:val="single" w:color="auto" w:sz="4" w:space="0"/>
              <w:right w:val="single" w:color="auto" w:sz="4" w:space="0"/>
            </w:tcBorders>
            <w:noWrap w:val="0"/>
            <w:vAlign w:val="center"/>
          </w:tcPr>
          <w:p w14:paraId="02F7CB57">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ign w:val="center"/>
          </w:tcPr>
          <w:p w14:paraId="45DE83F2">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洗漱间</w:t>
            </w:r>
          </w:p>
        </w:tc>
        <w:tc>
          <w:tcPr>
            <w:tcW w:w="868" w:type="dxa"/>
            <w:tcBorders>
              <w:top w:val="nil"/>
              <w:left w:val="nil"/>
              <w:bottom w:val="single" w:color="auto" w:sz="4" w:space="0"/>
              <w:right w:val="single" w:color="auto" w:sz="4" w:space="0"/>
            </w:tcBorders>
            <w:noWrap/>
            <w:vAlign w:val="center"/>
          </w:tcPr>
          <w:p w14:paraId="4956A83D">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ign w:val="center"/>
          </w:tcPr>
          <w:p w14:paraId="4A83599C">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w:t>
            </w:r>
          </w:p>
        </w:tc>
        <w:tc>
          <w:tcPr>
            <w:tcW w:w="837" w:type="dxa"/>
            <w:tcBorders>
              <w:top w:val="nil"/>
              <w:left w:val="nil"/>
              <w:bottom w:val="single" w:color="auto" w:sz="4" w:space="0"/>
              <w:right w:val="single" w:color="auto" w:sz="4" w:space="0"/>
            </w:tcBorders>
            <w:noWrap w:val="0"/>
            <w:vAlign w:val="center"/>
          </w:tcPr>
          <w:p w14:paraId="7D308D75">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18</w:t>
            </w:r>
          </w:p>
        </w:tc>
        <w:tc>
          <w:tcPr>
            <w:tcW w:w="947" w:type="dxa"/>
            <w:tcBorders>
              <w:top w:val="nil"/>
              <w:left w:val="nil"/>
              <w:bottom w:val="single" w:color="auto" w:sz="4" w:space="0"/>
              <w:right w:val="single" w:color="auto" w:sz="4" w:space="0"/>
            </w:tcBorders>
            <w:noWrap/>
            <w:vAlign w:val="center"/>
          </w:tcPr>
          <w:p w14:paraId="35B5F0F4">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w:t>
            </w:r>
          </w:p>
        </w:tc>
        <w:tc>
          <w:tcPr>
            <w:tcW w:w="1011" w:type="dxa"/>
            <w:tcBorders>
              <w:top w:val="nil"/>
              <w:left w:val="nil"/>
              <w:bottom w:val="single" w:color="auto" w:sz="4" w:space="0"/>
              <w:right w:val="single" w:color="auto" w:sz="4" w:space="0"/>
            </w:tcBorders>
            <w:noWrap w:val="0"/>
            <w:vAlign w:val="center"/>
          </w:tcPr>
          <w:p w14:paraId="4177756B">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540</w:t>
            </w:r>
          </w:p>
        </w:tc>
      </w:tr>
      <w:tr w14:paraId="3F307CF6">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35AC4758">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4BED7CF4">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124" w:type="dxa"/>
            <w:vMerge w:val="continue"/>
            <w:tcBorders>
              <w:top w:val="nil"/>
              <w:left w:val="single" w:color="auto" w:sz="4" w:space="0"/>
              <w:bottom w:val="single" w:color="auto" w:sz="4" w:space="0"/>
              <w:right w:val="single" w:color="auto" w:sz="4" w:space="0"/>
            </w:tcBorders>
            <w:noWrap w:val="0"/>
            <w:vAlign w:val="center"/>
          </w:tcPr>
          <w:p w14:paraId="41FE08BD">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ign w:val="center"/>
          </w:tcPr>
          <w:p w14:paraId="3B414EF6">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ign w:val="center"/>
          </w:tcPr>
          <w:p w14:paraId="3874847E">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ign w:val="center"/>
          </w:tcPr>
          <w:p w14:paraId="49CE68F2">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65608B8C">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947" w:type="dxa"/>
            <w:tcBorders>
              <w:top w:val="nil"/>
              <w:left w:val="nil"/>
              <w:bottom w:val="single" w:color="auto" w:sz="4" w:space="0"/>
              <w:right w:val="single" w:color="auto" w:sz="4" w:space="0"/>
            </w:tcBorders>
            <w:noWrap/>
            <w:vAlign w:val="center"/>
          </w:tcPr>
          <w:p w14:paraId="20891851">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280</w:t>
            </w:r>
          </w:p>
        </w:tc>
        <w:tc>
          <w:tcPr>
            <w:tcW w:w="1011" w:type="dxa"/>
            <w:tcBorders>
              <w:top w:val="nil"/>
              <w:left w:val="nil"/>
              <w:bottom w:val="single" w:color="auto" w:sz="4" w:space="0"/>
              <w:right w:val="single" w:color="auto" w:sz="4" w:space="0"/>
            </w:tcBorders>
            <w:noWrap w:val="0"/>
            <w:vAlign w:val="center"/>
          </w:tcPr>
          <w:p w14:paraId="0C80352C">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1680</w:t>
            </w:r>
          </w:p>
        </w:tc>
      </w:tr>
      <w:tr w14:paraId="7AE3FCEC">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35BE7248">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75853529">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124" w:type="dxa"/>
            <w:vMerge w:val="restart"/>
            <w:tcBorders>
              <w:top w:val="nil"/>
              <w:left w:val="single" w:color="auto" w:sz="4" w:space="0"/>
              <w:bottom w:val="single" w:color="auto" w:sz="4" w:space="0"/>
              <w:right w:val="single" w:color="auto" w:sz="4" w:space="0"/>
            </w:tcBorders>
            <w:noWrap w:val="0"/>
            <w:vAlign w:val="center"/>
          </w:tcPr>
          <w:p w14:paraId="715C1352">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2号宿舍楼</w:t>
            </w:r>
          </w:p>
        </w:tc>
        <w:tc>
          <w:tcPr>
            <w:tcW w:w="2164" w:type="dxa"/>
            <w:tcBorders>
              <w:top w:val="nil"/>
              <w:left w:val="nil"/>
              <w:bottom w:val="single" w:color="auto" w:sz="4" w:space="0"/>
              <w:right w:val="single" w:color="auto" w:sz="4" w:space="0"/>
            </w:tcBorders>
            <w:noWrap w:val="0"/>
            <w:vAlign w:val="center"/>
          </w:tcPr>
          <w:p w14:paraId="0B6645F4">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w:t>
            </w:r>
          </w:p>
        </w:tc>
        <w:tc>
          <w:tcPr>
            <w:tcW w:w="868" w:type="dxa"/>
            <w:tcBorders>
              <w:top w:val="nil"/>
              <w:left w:val="nil"/>
              <w:bottom w:val="single" w:color="auto" w:sz="4" w:space="0"/>
              <w:right w:val="single" w:color="auto" w:sz="4" w:space="0"/>
            </w:tcBorders>
            <w:noWrap w:val="0"/>
            <w:vAlign w:val="center"/>
          </w:tcPr>
          <w:p w14:paraId="728E1567">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0"/>
            <w:vAlign w:val="center"/>
          </w:tcPr>
          <w:p w14:paraId="74DB6FC1">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w:t>
            </w:r>
          </w:p>
        </w:tc>
        <w:tc>
          <w:tcPr>
            <w:tcW w:w="837" w:type="dxa"/>
            <w:tcBorders>
              <w:top w:val="nil"/>
              <w:left w:val="nil"/>
              <w:bottom w:val="single" w:color="auto" w:sz="4" w:space="0"/>
              <w:right w:val="single" w:color="auto" w:sz="4" w:space="0"/>
            </w:tcBorders>
            <w:noWrap w:val="0"/>
            <w:vAlign w:val="center"/>
          </w:tcPr>
          <w:p w14:paraId="5B7321E2">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18</w:t>
            </w:r>
          </w:p>
        </w:tc>
        <w:tc>
          <w:tcPr>
            <w:tcW w:w="947" w:type="dxa"/>
            <w:tcBorders>
              <w:top w:val="nil"/>
              <w:left w:val="nil"/>
              <w:bottom w:val="single" w:color="auto" w:sz="4" w:space="0"/>
              <w:right w:val="single" w:color="auto" w:sz="4" w:space="0"/>
            </w:tcBorders>
            <w:noWrap w:val="0"/>
            <w:vAlign w:val="center"/>
          </w:tcPr>
          <w:p w14:paraId="46B9AE88">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w:t>
            </w:r>
          </w:p>
        </w:tc>
        <w:tc>
          <w:tcPr>
            <w:tcW w:w="1011" w:type="dxa"/>
            <w:tcBorders>
              <w:top w:val="nil"/>
              <w:left w:val="nil"/>
              <w:bottom w:val="single" w:color="auto" w:sz="4" w:space="0"/>
              <w:right w:val="single" w:color="auto" w:sz="4" w:space="0"/>
            </w:tcBorders>
            <w:noWrap w:val="0"/>
            <w:vAlign w:val="center"/>
          </w:tcPr>
          <w:p w14:paraId="5D19DB07">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540</w:t>
            </w:r>
          </w:p>
        </w:tc>
      </w:tr>
      <w:tr w14:paraId="1AEAE3A9">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476B3FBA">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4E8E6A97">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124" w:type="dxa"/>
            <w:vMerge w:val="continue"/>
            <w:tcBorders>
              <w:top w:val="nil"/>
              <w:left w:val="single" w:color="auto" w:sz="4" w:space="0"/>
              <w:bottom w:val="single" w:color="auto" w:sz="4" w:space="0"/>
              <w:right w:val="single" w:color="auto" w:sz="4" w:space="0"/>
            </w:tcBorders>
            <w:noWrap w:val="0"/>
            <w:vAlign w:val="center"/>
          </w:tcPr>
          <w:p w14:paraId="1B8EBF39">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ign w:val="center"/>
          </w:tcPr>
          <w:p w14:paraId="210EC215">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洗漱间</w:t>
            </w:r>
          </w:p>
        </w:tc>
        <w:tc>
          <w:tcPr>
            <w:tcW w:w="868" w:type="dxa"/>
            <w:tcBorders>
              <w:top w:val="nil"/>
              <w:left w:val="nil"/>
              <w:bottom w:val="single" w:color="auto" w:sz="4" w:space="0"/>
              <w:right w:val="single" w:color="auto" w:sz="4" w:space="0"/>
            </w:tcBorders>
            <w:noWrap/>
            <w:vAlign w:val="center"/>
          </w:tcPr>
          <w:p w14:paraId="7FCA24EC">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ign w:val="center"/>
          </w:tcPr>
          <w:p w14:paraId="542A8222">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w:t>
            </w:r>
          </w:p>
        </w:tc>
        <w:tc>
          <w:tcPr>
            <w:tcW w:w="837" w:type="dxa"/>
            <w:tcBorders>
              <w:top w:val="nil"/>
              <w:left w:val="nil"/>
              <w:bottom w:val="single" w:color="auto" w:sz="4" w:space="0"/>
              <w:right w:val="single" w:color="auto" w:sz="4" w:space="0"/>
            </w:tcBorders>
            <w:noWrap w:val="0"/>
            <w:vAlign w:val="center"/>
          </w:tcPr>
          <w:p w14:paraId="3F3968B6">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18</w:t>
            </w:r>
          </w:p>
        </w:tc>
        <w:tc>
          <w:tcPr>
            <w:tcW w:w="947" w:type="dxa"/>
            <w:tcBorders>
              <w:top w:val="nil"/>
              <w:left w:val="nil"/>
              <w:bottom w:val="single" w:color="auto" w:sz="4" w:space="0"/>
              <w:right w:val="single" w:color="auto" w:sz="4" w:space="0"/>
            </w:tcBorders>
            <w:noWrap/>
            <w:vAlign w:val="center"/>
          </w:tcPr>
          <w:p w14:paraId="38223CCE">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w:t>
            </w:r>
          </w:p>
        </w:tc>
        <w:tc>
          <w:tcPr>
            <w:tcW w:w="1011" w:type="dxa"/>
            <w:tcBorders>
              <w:top w:val="nil"/>
              <w:left w:val="nil"/>
              <w:bottom w:val="single" w:color="auto" w:sz="4" w:space="0"/>
              <w:right w:val="single" w:color="auto" w:sz="4" w:space="0"/>
            </w:tcBorders>
            <w:noWrap w:val="0"/>
            <w:vAlign w:val="center"/>
          </w:tcPr>
          <w:p w14:paraId="2D2DBD3C">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540</w:t>
            </w:r>
          </w:p>
        </w:tc>
      </w:tr>
      <w:tr w14:paraId="34E6F8B5">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6FE7377A">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057FA52F">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124" w:type="dxa"/>
            <w:vMerge w:val="continue"/>
            <w:tcBorders>
              <w:top w:val="nil"/>
              <w:left w:val="single" w:color="auto" w:sz="4" w:space="0"/>
              <w:bottom w:val="single" w:color="auto" w:sz="4" w:space="0"/>
              <w:right w:val="single" w:color="auto" w:sz="4" w:space="0"/>
            </w:tcBorders>
            <w:noWrap w:val="0"/>
            <w:vAlign w:val="center"/>
          </w:tcPr>
          <w:p w14:paraId="3510087F">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ign w:val="center"/>
          </w:tcPr>
          <w:p w14:paraId="5D37934B">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ign w:val="center"/>
          </w:tcPr>
          <w:p w14:paraId="771D6C48">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ign w:val="center"/>
          </w:tcPr>
          <w:p w14:paraId="7BD4EEC8">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2DEEC864">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947" w:type="dxa"/>
            <w:tcBorders>
              <w:top w:val="nil"/>
              <w:left w:val="nil"/>
              <w:bottom w:val="single" w:color="auto" w:sz="4" w:space="0"/>
              <w:right w:val="single" w:color="auto" w:sz="4" w:space="0"/>
            </w:tcBorders>
            <w:noWrap/>
            <w:vAlign w:val="center"/>
          </w:tcPr>
          <w:p w14:paraId="3873C03D">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240</w:t>
            </w:r>
          </w:p>
        </w:tc>
        <w:tc>
          <w:tcPr>
            <w:tcW w:w="1011" w:type="dxa"/>
            <w:tcBorders>
              <w:top w:val="nil"/>
              <w:left w:val="nil"/>
              <w:bottom w:val="single" w:color="auto" w:sz="4" w:space="0"/>
              <w:right w:val="single" w:color="auto" w:sz="4" w:space="0"/>
            </w:tcBorders>
            <w:noWrap w:val="0"/>
            <w:vAlign w:val="center"/>
          </w:tcPr>
          <w:p w14:paraId="144D82E0">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1440</w:t>
            </w:r>
          </w:p>
        </w:tc>
      </w:tr>
      <w:tr w14:paraId="579CB012">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4943C64E">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0B1005C2">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124" w:type="dxa"/>
            <w:vMerge w:val="restart"/>
            <w:tcBorders>
              <w:top w:val="nil"/>
              <w:left w:val="single" w:color="auto" w:sz="4" w:space="0"/>
              <w:bottom w:val="single" w:color="auto" w:sz="4" w:space="0"/>
              <w:right w:val="single" w:color="auto" w:sz="4" w:space="0"/>
            </w:tcBorders>
            <w:noWrap w:val="0"/>
            <w:vAlign w:val="center"/>
          </w:tcPr>
          <w:p w14:paraId="32010BA2">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3号宿舍楼</w:t>
            </w:r>
          </w:p>
        </w:tc>
        <w:tc>
          <w:tcPr>
            <w:tcW w:w="2164" w:type="dxa"/>
            <w:tcBorders>
              <w:top w:val="nil"/>
              <w:left w:val="nil"/>
              <w:bottom w:val="single" w:color="auto" w:sz="4" w:space="0"/>
              <w:right w:val="single" w:color="auto" w:sz="4" w:space="0"/>
            </w:tcBorders>
            <w:noWrap w:val="0"/>
            <w:vAlign w:val="center"/>
          </w:tcPr>
          <w:p w14:paraId="1353F35C">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w:t>
            </w:r>
          </w:p>
        </w:tc>
        <w:tc>
          <w:tcPr>
            <w:tcW w:w="868" w:type="dxa"/>
            <w:tcBorders>
              <w:top w:val="nil"/>
              <w:left w:val="nil"/>
              <w:bottom w:val="single" w:color="auto" w:sz="4" w:space="0"/>
              <w:right w:val="single" w:color="auto" w:sz="4" w:space="0"/>
            </w:tcBorders>
            <w:noWrap w:val="0"/>
            <w:vAlign w:val="center"/>
          </w:tcPr>
          <w:p w14:paraId="12430101">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0"/>
            <w:vAlign w:val="center"/>
          </w:tcPr>
          <w:p w14:paraId="5571FA2F">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w:t>
            </w:r>
          </w:p>
        </w:tc>
        <w:tc>
          <w:tcPr>
            <w:tcW w:w="837" w:type="dxa"/>
            <w:tcBorders>
              <w:top w:val="nil"/>
              <w:left w:val="nil"/>
              <w:bottom w:val="single" w:color="auto" w:sz="4" w:space="0"/>
              <w:right w:val="single" w:color="auto" w:sz="4" w:space="0"/>
            </w:tcBorders>
            <w:noWrap w:val="0"/>
            <w:vAlign w:val="center"/>
          </w:tcPr>
          <w:p w14:paraId="7770E87B">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18</w:t>
            </w:r>
          </w:p>
        </w:tc>
        <w:tc>
          <w:tcPr>
            <w:tcW w:w="947" w:type="dxa"/>
            <w:tcBorders>
              <w:top w:val="nil"/>
              <w:left w:val="nil"/>
              <w:bottom w:val="single" w:color="auto" w:sz="4" w:space="0"/>
              <w:right w:val="single" w:color="auto" w:sz="4" w:space="0"/>
            </w:tcBorders>
            <w:noWrap w:val="0"/>
            <w:vAlign w:val="center"/>
          </w:tcPr>
          <w:p w14:paraId="0BBD92DF">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w:t>
            </w:r>
          </w:p>
        </w:tc>
        <w:tc>
          <w:tcPr>
            <w:tcW w:w="1011" w:type="dxa"/>
            <w:tcBorders>
              <w:top w:val="nil"/>
              <w:left w:val="nil"/>
              <w:bottom w:val="single" w:color="auto" w:sz="4" w:space="0"/>
              <w:right w:val="single" w:color="auto" w:sz="4" w:space="0"/>
            </w:tcBorders>
            <w:noWrap w:val="0"/>
            <w:vAlign w:val="center"/>
          </w:tcPr>
          <w:p w14:paraId="35E56A00">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540</w:t>
            </w:r>
          </w:p>
        </w:tc>
      </w:tr>
      <w:tr w14:paraId="68243907">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2F95568D">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23BC8D5A">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124" w:type="dxa"/>
            <w:vMerge w:val="continue"/>
            <w:tcBorders>
              <w:top w:val="nil"/>
              <w:left w:val="single" w:color="auto" w:sz="4" w:space="0"/>
              <w:bottom w:val="single" w:color="auto" w:sz="4" w:space="0"/>
              <w:right w:val="single" w:color="auto" w:sz="4" w:space="0"/>
            </w:tcBorders>
            <w:noWrap w:val="0"/>
            <w:vAlign w:val="center"/>
          </w:tcPr>
          <w:p w14:paraId="091809AF">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ign w:val="center"/>
          </w:tcPr>
          <w:p w14:paraId="76D8DCCB">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洗漱间</w:t>
            </w:r>
          </w:p>
        </w:tc>
        <w:tc>
          <w:tcPr>
            <w:tcW w:w="868" w:type="dxa"/>
            <w:tcBorders>
              <w:top w:val="nil"/>
              <w:left w:val="nil"/>
              <w:bottom w:val="single" w:color="auto" w:sz="4" w:space="0"/>
              <w:right w:val="single" w:color="auto" w:sz="4" w:space="0"/>
            </w:tcBorders>
            <w:noWrap/>
            <w:vAlign w:val="center"/>
          </w:tcPr>
          <w:p w14:paraId="0F1730A5">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ign w:val="center"/>
          </w:tcPr>
          <w:p w14:paraId="08012E5D">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w:t>
            </w:r>
          </w:p>
        </w:tc>
        <w:tc>
          <w:tcPr>
            <w:tcW w:w="837" w:type="dxa"/>
            <w:tcBorders>
              <w:top w:val="nil"/>
              <w:left w:val="nil"/>
              <w:bottom w:val="single" w:color="auto" w:sz="4" w:space="0"/>
              <w:right w:val="single" w:color="auto" w:sz="4" w:space="0"/>
            </w:tcBorders>
            <w:noWrap w:val="0"/>
            <w:vAlign w:val="center"/>
          </w:tcPr>
          <w:p w14:paraId="485B199A">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18</w:t>
            </w:r>
          </w:p>
        </w:tc>
        <w:tc>
          <w:tcPr>
            <w:tcW w:w="947" w:type="dxa"/>
            <w:tcBorders>
              <w:top w:val="nil"/>
              <w:left w:val="nil"/>
              <w:bottom w:val="single" w:color="auto" w:sz="4" w:space="0"/>
              <w:right w:val="single" w:color="auto" w:sz="4" w:space="0"/>
            </w:tcBorders>
            <w:noWrap/>
            <w:vAlign w:val="center"/>
          </w:tcPr>
          <w:p w14:paraId="2A313E90">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w:t>
            </w:r>
          </w:p>
        </w:tc>
        <w:tc>
          <w:tcPr>
            <w:tcW w:w="1011" w:type="dxa"/>
            <w:tcBorders>
              <w:top w:val="nil"/>
              <w:left w:val="nil"/>
              <w:bottom w:val="single" w:color="auto" w:sz="4" w:space="0"/>
              <w:right w:val="single" w:color="auto" w:sz="4" w:space="0"/>
            </w:tcBorders>
            <w:noWrap w:val="0"/>
            <w:vAlign w:val="center"/>
          </w:tcPr>
          <w:p w14:paraId="46759F34">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540</w:t>
            </w:r>
          </w:p>
        </w:tc>
      </w:tr>
      <w:tr w14:paraId="0706C4D6">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2430659D">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0B430ACE">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124" w:type="dxa"/>
            <w:vMerge w:val="continue"/>
            <w:tcBorders>
              <w:top w:val="nil"/>
              <w:left w:val="single" w:color="auto" w:sz="4" w:space="0"/>
              <w:bottom w:val="single" w:color="auto" w:sz="4" w:space="0"/>
              <w:right w:val="single" w:color="auto" w:sz="4" w:space="0"/>
            </w:tcBorders>
            <w:noWrap w:val="0"/>
            <w:vAlign w:val="center"/>
          </w:tcPr>
          <w:p w14:paraId="6694AA5E">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ign w:val="center"/>
          </w:tcPr>
          <w:p w14:paraId="3E5A925E">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ign w:val="center"/>
          </w:tcPr>
          <w:p w14:paraId="023CDEAD">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ign w:val="center"/>
          </w:tcPr>
          <w:p w14:paraId="50D593D0">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7AD51AD4">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947" w:type="dxa"/>
            <w:tcBorders>
              <w:top w:val="nil"/>
              <w:left w:val="nil"/>
              <w:bottom w:val="single" w:color="auto" w:sz="4" w:space="0"/>
              <w:right w:val="single" w:color="auto" w:sz="4" w:space="0"/>
            </w:tcBorders>
            <w:noWrap/>
            <w:vAlign w:val="center"/>
          </w:tcPr>
          <w:p w14:paraId="178FFCE3">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280</w:t>
            </w:r>
          </w:p>
        </w:tc>
        <w:tc>
          <w:tcPr>
            <w:tcW w:w="1011" w:type="dxa"/>
            <w:tcBorders>
              <w:top w:val="nil"/>
              <w:left w:val="nil"/>
              <w:bottom w:val="single" w:color="auto" w:sz="4" w:space="0"/>
              <w:right w:val="single" w:color="auto" w:sz="4" w:space="0"/>
            </w:tcBorders>
            <w:noWrap w:val="0"/>
            <w:vAlign w:val="center"/>
          </w:tcPr>
          <w:p w14:paraId="17CA4E47">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1680</w:t>
            </w:r>
          </w:p>
        </w:tc>
      </w:tr>
      <w:tr w14:paraId="037842EC">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39017485">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21E35324">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124" w:type="dxa"/>
            <w:vMerge w:val="restart"/>
            <w:tcBorders>
              <w:top w:val="nil"/>
              <w:left w:val="single" w:color="auto" w:sz="4" w:space="0"/>
              <w:bottom w:val="single" w:color="auto" w:sz="4" w:space="0"/>
              <w:right w:val="single" w:color="auto" w:sz="4" w:space="0"/>
            </w:tcBorders>
            <w:noWrap w:val="0"/>
            <w:vAlign w:val="center"/>
          </w:tcPr>
          <w:p w14:paraId="7AA26386">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4号宿舍楼</w:t>
            </w:r>
          </w:p>
        </w:tc>
        <w:tc>
          <w:tcPr>
            <w:tcW w:w="2164" w:type="dxa"/>
            <w:tcBorders>
              <w:top w:val="nil"/>
              <w:left w:val="nil"/>
              <w:bottom w:val="single" w:color="auto" w:sz="4" w:space="0"/>
              <w:right w:val="single" w:color="auto" w:sz="4" w:space="0"/>
            </w:tcBorders>
            <w:noWrap w:val="0"/>
            <w:vAlign w:val="center"/>
          </w:tcPr>
          <w:p w14:paraId="72A8D318">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w:t>
            </w:r>
          </w:p>
        </w:tc>
        <w:tc>
          <w:tcPr>
            <w:tcW w:w="868" w:type="dxa"/>
            <w:tcBorders>
              <w:top w:val="nil"/>
              <w:left w:val="nil"/>
              <w:bottom w:val="single" w:color="auto" w:sz="4" w:space="0"/>
              <w:right w:val="single" w:color="auto" w:sz="4" w:space="0"/>
            </w:tcBorders>
            <w:noWrap w:val="0"/>
            <w:vAlign w:val="center"/>
          </w:tcPr>
          <w:p w14:paraId="6074F9ED">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0"/>
            <w:vAlign w:val="center"/>
          </w:tcPr>
          <w:p w14:paraId="7F0AA79D">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w:t>
            </w:r>
          </w:p>
        </w:tc>
        <w:tc>
          <w:tcPr>
            <w:tcW w:w="837" w:type="dxa"/>
            <w:tcBorders>
              <w:top w:val="nil"/>
              <w:left w:val="nil"/>
              <w:bottom w:val="single" w:color="auto" w:sz="4" w:space="0"/>
              <w:right w:val="single" w:color="auto" w:sz="4" w:space="0"/>
            </w:tcBorders>
            <w:noWrap w:val="0"/>
            <w:vAlign w:val="center"/>
          </w:tcPr>
          <w:p w14:paraId="3FE1A8F3">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18</w:t>
            </w:r>
          </w:p>
        </w:tc>
        <w:tc>
          <w:tcPr>
            <w:tcW w:w="947" w:type="dxa"/>
            <w:tcBorders>
              <w:top w:val="nil"/>
              <w:left w:val="nil"/>
              <w:bottom w:val="single" w:color="auto" w:sz="4" w:space="0"/>
              <w:right w:val="single" w:color="auto" w:sz="4" w:space="0"/>
            </w:tcBorders>
            <w:noWrap w:val="0"/>
            <w:vAlign w:val="center"/>
          </w:tcPr>
          <w:p w14:paraId="3683FE5B">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w:t>
            </w:r>
          </w:p>
        </w:tc>
        <w:tc>
          <w:tcPr>
            <w:tcW w:w="1011" w:type="dxa"/>
            <w:tcBorders>
              <w:top w:val="nil"/>
              <w:left w:val="nil"/>
              <w:bottom w:val="single" w:color="auto" w:sz="4" w:space="0"/>
              <w:right w:val="single" w:color="auto" w:sz="4" w:space="0"/>
            </w:tcBorders>
            <w:noWrap w:val="0"/>
            <w:vAlign w:val="center"/>
          </w:tcPr>
          <w:p w14:paraId="1CE9AC86">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540</w:t>
            </w:r>
          </w:p>
        </w:tc>
      </w:tr>
      <w:tr w14:paraId="5CE513D9">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540190C1">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77CEAE26">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124" w:type="dxa"/>
            <w:vMerge w:val="continue"/>
            <w:tcBorders>
              <w:top w:val="nil"/>
              <w:left w:val="single" w:color="auto" w:sz="4" w:space="0"/>
              <w:bottom w:val="single" w:color="auto" w:sz="4" w:space="0"/>
              <w:right w:val="single" w:color="auto" w:sz="4" w:space="0"/>
            </w:tcBorders>
            <w:noWrap w:val="0"/>
            <w:vAlign w:val="center"/>
          </w:tcPr>
          <w:p w14:paraId="0097619A">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ign w:val="center"/>
          </w:tcPr>
          <w:p w14:paraId="77935B57">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洗漱间</w:t>
            </w:r>
          </w:p>
        </w:tc>
        <w:tc>
          <w:tcPr>
            <w:tcW w:w="868" w:type="dxa"/>
            <w:tcBorders>
              <w:top w:val="nil"/>
              <w:left w:val="nil"/>
              <w:bottom w:val="single" w:color="auto" w:sz="4" w:space="0"/>
              <w:right w:val="single" w:color="auto" w:sz="4" w:space="0"/>
            </w:tcBorders>
            <w:noWrap/>
            <w:vAlign w:val="center"/>
          </w:tcPr>
          <w:p w14:paraId="625AE4E6">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ign w:val="center"/>
          </w:tcPr>
          <w:p w14:paraId="29405382">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w:t>
            </w:r>
          </w:p>
        </w:tc>
        <w:tc>
          <w:tcPr>
            <w:tcW w:w="837" w:type="dxa"/>
            <w:tcBorders>
              <w:top w:val="nil"/>
              <w:left w:val="nil"/>
              <w:bottom w:val="single" w:color="auto" w:sz="4" w:space="0"/>
              <w:right w:val="single" w:color="auto" w:sz="4" w:space="0"/>
            </w:tcBorders>
            <w:noWrap w:val="0"/>
            <w:vAlign w:val="center"/>
          </w:tcPr>
          <w:p w14:paraId="7CFEFD66">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18</w:t>
            </w:r>
          </w:p>
        </w:tc>
        <w:tc>
          <w:tcPr>
            <w:tcW w:w="947" w:type="dxa"/>
            <w:tcBorders>
              <w:top w:val="nil"/>
              <w:left w:val="nil"/>
              <w:bottom w:val="single" w:color="auto" w:sz="4" w:space="0"/>
              <w:right w:val="single" w:color="auto" w:sz="4" w:space="0"/>
            </w:tcBorders>
            <w:noWrap/>
            <w:vAlign w:val="center"/>
          </w:tcPr>
          <w:p w14:paraId="3EE1A9D0">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w:t>
            </w:r>
          </w:p>
        </w:tc>
        <w:tc>
          <w:tcPr>
            <w:tcW w:w="1011" w:type="dxa"/>
            <w:tcBorders>
              <w:top w:val="nil"/>
              <w:left w:val="nil"/>
              <w:bottom w:val="single" w:color="auto" w:sz="4" w:space="0"/>
              <w:right w:val="single" w:color="auto" w:sz="4" w:space="0"/>
            </w:tcBorders>
            <w:noWrap w:val="0"/>
            <w:vAlign w:val="center"/>
          </w:tcPr>
          <w:p w14:paraId="017E0A9A">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540</w:t>
            </w:r>
          </w:p>
        </w:tc>
      </w:tr>
      <w:tr w14:paraId="7EC7085D">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4715D40B">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0E06EB3B">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124" w:type="dxa"/>
            <w:vMerge w:val="continue"/>
            <w:tcBorders>
              <w:top w:val="nil"/>
              <w:left w:val="single" w:color="auto" w:sz="4" w:space="0"/>
              <w:bottom w:val="single" w:color="auto" w:sz="4" w:space="0"/>
              <w:right w:val="single" w:color="auto" w:sz="4" w:space="0"/>
            </w:tcBorders>
            <w:noWrap w:val="0"/>
            <w:vAlign w:val="center"/>
          </w:tcPr>
          <w:p w14:paraId="6A4FCD2C">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ign w:val="center"/>
          </w:tcPr>
          <w:p w14:paraId="2ED3B251">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ign w:val="center"/>
          </w:tcPr>
          <w:p w14:paraId="5EAA1019">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ign w:val="center"/>
          </w:tcPr>
          <w:p w14:paraId="5DB8E42D">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26A9FC15">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947" w:type="dxa"/>
            <w:tcBorders>
              <w:top w:val="nil"/>
              <w:left w:val="nil"/>
              <w:bottom w:val="single" w:color="auto" w:sz="4" w:space="0"/>
              <w:right w:val="single" w:color="auto" w:sz="4" w:space="0"/>
            </w:tcBorders>
            <w:noWrap/>
            <w:vAlign w:val="center"/>
          </w:tcPr>
          <w:p w14:paraId="4694CE6B">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240</w:t>
            </w:r>
          </w:p>
        </w:tc>
        <w:tc>
          <w:tcPr>
            <w:tcW w:w="1011" w:type="dxa"/>
            <w:tcBorders>
              <w:top w:val="nil"/>
              <w:left w:val="nil"/>
              <w:bottom w:val="single" w:color="auto" w:sz="4" w:space="0"/>
              <w:right w:val="single" w:color="auto" w:sz="4" w:space="0"/>
            </w:tcBorders>
            <w:noWrap w:val="0"/>
            <w:vAlign w:val="center"/>
          </w:tcPr>
          <w:p w14:paraId="3E46FF39">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1440</w:t>
            </w:r>
          </w:p>
        </w:tc>
      </w:tr>
      <w:tr w14:paraId="00776FA5">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6211A885">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1B01DAE1">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124" w:type="dxa"/>
            <w:tcBorders>
              <w:top w:val="nil"/>
              <w:left w:val="nil"/>
              <w:bottom w:val="single" w:color="auto" w:sz="4" w:space="0"/>
              <w:right w:val="single" w:color="auto" w:sz="4" w:space="0"/>
            </w:tcBorders>
            <w:noWrap w:val="0"/>
            <w:vAlign w:val="center"/>
          </w:tcPr>
          <w:p w14:paraId="2B68CDED">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5号宿舍楼</w:t>
            </w:r>
          </w:p>
        </w:tc>
        <w:tc>
          <w:tcPr>
            <w:tcW w:w="2164" w:type="dxa"/>
            <w:tcBorders>
              <w:top w:val="nil"/>
              <w:left w:val="nil"/>
              <w:bottom w:val="single" w:color="auto" w:sz="4" w:space="0"/>
              <w:right w:val="single" w:color="auto" w:sz="4" w:space="0"/>
            </w:tcBorders>
            <w:noWrap/>
            <w:vAlign w:val="center"/>
          </w:tcPr>
          <w:p w14:paraId="4F8AD0A5">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ign w:val="center"/>
          </w:tcPr>
          <w:p w14:paraId="6C2089B2">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ign w:val="center"/>
          </w:tcPr>
          <w:p w14:paraId="2801D4F7">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5DD2DF34">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947" w:type="dxa"/>
            <w:tcBorders>
              <w:top w:val="nil"/>
              <w:left w:val="nil"/>
              <w:bottom w:val="single" w:color="auto" w:sz="4" w:space="0"/>
              <w:right w:val="single" w:color="auto" w:sz="4" w:space="0"/>
            </w:tcBorders>
            <w:noWrap/>
            <w:vAlign w:val="center"/>
          </w:tcPr>
          <w:p w14:paraId="6B86975B">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225</w:t>
            </w:r>
          </w:p>
        </w:tc>
        <w:tc>
          <w:tcPr>
            <w:tcW w:w="1011" w:type="dxa"/>
            <w:tcBorders>
              <w:top w:val="nil"/>
              <w:left w:val="nil"/>
              <w:bottom w:val="single" w:color="auto" w:sz="4" w:space="0"/>
              <w:right w:val="single" w:color="auto" w:sz="4" w:space="0"/>
            </w:tcBorders>
            <w:noWrap w:val="0"/>
            <w:vAlign w:val="center"/>
          </w:tcPr>
          <w:p w14:paraId="4224CFB8">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1350</w:t>
            </w:r>
          </w:p>
        </w:tc>
      </w:tr>
      <w:tr w14:paraId="6780D48D">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41707DD3">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7675E8DF">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124" w:type="dxa"/>
            <w:tcBorders>
              <w:top w:val="nil"/>
              <w:left w:val="nil"/>
              <w:bottom w:val="single" w:color="auto" w:sz="4" w:space="0"/>
              <w:right w:val="single" w:color="auto" w:sz="4" w:space="0"/>
            </w:tcBorders>
            <w:noWrap w:val="0"/>
            <w:vAlign w:val="center"/>
          </w:tcPr>
          <w:p w14:paraId="2B00794C">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6号宿舍楼</w:t>
            </w:r>
          </w:p>
        </w:tc>
        <w:tc>
          <w:tcPr>
            <w:tcW w:w="2164" w:type="dxa"/>
            <w:tcBorders>
              <w:top w:val="nil"/>
              <w:left w:val="nil"/>
              <w:bottom w:val="single" w:color="auto" w:sz="4" w:space="0"/>
              <w:right w:val="single" w:color="auto" w:sz="4" w:space="0"/>
            </w:tcBorders>
            <w:noWrap/>
            <w:vAlign w:val="center"/>
          </w:tcPr>
          <w:p w14:paraId="7E8AE270">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ign w:val="center"/>
          </w:tcPr>
          <w:p w14:paraId="5A49A5A4">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ign w:val="center"/>
          </w:tcPr>
          <w:p w14:paraId="705F287E">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3ACC5D28">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947" w:type="dxa"/>
            <w:tcBorders>
              <w:top w:val="nil"/>
              <w:left w:val="nil"/>
              <w:bottom w:val="single" w:color="auto" w:sz="4" w:space="0"/>
              <w:right w:val="single" w:color="auto" w:sz="4" w:space="0"/>
            </w:tcBorders>
            <w:noWrap/>
            <w:vAlign w:val="center"/>
          </w:tcPr>
          <w:p w14:paraId="2270DA7B">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240</w:t>
            </w:r>
          </w:p>
        </w:tc>
        <w:tc>
          <w:tcPr>
            <w:tcW w:w="1011" w:type="dxa"/>
            <w:tcBorders>
              <w:top w:val="nil"/>
              <w:left w:val="nil"/>
              <w:bottom w:val="single" w:color="auto" w:sz="4" w:space="0"/>
              <w:right w:val="single" w:color="auto" w:sz="4" w:space="0"/>
            </w:tcBorders>
            <w:noWrap w:val="0"/>
            <w:vAlign w:val="center"/>
          </w:tcPr>
          <w:p w14:paraId="3A50CDC8">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1440</w:t>
            </w:r>
          </w:p>
        </w:tc>
      </w:tr>
      <w:tr w14:paraId="5D3F3AEB">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059889C4">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048F8D19">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124" w:type="dxa"/>
            <w:tcBorders>
              <w:top w:val="nil"/>
              <w:left w:val="nil"/>
              <w:bottom w:val="single" w:color="auto" w:sz="4" w:space="0"/>
              <w:right w:val="single" w:color="auto" w:sz="4" w:space="0"/>
            </w:tcBorders>
            <w:noWrap w:val="0"/>
            <w:vAlign w:val="center"/>
          </w:tcPr>
          <w:p w14:paraId="62892FA6">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7号宿舍楼</w:t>
            </w:r>
          </w:p>
        </w:tc>
        <w:tc>
          <w:tcPr>
            <w:tcW w:w="2164" w:type="dxa"/>
            <w:tcBorders>
              <w:top w:val="nil"/>
              <w:left w:val="nil"/>
              <w:bottom w:val="single" w:color="auto" w:sz="4" w:space="0"/>
              <w:right w:val="single" w:color="auto" w:sz="4" w:space="0"/>
            </w:tcBorders>
            <w:noWrap/>
            <w:vAlign w:val="center"/>
          </w:tcPr>
          <w:p w14:paraId="0418D3D0">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ign w:val="center"/>
          </w:tcPr>
          <w:p w14:paraId="1B6287C7">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ign w:val="center"/>
          </w:tcPr>
          <w:p w14:paraId="3B5CEE29">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51BD3BB5">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947" w:type="dxa"/>
            <w:tcBorders>
              <w:top w:val="nil"/>
              <w:left w:val="nil"/>
              <w:bottom w:val="single" w:color="auto" w:sz="4" w:space="0"/>
              <w:right w:val="single" w:color="auto" w:sz="4" w:space="0"/>
            </w:tcBorders>
            <w:noWrap/>
            <w:vAlign w:val="center"/>
          </w:tcPr>
          <w:p w14:paraId="02B0DD06">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230</w:t>
            </w:r>
          </w:p>
        </w:tc>
        <w:tc>
          <w:tcPr>
            <w:tcW w:w="1011" w:type="dxa"/>
            <w:tcBorders>
              <w:top w:val="nil"/>
              <w:left w:val="nil"/>
              <w:bottom w:val="single" w:color="auto" w:sz="4" w:space="0"/>
              <w:right w:val="single" w:color="auto" w:sz="4" w:space="0"/>
            </w:tcBorders>
            <w:noWrap w:val="0"/>
            <w:vAlign w:val="center"/>
          </w:tcPr>
          <w:p w14:paraId="745C6F17">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1380</w:t>
            </w:r>
          </w:p>
        </w:tc>
      </w:tr>
      <w:tr w14:paraId="512EE026">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5BED59F2">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35D0C750">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124" w:type="dxa"/>
            <w:vMerge w:val="restart"/>
            <w:tcBorders>
              <w:top w:val="nil"/>
              <w:left w:val="single" w:color="auto" w:sz="4" w:space="0"/>
              <w:bottom w:val="single" w:color="auto" w:sz="4" w:space="0"/>
              <w:right w:val="single" w:color="auto" w:sz="4" w:space="0"/>
            </w:tcBorders>
            <w:noWrap w:val="0"/>
            <w:vAlign w:val="center"/>
          </w:tcPr>
          <w:p w14:paraId="4C7FD612">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8号宿舍楼</w:t>
            </w:r>
          </w:p>
        </w:tc>
        <w:tc>
          <w:tcPr>
            <w:tcW w:w="2164" w:type="dxa"/>
            <w:tcBorders>
              <w:top w:val="nil"/>
              <w:left w:val="nil"/>
              <w:bottom w:val="single" w:color="auto" w:sz="4" w:space="0"/>
              <w:right w:val="single" w:color="auto" w:sz="4" w:space="0"/>
            </w:tcBorders>
            <w:noWrap w:val="0"/>
            <w:vAlign w:val="center"/>
          </w:tcPr>
          <w:p w14:paraId="579C641B">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w:t>
            </w:r>
          </w:p>
        </w:tc>
        <w:tc>
          <w:tcPr>
            <w:tcW w:w="868" w:type="dxa"/>
            <w:tcBorders>
              <w:top w:val="nil"/>
              <w:left w:val="nil"/>
              <w:bottom w:val="single" w:color="auto" w:sz="4" w:space="0"/>
              <w:right w:val="single" w:color="auto" w:sz="4" w:space="0"/>
            </w:tcBorders>
            <w:noWrap w:val="0"/>
            <w:vAlign w:val="center"/>
          </w:tcPr>
          <w:p w14:paraId="7FB4CC7B">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0"/>
            <w:vAlign w:val="center"/>
          </w:tcPr>
          <w:p w14:paraId="573807AD">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837" w:type="dxa"/>
            <w:tcBorders>
              <w:top w:val="nil"/>
              <w:left w:val="nil"/>
              <w:bottom w:val="single" w:color="auto" w:sz="4" w:space="0"/>
              <w:right w:val="single" w:color="auto" w:sz="4" w:space="0"/>
            </w:tcBorders>
            <w:noWrap w:val="0"/>
            <w:vAlign w:val="center"/>
          </w:tcPr>
          <w:p w14:paraId="13F8DFC6">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12</w:t>
            </w:r>
          </w:p>
        </w:tc>
        <w:tc>
          <w:tcPr>
            <w:tcW w:w="947" w:type="dxa"/>
            <w:tcBorders>
              <w:top w:val="nil"/>
              <w:left w:val="nil"/>
              <w:bottom w:val="single" w:color="auto" w:sz="4" w:space="0"/>
              <w:right w:val="single" w:color="auto" w:sz="4" w:space="0"/>
            </w:tcBorders>
            <w:noWrap w:val="0"/>
            <w:vAlign w:val="center"/>
          </w:tcPr>
          <w:p w14:paraId="1B649CDC">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45</w:t>
            </w:r>
          </w:p>
        </w:tc>
        <w:tc>
          <w:tcPr>
            <w:tcW w:w="1011" w:type="dxa"/>
            <w:tcBorders>
              <w:top w:val="nil"/>
              <w:left w:val="nil"/>
              <w:bottom w:val="single" w:color="auto" w:sz="4" w:space="0"/>
              <w:right w:val="single" w:color="auto" w:sz="4" w:space="0"/>
            </w:tcBorders>
            <w:noWrap w:val="0"/>
            <w:vAlign w:val="center"/>
          </w:tcPr>
          <w:p w14:paraId="61AEB9B7">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540</w:t>
            </w:r>
          </w:p>
        </w:tc>
      </w:tr>
      <w:tr w14:paraId="43E180A6">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602E3619">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508FC42C">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124" w:type="dxa"/>
            <w:vMerge w:val="continue"/>
            <w:tcBorders>
              <w:top w:val="nil"/>
              <w:left w:val="single" w:color="auto" w:sz="4" w:space="0"/>
              <w:bottom w:val="single" w:color="auto" w:sz="4" w:space="0"/>
              <w:right w:val="single" w:color="auto" w:sz="4" w:space="0"/>
            </w:tcBorders>
            <w:noWrap w:val="0"/>
            <w:vAlign w:val="center"/>
          </w:tcPr>
          <w:p w14:paraId="7E091C19">
            <w:pPr>
              <w:keepNext w:val="0"/>
              <w:keepLines w:val="0"/>
              <w:pageBreakBefore w:val="0"/>
              <w:kinsoku/>
              <w:wordWrap/>
              <w:overflowPunct/>
              <w:topLinePunct w:val="0"/>
              <w:autoSpaceDE/>
              <w:autoSpaceDN/>
              <w:bidi w:val="0"/>
              <w:adjustRightInd/>
              <w:snapToGrid/>
              <w:spacing w:line="460" w:lineRule="exact"/>
              <w:ind w:left="0" w:right="0" w:firstLine="480"/>
              <w:jc w:val="center"/>
              <w:textAlignment w:val="auto"/>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ign w:val="center"/>
          </w:tcPr>
          <w:p w14:paraId="01D690C0">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洗漱间</w:t>
            </w:r>
          </w:p>
        </w:tc>
        <w:tc>
          <w:tcPr>
            <w:tcW w:w="868" w:type="dxa"/>
            <w:tcBorders>
              <w:top w:val="nil"/>
              <w:left w:val="nil"/>
              <w:bottom w:val="single" w:color="auto" w:sz="4" w:space="0"/>
              <w:right w:val="single" w:color="auto" w:sz="4" w:space="0"/>
            </w:tcBorders>
            <w:noWrap/>
            <w:vAlign w:val="center"/>
          </w:tcPr>
          <w:p w14:paraId="10C79CBB">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ign w:val="center"/>
          </w:tcPr>
          <w:p w14:paraId="4FE625D8">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837" w:type="dxa"/>
            <w:tcBorders>
              <w:top w:val="nil"/>
              <w:left w:val="nil"/>
              <w:bottom w:val="single" w:color="auto" w:sz="4" w:space="0"/>
              <w:right w:val="single" w:color="auto" w:sz="4" w:space="0"/>
            </w:tcBorders>
            <w:noWrap w:val="0"/>
            <w:vAlign w:val="center"/>
          </w:tcPr>
          <w:p w14:paraId="3D0EF5D8">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12</w:t>
            </w:r>
          </w:p>
        </w:tc>
        <w:tc>
          <w:tcPr>
            <w:tcW w:w="947" w:type="dxa"/>
            <w:tcBorders>
              <w:top w:val="nil"/>
              <w:left w:val="nil"/>
              <w:bottom w:val="single" w:color="auto" w:sz="4" w:space="0"/>
              <w:right w:val="single" w:color="auto" w:sz="4" w:space="0"/>
            </w:tcBorders>
            <w:noWrap/>
            <w:vAlign w:val="center"/>
          </w:tcPr>
          <w:p w14:paraId="4E2917DA">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20</w:t>
            </w:r>
          </w:p>
        </w:tc>
        <w:tc>
          <w:tcPr>
            <w:tcW w:w="1011" w:type="dxa"/>
            <w:tcBorders>
              <w:top w:val="nil"/>
              <w:left w:val="nil"/>
              <w:bottom w:val="single" w:color="auto" w:sz="4" w:space="0"/>
              <w:right w:val="single" w:color="auto" w:sz="4" w:space="0"/>
            </w:tcBorders>
            <w:noWrap w:val="0"/>
            <w:vAlign w:val="center"/>
          </w:tcPr>
          <w:p w14:paraId="32366B94">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240</w:t>
            </w:r>
          </w:p>
        </w:tc>
      </w:tr>
      <w:tr w14:paraId="5DF3B8FE">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254BBE01">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04F3D70D">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124" w:type="dxa"/>
            <w:vMerge w:val="continue"/>
            <w:tcBorders>
              <w:top w:val="nil"/>
              <w:left w:val="single" w:color="auto" w:sz="4" w:space="0"/>
              <w:bottom w:val="single" w:color="auto" w:sz="4" w:space="0"/>
              <w:right w:val="single" w:color="auto" w:sz="4" w:space="0"/>
            </w:tcBorders>
            <w:noWrap w:val="0"/>
            <w:vAlign w:val="center"/>
          </w:tcPr>
          <w:p w14:paraId="51978FED">
            <w:pPr>
              <w:keepNext w:val="0"/>
              <w:keepLines w:val="0"/>
              <w:pageBreakBefore w:val="0"/>
              <w:kinsoku/>
              <w:wordWrap/>
              <w:overflowPunct/>
              <w:topLinePunct w:val="0"/>
              <w:autoSpaceDE/>
              <w:autoSpaceDN/>
              <w:bidi w:val="0"/>
              <w:adjustRightInd/>
              <w:snapToGrid/>
              <w:spacing w:line="460" w:lineRule="exact"/>
              <w:ind w:left="0" w:right="0" w:firstLine="480"/>
              <w:jc w:val="center"/>
              <w:textAlignment w:val="auto"/>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ign w:val="center"/>
          </w:tcPr>
          <w:p w14:paraId="1D6F8292">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ign w:val="center"/>
          </w:tcPr>
          <w:p w14:paraId="4ACF174F">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ign w:val="center"/>
          </w:tcPr>
          <w:p w14:paraId="24FE75F4">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1B0DC45C">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947" w:type="dxa"/>
            <w:tcBorders>
              <w:top w:val="nil"/>
              <w:left w:val="nil"/>
              <w:bottom w:val="single" w:color="auto" w:sz="4" w:space="0"/>
              <w:right w:val="single" w:color="auto" w:sz="4" w:space="0"/>
            </w:tcBorders>
            <w:noWrap/>
            <w:vAlign w:val="center"/>
          </w:tcPr>
          <w:p w14:paraId="1D1E9D92">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215</w:t>
            </w:r>
          </w:p>
        </w:tc>
        <w:tc>
          <w:tcPr>
            <w:tcW w:w="1011" w:type="dxa"/>
            <w:tcBorders>
              <w:top w:val="nil"/>
              <w:left w:val="nil"/>
              <w:bottom w:val="single" w:color="auto" w:sz="4" w:space="0"/>
              <w:right w:val="single" w:color="auto" w:sz="4" w:space="0"/>
            </w:tcBorders>
            <w:noWrap/>
            <w:vAlign w:val="center"/>
          </w:tcPr>
          <w:p w14:paraId="3966A7A1">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1290</w:t>
            </w:r>
          </w:p>
        </w:tc>
      </w:tr>
      <w:tr w14:paraId="60B90F47">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2106B35A">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3C57C4FA">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124" w:type="dxa"/>
            <w:vMerge w:val="restart"/>
            <w:tcBorders>
              <w:top w:val="nil"/>
              <w:left w:val="single" w:color="auto" w:sz="4" w:space="0"/>
              <w:right w:val="single" w:color="auto" w:sz="4" w:space="0"/>
            </w:tcBorders>
            <w:noWrap w:val="0"/>
            <w:vAlign w:val="center"/>
          </w:tcPr>
          <w:p w14:paraId="653BAFDC">
            <w:pPr>
              <w:keepNext w:val="0"/>
              <w:keepLines w:val="0"/>
              <w:pageBreakBefore w:val="0"/>
              <w:kinsoku/>
              <w:wordWrap/>
              <w:overflowPunct/>
              <w:topLinePunct w:val="0"/>
              <w:autoSpaceDE/>
              <w:autoSpaceDN/>
              <w:bidi w:val="0"/>
              <w:adjustRightInd/>
              <w:snapToGrid/>
              <w:spacing w:line="460" w:lineRule="exact"/>
              <w:ind w:left="0" w:leftChars="0" w:right="0" w:firstLine="0" w:firstLineChars="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14号宿舍楼</w:t>
            </w:r>
          </w:p>
        </w:tc>
        <w:tc>
          <w:tcPr>
            <w:tcW w:w="2164" w:type="dxa"/>
            <w:tcBorders>
              <w:top w:val="nil"/>
              <w:left w:val="nil"/>
              <w:bottom w:val="single" w:color="auto" w:sz="4" w:space="0"/>
              <w:right w:val="single" w:color="auto" w:sz="4" w:space="0"/>
            </w:tcBorders>
            <w:noWrap/>
            <w:vAlign w:val="center"/>
          </w:tcPr>
          <w:p w14:paraId="4FF5D7E8">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w:t>
            </w:r>
          </w:p>
        </w:tc>
        <w:tc>
          <w:tcPr>
            <w:tcW w:w="868" w:type="dxa"/>
            <w:tcBorders>
              <w:top w:val="nil"/>
              <w:left w:val="nil"/>
              <w:bottom w:val="single" w:color="auto" w:sz="4" w:space="0"/>
              <w:right w:val="single" w:color="auto" w:sz="4" w:space="0"/>
            </w:tcBorders>
            <w:noWrap/>
            <w:vAlign w:val="center"/>
          </w:tcPr>
          <w:p w14:paraId="68A5F8F0">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w:t>
            </w:r>
          </w:p>
        </w:tc>
        <w:tc>
          <w:tcPr>
            <w:tcW w:w="837" w:type="dxa"/>
            <w:tcBorders>
              <w:top w:val="nil"/>
              <w:left w:val="nil"/>
              <w:bottom w:val="single" w:color="auto" w:sz="4" w:space="0"/>
              <w:right w:val="single" w:color="auto" w:sz="4" w:space="0"/>
            </w:tcBorders>
            <w:noWrap/>
            <w:vAlign w:val="center"/>
          </w:tcPr>
          <w:p w14:paraId="51888CA5">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4B18E6C1">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w:t>
            </w:r>
          </w:p>
        </w:tc>
        <w:tc>
          <w:tcPr>
            <w:tcW w:w="947" w:type="dxa"/>
            <w:tcBorders>
              <w:top w:val="nil"/>
              <w:left w:val="nil"/>
              <w:bottom w:val="single" w:color="auto" w:sz="4" w:space="0"/>
              <w:right w:val="single" w:color="auto" w:sz="4" w:space="0"/>
            </w:tcBorders>
            <w:noWrap/>
            <w:vAlign w:val="center"/>
          </w:tcPr>
          <w:p w14:paraId="5A05C323">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40</w:t>
            </w:r>
          </w:p>
        </w:tc>
        <w:tc>
          <w:tcPr>
            <w:tcW w:w="1011" w:type="dxa"/>
            <w:tcBorders>
              <w:top w:val="nil"/>
              <w:left w:val="nil"/>
              <w:bottom w:val="single" w:color="auto" w:sz="4" w:space="0"/>
              <w:right w:val="single" w:color="auto" w:sz="4" w:space="0"/>
            </w:tcBorders>
            <w:noWrap/>
            <w:vAlign w:val="center"/>
          </w:tcPr>
          <w:p w14:paraId="123237A3">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200</w:t>
            </w:r>
          </w:p>
        </w:tc>
      </w:tr>
      <w:tr w14:paraId="213EA8BB">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04FEFBB4">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818" w:type="dxa"/>
            <w:vMerge w:val="continue"/>
            <w:tcBorders>
              <w:left w:val="single" w:color="auto" w:sz="4" w:space="0"/>
              <w:right w:val="single" w:color="auto" w:sz="4" w:space="0"/>
            </w:tcBorders>
            <w:noWrap w:val="0"/>
            <w:vAlign w:val="center"/>
          </w:tcPr>
          <w:p w14:paraId="411935FD">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124" w:type="dxa"/>
            <w:vMerge w:val="continue"/>
            <w:tcBorders>
              <w:left w:val="single" w:color="auto" w:sz="4" w:space="0"/>
              <w:right w:val="single" w:color="auto" w:sz="4" w:space="0"/>
            </w:tcBorders>
            <w:noWrap w:val="0"/>
            <w:vAlign w:val="center"/>
          </w:tcPr>
          <w:p w14:paraId="1B76D9C0">
            <w:pPr>
              <w:keepNext w:val="0"/>
              <w:keepLines w:val="0"/>
              <w:pageBreakBefore w:val="0"/>
              <w:kinsoku/>
              <w:wordWrap/>
              <w:overflowPunct/>
              <w:topLinePunct w:val="0"/>
              <w:autoSpaceDE/>
              <w:autoSpaceDN/>
              <w:bidi w:val="0"/>
              <w:adjustRightInd/>
              <w:snapToGrid/>
              <w:spacing w:line="460" w:lineRule="exact"/>
              <w:ind w:left="0" w:right="0" w:hanging="480" w:hangingChars="200"/>
              <w:jc w:val="left"/>
              <w:textAlignment w:val="auto"/>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ign w:val="center"/>
          </w:tcPr>
          <w:p w14:paraId="44DF3371">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洗漱间</w:t>
            </w:r>
          </w:p>
        </w:tc>
        <w:tc>
          <w:tcPr>
            <w:tcW w:w="868" w:type="dxa"/>
            <w:tcBorders>
              <w:top w:val="nil"/>
              <w:left w:val="nil"/>
              <w:bottom w:val="single" w:color="auto" w:sz="4" w:space="0"/>
              <w:right w:val="single" w:color="auto" w:sz="4" w:space="0"/>
            </w:tcBorders>
            <w:noWrap/>
            <w:vAlign w:val="center"/>
          </w:tcPr>
          <w:p w14:paraId="19B3AED2">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w:t>
            </w:r>
          </w:p>
        </w:tc>
        <w:tc>
          <w:tcPr>
            <w:tcW w:w="837" w:type="dxa"/>
            <w:tcBorders>
              <w:top w:val="nil"/>
              <w:left w:val="nil"/>
              <w:bottom w:val="single" w:color="auto" w:sz="4" w:space="0"/>
              <w:right w:val="single" w:color="auto" w:sz="4" w:space="0"/>
            </w:tcBorders>
            <w:noWrap/>
            <w:vAlign w:val="center"/>
          </w:tcPr>
          <w:p w14:paraId="2B7B51F0">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837" w:type="dxa"/>
            <w:tcBorders>
              <w:top w:val="nil"/>
              <w:left w:val="nil"/>
              <w:bottom w:val="single" w:color="auto" w:sz="4" w:space="0"/>
              <w:right w:val="single" w:color="auto" w:sz="4" w:space="0"/>
            </w:tcBorders>
            <w:noWrap w:val="0"/>
            <w:vAlign w:val="center"/>
          </w:tcPr>
          <w:p w14:paraId="0A4EB841">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10</w:t>
            </w:r>
          </w:p>
        </w:tc>
        <w:tc>
          <w:tcPr>
            <w:tcW w:w="947" w:type="dxa"/>
            <w:tcBorders>
              <w:top w:val="nil"/>
              <w:left w:val="nil"/>
              <w:bottom w:val="single" w:color="auto" w:sz="4" w:space="0"/>
              <w:right w:val="single" w:color="auto" w:sz="4" w:space="0"/>
            </w:tcBorders>
            <w:noWrap/>
            <w:vAlign w:val="center"/>
          </w:tcPr>
          <w:p w14:paraId="75A7BBA6">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w:t>
            </w:r>
          </w:p>
        </w:tc>
        <w:tc>
          <w:tcPr>
            <w:tcW w:w="1011" w:type="dxa"/>
            <w:tcBorders>
              <w:top w:val="nil"/>
              <w:left w:val="nil"/>
              <w:bottom w:val="single" w:color="auto" w:sz="4" w:space="0"/>
              <w:right w:val="single" w:color="auto" w:sz="4" w:space="0"/>
            </w:tcBorders>
            <w:noWrap/>
            <w:vAlign w:val="center"/>
          </w:tcPr>
          <w:p w14:paraId="6955C4BE">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300</w:t>
            </w:r>
          </w:p>
        </w:tc>
      </w:tr>
      <w:tr w14:paraId="1AF067DD">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4513EAB5">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818" w:type="dxa"/>
            <w:vMerge w:val="continue"/>
            <w:tcBorders>
              <w:left w:val="single" w:color="auto" w:sz="4" w:space="0"/>
              <w:bottom w:val="single" w:color="auto" w:sz="4" w:space="0"/>
              <w:right w:val="single" w:color="auto" w:sz="4" w:space="0"/>
            </w:tcBorders>
            <w:noWrap w:val="0"/>
            <w:vAlign w:val="center"/>
          </w:tcPr>
          <w:p w14:paraId="12F90108">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124" w:type="dxa"/>
            <w:vMerge w:val="continue"/>
            <w:tcBorders>
              <w:left w:val="single" w:color="auto" w:sz="4" w:space="0"/>
              <w:bottom w:val="single" w:color="auto" w:sz="4" w:space="0"/>
              <w:right w:val="single" w:color="auto" w:sz="4" w:space="0"/>
            </w:tcBorders>
            <w:noWrap w:val="0"/>
            <w:vAlign w:val="center"/>
          </w:tcPr>
          <w:p w14:paraId="1F68C4C1">
            <w:pPr>
              <w:keepNext w:val="0"/>
              <w:keepLines w:val="0"/>
              <w:pageBreakBefore w:val="0"/>
              <w:kinsoku/>
              <w:wordWrap/>
              <w:overflowPunct/>
              <w:topLinePunct w:val="0"/>
              <w:autoSpaceDE/>
              <w:autoSpaceDN/>
              <w:bidi w:val="0"/>
              <w:adjustRightInd/>
              <w:snapToGrid/>
              <w:spacing w:line="460" w:lineRule="exact"/>
              <w:ind w:left="0" w:right="0" w:hanging="480" w:hangingChars="200"/>
              <w:jc w:val="left"/>
              <w:textAlignment w:val="auto"/>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ign w:val="center"/>
          </w:tcPr>
          <w:p w14:paraId="7BBD58CD">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ign w:val="center"/>
          </w:tcPr>
          <w:p w14:paraId="5C50E8CF">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w:t>
            </w:r>
          </w:p>
        </w:tc>
        <w:tc>
          <w:tcPr>
            <w:tcW w:w="837" w:type="dxa"/>
            <w:tcBorders>
              <w:top w:val="nil"/>
              <w:left w:val="nil"/>
              <w:bottom w:val="single" w:color="auto" w:sz="4" w:space="0"/>
              <w:right w:val="single" w:color="auto" w:sz="4" w:space="0"/>
            </w:tcBorders>
            <w:noWrap/>
            <w:vAlign w:val="center"/>
          </w:tcPr>
          <w:p w14:paraId="30001896">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0D415F99">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w:t>
            </w:r>
          </w:p>
        </w:tc>
        <w:tc>
          <w:tcPr>
            <w:tcW w:w="947" w:type="dxa"/>
            <w:tcBorders>
              <w:top w:val="nil"/>
              <w:left w:val="nil"/>
              <w:bottom w:val="single" w:color="auto" w:sz="4" w:space="0"/>
              <w:right w:val="single" w:color="auto" w:sz="4" w:space="0"/>
            </w:tcBorders>
            <w:noWrap/>
            <w:vAlign w:val="center"/>
          </w:tcPr>
          <w:p w14:paraId="17B7F316">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200</w:t>
            </w:r>
          </w:p>
        </w:tc>
        <w:tc>
          <w:tcPr>
            <w:tcW w:w="1011" w:type="dxa"/>
            <w:tcBorders>
              <w:top w:val="nil"/>
              <w:left w:val="nil"/>
              <w:bottom w:val="single" w:color="auto" w:sz="4" w:space="0"/>
              <w:right w:val="single" w:color="auto" w:sz="4" w:space="0"/>
            </w:tcBorders>
            <w:noWrap/>
            <w:vAlign w:val="center"/>
          </w:tcPr>
          <w:p w14:paraId="6AFCE156">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1000</w:t>
            </w:r>
          </w:p>
        </w:tc>
      </w:tr>
      <w:tr w14:paraId="641CE2EF">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35E48DAA">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942" w:type="dxa"/>
            <w:gridSpan w:val="2"/>
            <w:vMerge w:val="restart"/>
            <w:tcBorders>
              <w:top w:val="single" w:color="auto" w:sz="4" w:space="0"/>
              <w:left w:val="nil"/>
              <w:right w:val="single" w:color="auto" w:sz="4" w:space="0"/>
            </w:tcBorders>
            <w:noWrap w:val="0"/>
            <w:vAlign w:val="center"/>
          </w:tcPr>
          <w:p w14:paraId="15014DCC">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行政楼</w:t>
            </w:r>
          </w:p>
        </w:tc>
        <w:tc>
          <w:tcPr>
            <w:tcW w:w="2164" w:type="dxa"/>
            <w:tcBorders>
              <w:top w:val="nil"/>
              <w:left w:val="nil"/>
              <w:bottom w:val="single" w:color="auto" w:sz="4" w:space="0"/>
              <w:right w:val="single" w:color="auto" w:sz="4" w:space="0"/>
            </w:tcBorders>
            <w:noWrap w:val="0"/>
            <w:vAlign w:val="center"/>
          </w:tcPr>
          <w:p w14:paraId="4F7AFF98">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厕所（含洗漱间）</w:t>
            </w:r>
          </w:p>
        </w:tc>
        <w:tc>
          <w:tcPr>
            <w:tcW w:w="868" w:type="dxa"/>
            <w:tcBorders>
              <w:top w:val="nil"/>
              <w:left w:val="nil"/>
              <w:bottom w:val="single" w:color="auto" w:sz="4" w:space="0"/>
              <w:right w:val="single" w:color="auto" w:sz="4" w:space="0"/>
            </w:tcBorders>
            <w:noWrap w:val="0"/>
            <w:vAlign w:val="center"/>
          </w:tcPr>
          <w:p w14:paraId="23CB8235">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w:t>
            </w:r>
          </w:p>
        </w:tc>
        <w:tc>
          <w:tcPr>
            <w:tcW w:w="837" w:type="dxa"/>
            <w:tcBorders>
              <w:top w:val="nil"/>
              <w:left w:val="nil"/>
              <w:bottom w:val="single" w:color="auto" w:sz="4" w:space="0"/>
              <w:right w:val="single" w:color="auto" w:sz="4" w:space="0"/>
            </w:tcBorders>
            <w:noWrap w:val="0"/>
            <w:vAlign w:val="center"/>
          </w:tcPr>
          <w:p w14:paraId="708C3784">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837" w:type="dxa"/>
            <w:tcBorders>
              <w:top w:val="nil"/>
              <w:left w:val="nil"/>
              <w:bottom w:val="single" w:color="auto" w:sz="4" w:space="0"/>
              <w:right w:val="single" w:color="auto" w:sz="4" w:space="0"/>
            </w:tcBorders>
            <w:noWrap w:val="0"/>
            <w:vAlign w:val="center"/>
          </w:tcPr>
          <w:p w14:paraId="55F5693E">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8</w:t>
            </w:r>
          </w:p>
        </w:tc>
        <w:tc>
          <w:tcPr>
            <w:tcW w:w="947" w:type="dxa"/>
            <w:tcBorders>
              <w:top w:val="nil"/>
              <w:left w:val="nil"/>
              <w:bottom w:val="single" w:color="auto" w:sz="4" w:space="0"/>
              <w:right w:val="single" w:color="auto" w:sz="4" w:space="0"/>
            </w:tcBorders>
            <w:noWrap w:val="0"/>
            <w:vAlign w:val="center"/>
          </w:tcPr>
          <w:p w14:paraId="2F854715">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22</w:t>
            </w:r>
          </w:p>
        </w:tc>
        <w:tc>
          <w:tcPr>
            <w:tcW w:w="1011" w:type="dxa"/>
            <w:tcBorders>
              <w:top w:val="nil"/>
              <w:left w:val="nil"/>
              <w:bottom w:val="single" w:color="auto" w:sz="4" w:space="0"/>
              <w:right w:val="single" w:color="auto" w:sz="4" w:space="0"/>
            </w:tcBorders>
            <w:noWrap w:val="0"/>
            <w:vAlign w:val="center"/>
          </w:tcPr>
          <w:p w14:paraId="31A62DD4">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176</w:t>
            </w:r>
          </w:p>
        </w:tc>
      </w:tr>
      <w:tr w14:paraId="1C1B4C83">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4B7DB847">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942" w:type="dxa"/>
            <w:gridSpan w:val="2"/>
            <w:vMerge w:val="continue"/>
            <w:tcBorders>
              <w:left w:val="nil"/>
              <w:bottom w:val="single" w:color="auto" w:sz="4" w:space="0"/>
              <w:right w:val="single" w:color="auto" w:sz="4" w:space="0"/>
            </w:tcBorders>
            <w:noWrap w:val="0"/>
            <w:vAlign w:val="center"/>
          </w:tcPr>
          <w:p w14:paraId="06B9BB09">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0"/>
            <w:vAlign w:val="center"/>
          </w:tcPr>
          <w:p w14:paraId="5AA3E6DD">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0"/>
            <w:vAlign w:val="center"/>
          </w:tcPr>
          <w:p w14:paraId="45F1B82E">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w:t>
            </w:r>
          </w:p>
        </w:tc>
        <w:tc>
          <w:tcPr>
            <w:tcW w:w="837" w:type="dxa"/>
            <w:tcBorders>
              <w:top w:val="nil"/>
              <w:left w:val="nil"/>
              <w:bottom w:val="single" w:color="auto" w:sz="4" w:space="0"/>
              <w:right w:val="single" w:color="auto" w:sz="4" w:space="0"/>
            </w:tcBorders>
            <w:noWrap w:val="0"/>
            <w:vAlign w:val="center"/>
          </w:tcPr>
          <w:p w14:paraId="3DED6470">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69600665">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w:t>
            </w:r>
          </w:p>
        </w:tc>
        <w:tc>
          <w:tcPr>
            <w:tcW w:w="947" w:type="dxa"/>
            <w:tcBorders>
              <w:top w:val="nil"/>
              <w:left w:val="nil"/>
              <w:bottom w:val="single" w:color="auto" w:sz="4" w:space="0"/>
              <w:right w:val="single" w:color="auto" w:sz="4" w:space="0"/>
            </w:tcBorders>
            <w:noWrap w:val="0"/>
            <w:vAlign w:val="center"/>
          </w:tcPr>
          <w:p w14:paraId="398A4486">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220</w:t>
            </w:r>
          </w:p>
        </w:tc>
        <w:tc>
          <w:tcPr>
            <w:tcW w:w="1011" w:type="dxa"/>
            <w:tcBorders>
              <w:top w:val="nil"/>
              <w:left w:val="nil"/>
              <w:bottom w:val="single" w:color="auto" w:sz="4" w:space="0"/>
              <w:right w:val="single" w:color="auto" w:sz="4" w:space="0"/>
            </w:tcBorders>
            <w:noWrap w:val="0"/>
            <w:vAlign w:val="center"/>
          </w:tcPr>
          <w:p w14:paraId="483F87A8">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880</w:t>
            </w:r>
          </w:p>
        </w:tc>
      </w:tr>
      <w:tr w14:paraId="3BDECFAF">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4B1FFE54">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0"/>
            <w:vAlign w:val="center"/>
          </w:tcPr>
          <w:p w14:paraId="0A5D105A">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足球场</w:t>
            </w:r>
          </w:p>
        </w:tc>
        <w:tc>
          <w:tcPr>
            <w:tcW w:w="2164" w:type="dxa"/>
            <w:tcBorders>
              <w:top w:val="nil"/>
              <w:left w:val="nil"/>
              <w:bottom w:val="single" w:color="auto" w:sz="4" w:space="0"/>
              <w:right w:val="single" w:color="auto" w:sz="4" w:space="0"/>
            </w:tcBorders>
            <w:noWrap w:val="0"/>
            <w:vAlign w:val="center"/>
          </w:tcPr>
          <w:p w14:paraId="5689005B">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厕所（含洗漱间）</w:t>
            </w:r>
          </w:p>
        </w:tc>
        <w:tc>
          <w:tcPr>
            <w:tcW w:w="868" w:type="dxa"/>
            <w:tcBorders>
              <w:top w:val="nil"/>
              <w:left w:val="nil"/>
              <w:bottom w:val="single" w:color="auto" w:sz="4" w:space="0"/>
              <w:right w:val="single" w:color="auto" w:sz="4" w:space="0"/>
            </w:tcBorders>
            <w:noWrap w:val="0"/>
            <w:vAlign w:val="center"/>
          </w:tcPr>
          <w:p w14:paraId="44128436">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837" w:type="dxa"/>
            <w:tcBorders>
              <w:top w:val="nil"/>
              <w:left w:val="nil"/>
              <w:bottom w:val="single" w:color="auto" w:sz="4" w:space="0"/>
              <w:right w:val="single" w:color="auto" w:sz="4" w:space="0"/>
            </w:tcBorders>
            <w:noWrap w:val="0"/>
            <w:vAlign w:val="center"/>
          </w:tcPr>
          <w:p w14:paraId="68515215">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837" w:type="dxa"/>
            <w:tcBorders>
              <w:top w:val="nil"/>
              <w:left w:val="nil"/>
              <w:bottom w:val="single" w:color="auto" w:sz="4" w:space="0"/>
              <w:right w:val="single" w:color="auto" w:sz="4" w:space="0"/>
            </w:tcBorders>
            <w:noWrap w:val="0"/>
            <w:vAlign w:val="center"/>
          </w:tcPr>
          <w:p w14:paraId="0A832A5B">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w:t>
            </w:r>
          </w:p>
        </w:tc>
        <w:tc>
          <w:tcPr>
            <w:tcW w:w="947" w:type="dxa"/>
            <w:tcBorders>
              <w:top w:val="nil"/>
              <w:left w:val="nil"/>
              <w:bottom w:val="single" w:color="auto" w:sz="4" w:space="0"/>
              <w:right w:val="single" w:color="auto" w:sz="4" w:space="0"/>
            </w:tcBorders>
            <w:noWrap w:val="0"/>
            <w:vAlign w:val="center"/>
          </w:tcPr>
          <w:p w14:paraId="1C18E200">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47</w:t>
            </w:r>
          </w:p>
        </w:tc>
        <w:tc>
          <w:tcPr>
            <w:tcW w:w="1011" w:type="dxa"/>
            <w:tcBorders>
              <w:top w:val="nil"/>
              <w:left w:val="nil"/>
              <w:bottom w:val="single" w:color="auto" w:sz="4" w:space="0"/>
              <w:right w:val="single" w:color="auto" w:sz="4" w:space="0"/>
            </w:tcBorders>
            <w:noWrap w:val="0"/>
            <w:vAlign w:val="center"/>
          </w:tcPr>
          <w:p w14:paraId="65B565E3">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188</w:t>
            </w:r>
          </w:p>
        </w:tc>
      </w:tr>
      <w:tr w14:paraId="2076FC63">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7CBD76E5">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942" w:type="dxa"/>
            <w:gridSpan w:val="2"/>
            <w:vMerge w:val="restart"/>
            <w:tcBorders>
              <w:top w:val="single" w:color="auto" w:sz="4" w:space="0"/>
              <w:left w:val="nil"/>
              <w:right w:val="single" w:color="auto" w:sz="4" w:space="0"/>
            </w:tcBorders>
            <w:noWrap w:val="0"/>
            <w:vAlign w:val="center"/>
          </w:tcPr>
          <w:p w14:paraId="5625A567">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二期指挥部</w:t>
            </w:r>
          </w:p>
        </w:tc>
        <w:tc>
          <w:tcPr>
            <w:tcW w:w="2164" w:type="dxa"/>
            <w:tcBorders>
              <w:top w:val="nil"/>
              <w:left w:val="nil"/>
              <w:bottom w:val="single" w:color="auto" w:sz="4" w:space="0"/>
              <w:right w:val="single" w:color="auto" w:sz="4" w:space="0"/>
            </w:tcBorders>
            <w:noWrap w:val="0"/>
            <w:vAlign w:val="center"/>
          </w:tcPr>
          <w:p w14:paraId="636D24DB">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厕所（含洗漱间）</w:t>
            </w:r>
          </w:p>
        </w:tc>
        <w:tc>
          <w:tcPr>
            <w:tcW w:w="868" w:type="dxa"/>
            <w:tcBorders>
              <w:top w:val="nil"/>
              <w:left w:val="nil"/>
              <w:bottom w:val="single" w:color="auto" w:sz="4" w:space="0"/>
              <w:right w:val="single" w:color="auto" w:sz="4" w:space="0"/>
            </w:tcBorders>
            <w:noWrap w:val="0"/>
            <w:vAlign w:val="center"/>
          </w:tcPr>
          <w:p w14:paraId="0EFA9958">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837" w:type="dxa"/>
            <w:tcBorders>
              <w:top w:val="nil"/>
              <w:left w:val="nil"/>
              <w:bottom w:val="single" w:color="auto" w:sz="4" w:space="0"/>
              <w:right w:val="single" w:color="auto" w:sz="4" w:space="0"/>
            </w:tcBorders>
            <w:noWrap w:val="0"/>
            <w:vAlign w:val="center"/>
          </w:tcPr>
          <w:p w14:paraId="5174226A">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837" w:type="dxa"/>
            <w:tcBorders>
              <w:top w:val="nil"/>
              <w:left w:val="nil"/>
              <w:bottom w:val="single" w:color="auto" w:sz="4" w:space="0"/>
              <w:right w:val="single" w:color="auto" w:sz="4" w:space="0"/>
            </w:tcBorders>
            <w:noWrap w:val="0"/>
            <w:vAlign w:val="center"/>
          </w:tcPr>
          <w:p w14:paraId="6BD8A9E6">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w:t>
            </w:r>
          </w:p>
        </w:tc>
        <w:tc>
          <w:tcPr>
            <w:tcW w:w="947" w:type="dxa"/>
            <w:tcBorders>
              <w:top w:val="nil"/>
              <w:left w:val="nil"/>
              <w:bottom w:val="single" w:color="auto" w:sz="4" w:space="0"/>
              <w:right w:val="single" w:color="auto" w:sz="4" w:space="0"/>
            </w:tcBorders>
            <w:noWrap w:val="0"/>
            <w:vAlign w:val="center"/>
          </w:tcPr>
          <w:p w14:paraId="13D50AB1">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18</w:t>
            </w:r>
          </w:p>
        </w:tc>
        <w:tc>
          <w:tcPr>
            <w:tcW w:w="1011" w:type="dxa"/>
            <w:tcBorders>
              <w:top w:val="nil"/>
              <w:left w:val="nil"/>
              <w:bottom w:val="single" w:color="auto" w:sz="4" w:space="0"/>
              <w:right w:val="single" w:color="auto" w:sz="4" w:space="0"/>
            </w:tcBorders>
            <w:noWrap w:val="0"/>
            <w:vAlign w:val="center"/>
          </w:tcPr>
          <w:p w14:paraId="5136F8D5">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72</w:t>
            </w:r>
          </w:p>
        </w:tc>
      </w:tr>
      <w:tr w14:paraId="78BD30F4">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3F46BA89">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942" w:type="dxa"/>
            <w:gridSpan w:val="2"/>
            <w:vMerge w:val="continue"/>
            <w:tcBorders>
              <w:left w:val="nil"/>
              <w:bottom w:val="single" w:color="auto" w:sz="4" w:space="0"/>
              <w:right w:val="single" w:color="auto" w:sz="4" w:space="0"/>
            </w:tcBorders>
            <w:noWrap w:val="0"/>
            <w:vAlign w:val="center"/>
          </w:tcPr>
          <w:p w14:paraId="194C856A">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p>
        </w:tc>
        <w:tc>
          <w:tcPr>
            <w:tcW w:w="2164" w:type="dxa"/>
            <w:tcBorders>
              <w:top w:val="nil"/>
              <w:left w:val="nil"/>
              <w:bottom w:val="single" w:color="auto" w:sz="4" w:space="0"/>
              <w:right w:val="single" w:color="auto" w:sz="4" w:space="0"/>
            </w:tcBorders>
            <w:noWrap w:val="0"/>
            <w:vAlign w:val="center"/>
          </w:tcPr>
          <w:p w14:paraId="5180E787">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走廊（含楼梯）</w:t>
            </w:r>
          </w:p>
        </w:tc>
        <w:tc>
          <w:tcPr>
            <w:tcW w:w="868" w:type="dxa"/>
            <w:tcBorders>
              <w:top w:val="nil"/>
              <w:left w:val="nil"/>
              <w:bottom w:val="single" w:color="auto" w:sz="4" w:space="0"/>
              <w:right w:val="single" w:color="auto" w:sz="4" w:space="0"/>
            </w:tcBorders>
            <w:noWrap w:val="0"/>
            <w:vAlign w:val="center"/>
          </w:tcPr>
          <w:p w14:paraId="2366761E">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w:t>
            </w:r>
          </w:p>
        </w:tc>
        <w:tc>
          <w:tcPr>
            <w:tcW w:w="837" w:type="dxa"/>
            <w:tcBorders>
              <w:top w:val="nil"/>
              <w:left w:val="nil"/>
              <w:bottom w:val="single" w:color="auto" w:sz="4" w:space="0"/>
              <w:right w:val="single" w:color="auto" w:sz="4" w:space="0"/>
            </w:tcBorders>
            <w:noWrap w:val="0"/>
            <w:vAlign w:val="center"/>
          </w:tcPr>
          <w:p w14:paraId="1010E02D">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42CA1527">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w:t>
            </w:r>
          </w:p>
        </w:tc>
        <w:tc>
          <w:tcPr>
            <w:tcW w:w="947" w:type="dxa"/>
            <w:tcBorders>
              <w:top w:val="nil"/>
              <w:left w:val="nil"/>
              <w:bottom w:val="single" w:color="auto" w:sz="4" w:space="0"/>
              <w:right w:val="single" w:color="auto" w:sz="4" w:space="0"/>
            </w:tcBorders>
            <w:noWrap w:val="0"/>
            <w:vAlign w:val="center"/>
          </w:tcPr>
          <w:p w14:paraId="4BCA82EC">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90</w:t>
            </w:r>
          </w:p>
        </w:tc>
        <w:tc>
          <w:tcPr>
            <w:tcW w:w="1011" w:type="dxa"/>
            <w:tcBorders>
              <w:top w:val="nil"/>
              <w:left w:val="nil"/>
              <w:bottom w:val="single" w:color="auto" w:sz="4" w:space="0"/>
              <w:right w:val="single" w:color="auto" w:sz="4" w:space="0"/>
            </w:tcBorders>
            <w:noWrap w:val="0"/>
            <w:vAlign w:val="center"/>
          </w:tcPr>
          <w:p w14:paraId="3DAAAD56">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270</w:t>
            </w:r>
          </w:p>
        </w:tc>
      </w:tr>
      <w:tr w14:paraId="1E6CAD70">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5AE1AF64">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0"/>
            <w:vAlign w:val="center"/>
          </w:tcPr>
          <w:p w14:paraId="0E393A51">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智能交通学院（火车头）</w:t>
            </w:r>
          </w:p>
        </w:tc>
        <w:tc>
          <w:tcPr>
            <w:tcW w:w="2164" w:type="dxa"/>
            <w:tcBorders>
              <w:top w:val="nil"/>
              <w:left w:val="nil"/>
              <w:bottom w:val="single" w:color="auto" w:sz="4" w:space="0"/>
              <w:right w:val="single" w:color="auto" w:sz="4" w:space="0"/>
            </w:tcBorders>
            <w:noWrap w:val="0"/>
            <w:vAlign w:val="center"/>
          </w:tcPr>
          <w:p w14:paraId="7D861602">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厕所（含洗漱间）</w:t>
            </w:r>
          </w:p>
        </w:tc>
        <w:tc>
          <w:tcPr>
            <w:tcW w:w="868" w:type="dxa"/>
            <w:tcBorders>
              <w:top w:val="nil"/>
              <w:left w:val="nil"/>
              <w:bottom w:val="single" w:color="auto" w:sz="4" w:space="0"/>
              <w:right w:val="single" w:color="auto" w:sz="4" w:space="0"/>
            </w:tcBorders>
            <w:noWrap w:val="0"/>
            <w:vAlign w:val="center"/>
          </w:tcPr>
          <w:p w14:paraId="224A062D">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837" w:type="dxa"/>
            <w:tcBorders>
              <w:top w:val="nil"/>
              <w:left w:val="nil"/>
              <w:bottom w:val="single" w:color="auto" w:sz="4" w:space="0"/>
              <w:right w:val="single" w:color="auto" w:sz="4" w:space="0"/>
            </w:tcBorders>
            <w:noWrap w:val="0"/>
            <w:vAlign w:val="center"/>
          </w:tcPr>
          <w:p w14:paraId="7F55444D">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837" w:type="dxa"/>
            <w:tcBorders>
              <w:top w:val="nil"/>
              <w:left w:val="nil"/>
              <w:bottom w:val="single" w:color="auto" w:sz="4" w:space="0"/>
              <w:right w:val="single" w:color="auto" w:sz="4" w:space="0"/>
            </w:tcBorders>
            <w:noWrap w:val="0"/>
            <w:vAlign w:val="center"/>
          </w:tcPr>
          <w:p w14:paraId="6C66CDCF">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w:t>
            </w:r>
          </w:p>
        </w:tc>
        <w:tc>
          <w:tcPr>
            <w:tcW w:w="947" w:type="dxa"/>
            <w:tcBorders>
              <w:top w:val="nil"/>
              <w:left w:val="nil"/>
              <w:bottom w:val="single" w:color="auto" w:sz="4" w:space="0"/>
              <w:right w:val="single" w:color="auto" w:sz="4" w:space="0"/>
            </w:tcBorders>
            <w:noWrap w:val="0"/>
            <w:vAlign w:val="center"/>
          </w:tcPr>
          <w:p w14:paraId="64303D7A">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47</w:t>
            </w:r>
          </w:p>
        </w:tc>
        <w:tc>
          <w:tcPr>
            <w:tcW w:w="1011" w:type="dxa"/>
            <w:tcBorders>
              <w:top w:val="nil"/>
              <w:left w:val="nil"/>
              <w:bottom w:val="single" w:color="auto" w:sz="4" w:space="0"/>
              <w:right w:val="single" w:color="auto" w:sz="4" w:space="0"/>
            </w:tcBorders>
            <w:noWrap w:val="0"/>
            <w:vAlign w:val="center"/>
          </w:tcPr>
          <w:p w14:paraId="6A21F661">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188</w:t>
            </w:r>
          </w:p>
        </w:tc>
      </w:tr>
      <w:tr w14:paraId="35BA9385">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6029651B">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0"/>
            <w:vAlign w:val="center"/>
          </w:tcPr>
          <w:p w14:paraId="51A7BAFF">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综合楼（2楼）</w:t>
            </w:r>
          </w:p>
        </w:tc>
        <w:tc>
          <w:tcPr>
            <w:tcW w:w="2164" w:type="dxa"/>
            <w:tcBorders>
              <w:top w:val="nil"/>
              <w:left w:val="nil"/>
              <w:bottom w:val="single" w:color="auto" w:sz="4" w:space="0"/>
              <w:right w:val="single" w:color="auto" w:sz="4" w:space="0"/>
            </w:tcBorders>
            <w:noWrap w:val="0"/>
            <w:vAlign w:val="center"/>
          </w:tcPr>
          <w:p w14:paraId="7A495440">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厕所（含洗漱间）</w:t>
            </w:r>
          </w:p>
        </w:tc>
        <w:tc>
          <w:tcPr>
            <w:tcW w:w="868" w:type="dxa"/>
            <w:tcBorders>
              <w:top w:val="nil"/>
              <w:left w:val="nil"/>
              <w:bottom w:val="single" w:color="auto" w:sz="4" w:space="0"/>
              <w:right w:val="single" w:color="auto" w:sz="4" w:space="0"/>
            </w:tcBorders>
            <w:noWrap w:val="0"/>
            <w:vAlign w:val="center"/>
          </w:tcPr>
          <w:p w14:paraId="5E7E9278">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48EF32A8">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w:t>
            </w:r>
          </w:p>
        </w:tc>
        <w:tc>
          <w:tcPr>
            <w:tcW w:w="837" w:type="dxa"/>
            <w:tcBorders>
              <w:top w:val="nil"/>
              <w:left w:val="nil"/>
              <w:bottom w:val="single" w:color="auto" w:sz="4" w:space="0"/>
              <w:right w:val="single" w:color="auto" w:sz="4" w:space="0"/>
            </w:tcBorders>
            <w:noWrap w:val="0"/>
            <w:vAlign w:val="center"/>
          </w:tcPr>
          <w:p w14:paraId="28525132">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w:t>
            </w:r>
          </w:p>
        </w:tc>
        <w:tc>
          <w:tcPr>
            <w:tcW w:w="947" w:type="dxa"/>
            <w:tcBorders>
              <w:top w:val="nil"/>
              <w:left w:val="nil"/>
              <w:bottom w:val="single" w:color="auto" w:sz="4" w:space="0"/>
              <w:right w:val="single" w:color="auto" w:sz="4" w:space="0"/>
            </w:tcBorders>
            <w:noWrap w:val="0"/>
            <w:vAlign w:val="center"/>
          </w:tcPr>
          <w:p w14:paraId="74DB78CC">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264</w:t>
            </w:r>
          </w:p>
        </w:tc>
        <w:tc>
          <w:tcPr>
            <w:tcW w:w="1011" w:type="dxa"/>
            <w:tcBorders>
              <w:top w:val="nil"/>
              <w:left w:val="nil"/>
              <w:bottom w:val="single" w:color="auto" w:sz="4" w:space="0"/>
              <w:right w:val="single" w:color="auto" w:sz="4" w:space="0"/>
            </w:tcBorders>
            <w:noWrap w:val="0"/>
            <w:vAlign w:val="center"/>
          </w:tcPr>
          <w:p w14:paraId="2E0BEBD0">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264</w:t>
            </w:r>
          </w:p>
        </w:tc>
      </w:tr>
      <w:tr w14:paraId="06E7E62E">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17D6AAB9">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ign w:val="center"/>
          </w:tcPr>
          <w:p w14:paraId="4EE36D58">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教工餐厅</w:t>
            </w:r>
          </w:p>
        </w:tc>
        <w:tc>
          <w:tcPr>
            <w:tcW w:w="2164" w:type="dxa"/>
            <w:tcBorders>
              <w:top w:val="nil"/>
              <w:left w:val="nil"/>
              <w:bottom w:val="single" w:color="auto" w:sz="4" w:space="0"/>
              <w:right w:val="single" w:color="auto" w:sz="4" w:space="0"/>
            </w:tcBorders>
            <w:noWrap w:val="0"/>
            <w:vAlign w:val="center"/>
          </w:tcPr>
          <w:p w14:paraId="62D176A3">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厕所（含洗漱间）</w:t>
            </w:r>
          </w:p>
        </w:tc>
        <w:tc>
          <w:tcPr>
            <w:tcW w:w="868" w:type="dxa"/>
            <w:tcBorders>
              <w:top w:val="nil"/>
              <w:left w:val="nil"/>
              <w:bottom w:val="single" w:color="auto" w:sz="4" w:space="0"/>
              <w:right w:val="single" w:color="auto" w:sz="4" w:space="0"/>
            </w:tcBorders>
            <w:noWrap w:val="0"/>
            <w:vAlign w:val="center"/>
          </w:tcPr>
          <w:p w14:paraId="74E3537F">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p>
        </w:tc>
        <w:tc>
          <w:tcPr>
            <w:tcW w:w="837" w:type="dxa"/>
            <w:tcBorders>
              <w:top w:val="nil"/>
              <w:left w:val="nil"/>
              <w:bottom w:val="single" w:color="auto" w:sz="4" w:space="0"/>
              <w:right w:val="single" w:color="auto" w:sz="4" w:space="0"/>
            </w:tcBorders>
            <w:noWrap w:val="0"/>
            <w:vAlign w:val="center"/>
          </w:tcPr>
          <w:p w14:paraId="6682ED9F">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837" w:type="dxa"/>
            <w:tcBorders>
              <w:top w:val="nil"/>
              <w:left w:val="nil"/>
              <w:bottom w:val="single" w:color="auto" w:sz="4" w:space="0"/>
              <w:right w:val="single" w:color="auto" w:sz="4" w:space="0"/>
            </w:tcBorders>
            <w:noWrap w:val="0"/>
            <w:vAlign w:val="center"/>
          </w:tcPr>
          <w:p w14:paraId="49F89E1C">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p>
        </w:tc>
        <w:tc>
          <w:tcPr>
            <w:tcW w:w="947" w:type="dxa"/>
            <w:tcBorders>
              <w:top w:val="nil"/>
              <w:left w:val="nil"/>
              <w:bottom w:val="single" w:color="auto" w:sz="4" w:space="0"/>
              <w:right w:val="single" w:color="auto" w:sz="4" w:space="0"/>
            </w:tcBorders>
            <w:noWrap/>
            <w:vAlign w:val="center"/>
          </w:tcPr>
          <w:p w14:paraId="13FCCEFE">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15</w:t>
            </w:r>
          </w:p>
        </w:tc>
        <w:tc>
          <w:tcPr>
            <w:tcW w:w="1011" w:type="dxa"/>
            <w:tcBorders>
              <w:top w:val="nil"/>
              <w:left w:val="nil"/>
              <w:bottom w:val="single" w:color="auto" w:sz="4" w:space="0"/>
              <w:right w:val="single" w:color="auto" w:sz="4" w:space="0"/>
            </w:tcBorders>
            <w:noWrap w:val="0"/>
            <w:vAlign w:val="center"/>
          </w:tcPr>
          <w:p w14:paraId="76049EAE">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30</w:t>
            </w:r>
          </w:p>
        </w:tc>
      </w:tr>
      <w:tr w14:paraId="211167EA">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06F839D6">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ign w:val="center"/>
          </w:tcPr>
          <w:p w14:paraId="3336B14E">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一组团教室</w:t>
            </w:r>
          </w:p>
        </w:tc>
        <w:tc>
          <w:tcPr>
            <w:tcW w:w="2164" w:type="dxa"/>
            <w:vMerge w:val="restart"/>
            <w:tcBorders>
              <w:top w:val="nil"/>
              <w:left w:val="single" w:color="auto" w:sz="4" w:space="0"/>
              <w:bottom w:val="single" w:color="auto" w:sz="4" w:space="0"/>
              <w:right w:val="single" w:color="auto" w:sz="4" w:space="0"/>
            </w:tcBorders>
            <w:noWrap w:val="0"/>
            <w:vAlign w:val="center"/>
          </w:tcPr>
          <w:p w14:paraId="0FC3B471">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桌凳整理、保洁、夜自习开门。</w:t>
            </w:r>
          </w:p>
        </w:tc>
        <w:tc>
          <w:tcPr>
            <w:tcW w:w="868" w:type="dxa"/>
            <w:tcBorders>
              <w:top w:val="nil"/>
              <w:left w:val="nil"/>
              <w:bottom w:val="single" w:color="auto" w:sz="4" w:space="0"/>
              <w:right w:val="single" w:color="auto" w:sz="4" w:space="0"/>
            </w:tcBorders>
            <w:noWrap w:val="0"/>
            <w:vAlign w:val="center"/>
          </w:tcPr>
          <w:p w14:paraId="0CD523D8">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0"/>
            <w:vAlign w:val="center"/>
          </w:tcPr>
          <w:p w14:paraId="3B27797E">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11</w:t>
            </w:r>
          </w:p>
        </w:tc>
        <w:tc>
          <w:tcPr>
            <w:tcW w:w="837" w:type="dxa"/>
            <w:tcBorders>
              <w:top w:val="nil"/>
              <w:left w:val="nil"/>
              <w:bottom w:val="single" w:color="auto" w:sz="4" w:space="0"/>
              <w:right w:val="single" w:color="auto" w:sz="4" w:space="0"/>
            </w:tcBorders>
            <w:noWrap w:val="0"/>
            <w:vAlign w:val="center"/>
          </w:tcPr>
          <w:p w14:paraId="60354841">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66</w:t>
            </w:r>
          </w:p>
        </w:tc>
        <w:tc>
          <w:tcPr>
            <w:tcW w:w="947" w:type="dxa"/>
            <w:tcBorders>
              <w:top w:val="nil"/>
              <w:left w:val="nil"/>
              <w:bottom w:val="single" w:color="auto" w:sz="4" w:space="0"/>
              <w:right w:val="single" w:color="auto" w:sz="4" w:space="0"/>
            </w:tcBorders>
            <w:noWrap/>
            <w:vAlign w:val="center"/>
          </w:tcPr>
          <w:p w14:paraId="19C9E839">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100</w:t>
            </w:r>
          </w:p>
        </w:tc>
        <w:tc>
          <w:tcPr>
            <w:tcW w:w="1011" w:type="dxa"/>
            <w:tcBorders>
              <w:top w:val="nil"/>
              <w:left w:val="nil"/>
              <w:bottom w:val="single" w:color="auto" w:sz="4" w:space="0"/>
              <w:right w:val="single" w:color="auto" w:sz="4" w:space="0"/>
            </w:tcBorders>
            <w:noWrap w:val="0"/>
            <w:vAlign w:val="center"/>
          </w:tcPr>
          <w:p w14:paraId="0361093E">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6600</w:t>
            </w:r>
          </w:p>
        </w:tc>
      </w:tr>
      <w:tr w14:paraId="1CF40FEC">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64EBCDCE">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ign w:val="center"/>
          </w:tcPr>
          <w:p w14:paraId="32FD2A15">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二组团教室</w:t>
            </w:r>
          </w:p>
        </w:tc>
        <w:tc>
          <w:tcPr>
            <w:tcW w:w="2164" w:type="dxa"/>
            <w:vMerge w:val="continue"/>
            <w:tcBorders>
              <w:top w:val="nil"/>
              <w:left w:val="single" w:color="auto" w:sz="4" w:space="0"/>
              <w:bottom w:val="single" w:color="auto" w:sz="4" w:space="0"/>
              <w:right w:val="single" w:color="auto" w:sz="4" w:space="0"/>
            </w:tcBorders>
            <w:noWrap w:val="0"/>
            <w:vAlign w:val="center"/>
          </w:tcPr>
          <w:p w14:paraId="2602B212">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p>
        </w:tc>
        <w:tc>
          <w:tcPr>
            <w:tcW w:w="868" w:type="dxa"/>
            <w:tcBorders>
              <w:top w:val="nil"/>
              <w:left w:val="nil"/>
              <w:bottom w:val="single" w:color="auto" w:sz="4" w:space="0"/>
              <w:right w:val="single" w:color="auto" w:sz="4" w:space="0"/>
            </w:tcBorders>
            <w:noWrap w:val="0"/>
            <w:vAlign w:val="center"/>
          </w:tcPr>
          <w:p w14:paraId="2C5AAF9F">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w:t>
            </w:r>
          </w:p>
        </w:tc>
        <w:tc>
          <w:tcPr>
            <w:tcW w:w="837" w:type="dxa"/>
            <w:tcBorders>
              <w:top w:val="nil"/>
              <w:left w:val="nil"/>
              <w:bottom w:val="single" w:color="auto" w:sz="4" w:space="0"/>
              <w:right w:val="single" w:color="auto" w:sz="4" w:space="0"/>
            </w:tcBorders>
            <w:noWrap w:val="0"/>
            <w:vAlign w:val="center"/>
          </w:tcPr>
          <w:p w14:paraId="1AF0382C">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11</w:t>
            </w:r>
          </w:p>
        </w:tc>
        <w:tc>
          <w:tcPr>
            <w:tcW w:w="837" w:type="dxa"/>
            <w:tcBorders>
              <w:top w:val="nil"/>
              <w:left w:val="nil"/>
              <w:bottom w:val="single" w:color="auto" w:sz="4" w:space="0"/>
              <w:right w:val="single" w:color="auto" w:sz="4" w:space="0"/>
            </w:tcBorders>
            <w:noWrap w:val="0"/>
            <w:vAlign w:val="center"/>
          </w:tcPr>
          <w:p w14:paraId="0280FE71">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66</w:t>
            </w:r>
          </w:p>
        </w:tc>
        <w:tc>
          <w:tcPr>
            <w:tcW w:w="947" w:type="dxa"/>
            <w:tcBorders>
              <w:top w:val="nil"/>
              <w:left w:val="nil"/>
              <w:bottom w:val="single" w:color="auto" w:sz="4" w:space="0"/>
              <w:right w:val="single" w:color="auto" w:sz="4" w:space="0"/>
            </w:tcBorders>
            <w:noWrap/>
            <w:vAlign w:val="center"/>
          </w:tcPr>
          <w:p w14:paraId="4146917C">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100</w:t>
            </w:r>
          </w:p>
        </w:tc>
        <w:tc>
          <w:tcPr>
            <w:tcW w:w="1011" w:type="dxa"/>
            <w:tcBorders>
              <w:top w:val="nil"/>
              <w:left w:val="nil"/>
              <w:bottom w:val="single" w:color="auto" w:sz="4" w:space="0"/>
              <w:right w:val="single" w:color="auto" w:sz="4" w:space="0"/>
            </w:tcBorders>
            <w:noWrap w:val="0"/>
            <w:vAlign w:val="center"/>
          </w:tcPr>
          <w:p w14:paraId="3E9C0882">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6600</w:t>
            </w:r>
          </w:p>
        </w:tc>
      </w:tr>
      <w:tr w14:paraId="1D025F8D">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0078D928">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ign w:val="center"/>
          </w:tcPr>
          <w:p w14:paraId="34711827">
            <w:pPr>
              <w:keepNext w:val="0"/>
              <w:keepLines w:val="0"/>
              <w:pageBreakBefore w:val="0"/>
              <w:kinsoku/>
              <w:wordWrap/>
              <w:overflowPunct/>
              <w:topLinePunct w:val="0"/>
              <w:autoSpaceDE/>
              <w:autoSpaceDN/>
              <w:bidi w:val="0"/>
              <w:adjustRightInd/>
              <w:snapToGrid/>
              <w:spacing w:line="460" w:lineRule="exact"/>
              <w:ind w:left="0" w:right="0" w:firstLine="482"/>
              <w:jc w:val="center"/>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岗位</w:t>
            </w:r>
          </w:p>
        </w:tc>
        <w:tc>
          <w:tcPr>
            <w:tcW w:w="2164" w:type="dxa"/>
            <w:tcBorders>
              <w:top w:val="nil"/>
              <w:left w:val="single" w:color="auto" w:sz="4" w:space="0"/>
              <w:bottom w:val="single" w:color="auto" w:sz="4" w:space="0"/>
              <w:right w:val="single" w:color="auto" w:sz="4" w:space="0"/>
            </w:tcBorders>
            <w:noWrap w:val="0"/>
            <w:vAlign w:val="center"/>
          </w:tcPr>
          <w:p w14:paraId="06A5DAE6">
            <w:pPr>
              <w:keepNext w:val="0"/>
              <w:keepLines w:val="0"/>
              <w:pageBreakBefore w:val="0"/>
              <w:kinsoku/>
              <w:wordWrap/>
              <w:overflowPunct/>
              <w:topLinePunct w:val="0"/>
              <w:autoSpaceDE/>
              <w:autoSpaceDN/>
              <w:bidi w:val="0"/>
              <w:adjustRightInd/>
              <w:snapToGrid/>
              <w:spacing w:line="460" w:lineRule="exact"/>
              <w:ind w:left="0" w:right="0" w:firstLine="482"/>
              <w:jc w:val="center"/>
              <w:textAlignment w:val="auto"/>
              <w:rPr>
                <w:rFonts w:hint="default" w:ascii="Times New Roman" w:hAnsi="Times New Roman" w:eastAsia="宋体" w:cs="Times New Roman"/>
                <w:b/>
                <w:bCs/>
                <w:color w:val="auto"/>
                <w:kern w:val="0"/>
                <w:sz w:val="24"/>
                <w:szCs w:val="24"/>
                <w:lang w:eastAsia="zh-CN"/>
              </w:rPr>
            </w:pPr>
            <w:r>
              <w:rPr>
                <w:rFonts w:hint="default" w:ascii="Times New Roman" w:hAnsi="Times New Roman" w:eastAsia="宋体" w:cs="Times New Roman"/>
                <w:b/>
                <w:bCs/>
                <w:color w:val="auto"/>
                <w:kern w:val="0"/>
                <w:sz w:val="24"/>
                <w:szCs w:val="24"/>
                <w:lang w:val="en-US" w:eastAsia="zh-CN"/>
              </w:rPr>
              <w:t>单位</w:t>
            </w:r>
          </w:p>
        </w:tc>
        <w:tc>
          <w:tcPr>
            <w:tcW w:w="4500" w:type="dxa"/>
            <w:gridSpan w:val="5"/>
            <w:tcBorders>
              <w:top w:val="nil"/>
              <w:left w:val="nil"/>
              <w:bottom w:val="single" w:color="auto" w:sz="4" w:space="0"/>
              <w:right w:val="single" w:color="auto" w:sz="4" w:space="0"/>
            </w:tcBorders>
            <w:noWrap w:val="0"/>
            <w:vAlign w:val="center"/>
          </w:tcPr>
          <w:p w14:paraId="07EC0CF5">
            <w:pPr>
              <w:keepNext w:val="0"/>
              <w:keepLines w:val="0"/>
              <w:pageBreakBefore w:val="0"/>
              <w:kinsoku/>
              <w:wordWrap/>
              <w:overflowPunct/>
              <w:topLinePunct w:val="0"/>
              <w:autoSpaceDE/>
              <w:autoSpaceDN/>
              <w:bidi w:val="0"/>
              <w:adjustRightInd/>
              <w:snapToGrid/>
              <w:spacing w:line="460" w:lineRule="exact"/>
              <w:ind w:left="0" w:right="0" w:firstLine="482"/>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bCs/>
                <w:color w:val="auto"/>
                <w:kern w:val="0"/>
                <w:sz w:val="24"/>
                <w:szCs w:val="24"/>
              </w:rPr>
              <w:t>主要工作职责</w:t>
            </w:r>
          </w:p>
        </w:tc>
      </w:tr>
      <w:tr w14:paraId="59A2C3DD">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58B02A48">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ign w:val="center"/>
          </w:tcPr>
          <w:p w14:paraId="0A911CB4">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校园保洁</w:t>
            </w:r>
          </w:p>
        </w:tc>
        <w:tc>
          <w:tcPr>
            <w:tcW w:w="2164" w:type="dxa"/>
            <w:tcBorders>
              <w:top w:val="nil"/>
              <w:left w:val="nil"/>
              <w:bottom w:val="single" w:color="auto" w:sz="4" w:space="0"/>
              <w:right w:val="single" w:color="auto" w:sz="4" w:space="0"/>
            </w:tcBorders>
            <w:noWrap w:val="0"/>
            <w:vAlign w:val="center"/>
          </w:tcPr>
          <w:p w14:paraId="690462D9">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1项</w:t>
            </w:r>
          </w:p>
        </w:tc>
        <w:tc>
          <w:tcPr>
            <w:tcW w:w="4500" w:type="dxa"/>
            <w:gridSpan w:val="5"/>
            <w:tcBorders>
              <w:top w:val="nil"/>
              <w:left w:val="nil"/>
              <w:bottom w:val="single" w:color="auto" w:sz="4" w:space="0"/>
              <w:right w:val="single" w:color="auto" w:sz="4" w:space="0"/>
            </w:tcBorders>
            <w:noWrap w:val="0"/>
            <w:vAlign w:val="center"/>
          </w:tcPr>
          <w:p w14:paraId="0039CE18">
            <w:pPr>
              <w:keepNext w:val="0"/>
              <w:keepLines w:val="0"/>
              <w:pageBreakBefore w:val="0"/>
              <w:kinsoku/>
              <w:wordWrap/>
              <w:overflowPunct/>
              <w:topLinePunct w:val="0"/>
              <w:autoSpaceDE/>
              <w:autoSpaceDN/>
              <w:bidi w:val="0"/>
              <w:adjustRightInd/>
              <w:snapToGrid/>
              <w:spacing w:line="460" w:lineRule="exact"/>
              <w:ind w:left="0" w:right="0"/>
              <w:jc w:val="left"/>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pacing w:val="0"/>
                <w:sz w:val="24"/>
                <w:szCs w:val="24"/>
              </w:rPr>
              <w:t>负责校园道路</w:t>
            </w:r>
            <w:r>
              <w:rPr>
                <w:rFonts w:hint="default" w:ascii="Times New Roman" w:hAnsi="Times New Roman" w:eastAsia="宋体" w:cs="Times New Roman"/>
                <w:color w:val="auto"/>
                <w:spacing w:val="0"/>
                <w:sz w:val="24"/>
                <w:szCs w:val="24"/>
                <w:highlight w:val="none"/>
              </w:rPr>
              <w:t>（约1</w:t>
            </w:r>
            <w:r>
              <w:rPr>
                <w:rFonts w:hint="default" w:ascii="Times New Roman" w:hAnsi="Times New Roman" w:eastAsia="宋体" w:cs="Times New Roman"/>
                <w:color w:val="auto"/>
                <w:spacing w:val="0"/>
                <w:sz w:val="24"/>
                <w:szCs w:val="24"/>
                <w:highlight w:val="none"/>
                <w:lang w:val="en-US" w:eastAsia="zh-CN"/>
              </w:rPr>
              <w:t>30</w:t>
            </w:r>
            <w:r>
              <w:rPr>
                <w:rFonts w:hint="default" w:ascii="Times New Roman" w:hAnsi="Times New Roman" w:eastAsia="宋体" w:cs="Times New Roman"/>
                <w:color w:val="auto"/>
                <w:spacing w:val="0"/>
                <w:sz w:val="24"/>
                <w:szCs w:val="24"/>
                <w:highlight w:val="none"/>
              </w:rPr>
              <w:t>00平方米</w:t>
            </w:r>
            <w:r>
              <w:rPr>
                <w:rFonts w:hint="default" w:ascii="Times New Roman" w:hAnsi="Times New Roman" w:eastAsia="宋体" w:cs="Times New Roman"/>
                <w:color w:val="auto"/>
                <w:spacing w:val="0"/>
                <w:sz w:val="24"/>
                <w:szCs w:val="24"/>
              </w:rPr>
              <w:t>）包括人行步道、广场卫生打扫，下水道清理等工作</w:t>
            </w:r>
            <w:r>
              <w:rPr>
                <w:rFonts w:hint="eastAsia"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z w:val="24"/>
                <w:szCs w:val="24"/>
              </w:rPr>
              <w:t>校园</w:t>
            </w:r>
            <w:r>
              <w:rPr>
                <w:rFonts w:hint="eastAsia" w:ascii="Times New Roman" w:hAnsi="Times New Roman" w:eastAsia="宋体" w:cs="Times New Roman"/>
                <w:color w:val="auto"/>
                <w:sz w:val="24"/>
                <w:szCs w:val="24"/>
                <w:lang w:val="en-US" w:eastAsia="zh-CN"/>
              </w:rPr>
              <w:t>绿化区域（约</w:t>
            </w:r>
            <w:r>
              <w:rPr>
                <w:rFonts w:hint="default" w:ascii="Times New Roman" w:hAnsi="Times New Roman" w:eastAsia="宋体" w:cs="Times New Roman"/>
                <w:color w:val="auto"/>
                <w:sz w:val="24"/>
                <w:szCs w:val="24"/>
              </w:rPr>
              <w:t>190.2亩</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pacing w:val="0"/>
                <w:sz w:val="24"/>
                <w:szCs w:val="24"/>
              </w:rPr>
              <w:t>垃圾袋、树枝、石头等卫生清理工作。</w:t>
            </w:r>
            <w:r>
              <w:rPr>
                <w:rFonts w:hint="default" w:ascii="Times New Roman" w:hAnsi="Times New Roman" w:eastAsia="宋体" w:cs="Times New Roman"/>
                <w:color w:val="auto"/>
                <w:sz w:val="24"/>
                <w:szCs w:val="24"/>
              </w:rPr>
              <w:t>其中60.8亩杨树林只需要拾取树叶，树枝，清理杂草。</w:t>
            </w:r>
          </w:p>
        </w:tc>
      </w:tr>
      <w:tr w14:paraId="74B6CF33">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bottom w:val="single" w:color="auto" w:sz="4" w:space="0"/>
              <w:right w:val="single" w:color="auto" w:sz="4" w:space="0"/>
            </w:tcBorders>
            <w:noWrap w:val="0"/>
            <w:vAlign w:val="center"/>
          </w:tcPr>
          <w:p w14:paraId="79FE281B">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ign w:val="center"/>
          </w:tcPr>
          <w:p w14:paraId="3B39AFD5">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校园垃圾外运</w:t>
            </w:r>
          </w:p>
        </w:tc>
        <w:tc>
          <w:tcPr>
            <w:tcW w:w="2164" w:type="dxa"/>
            <w:tcBorders>
              <w:top w:val="nil"/>
              <w:left w:val="nil"/>
              <w:bottom w:val="single" w:color="auto" w:sz="4" w:space="0"/>
              <w:right w:val="single" w:color="auto" w:sz="4" w:space="0"/>
            </w:tcBorders>
            <w:noWrap w:val="0"/>
            <w:vAlign w:val="center"/>
          </w:tcPr>
          <w:p w14:paraId="64FD4B8E">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2</w:t>
            </w:r>
            <w:r>
              <w:rPr>
                <w:rFonts w:hint="default" w:ascii="Times New Roman" w:hAnsi="Times New Roman" w:eastAsia="宋体" w:cs="Times New Roman"/>
                <w:color w:val="auto"/>
                <w:kern w:val="0"/>
                <w:sz w:val="24"/>
                <w:szCs w:val="24"/>
                <w:lang w:eastAsia="zh-CN"/>
              </w:rPr>
              <w:t>人</w:t>
            </w:r>
          </w:p>
        </w:tc>
        <w:tc>
          <w:tcPr>
            <w:tcW w:w="4500" w:type="dxa"/>
            <w:gridSpan w:val="5"/>
            <w:tcBorders>
              <w:top w:val="nil"/>
              <w:left w:val="nil"/>
              <w:bottom w:val="single" w:color="auto" w:sz="4" w:space="0"/>
              <w:right w:val="single" w:color="auto" w:sz="4" w:space="0"/>
            </w:tcBorders>
            <w:noWrap w:val="0"/>
            <w:vAlign w:val="center"/>
          </w:tcPr>
          <w:p w14:paraId="1C217D76">
            <w:pPr>
              <w:keepNext w:val="0"/>
              <w:keepLines w:val="0"/>
              <w:pageBreakBefore w:val="0"/>
              <w:kinsoku/>
              <w:wordWrap/>
              <w:overflowPunct/>
              <w:topLinePunct w:val="0"/>
              <w:autoSpaceDE/>
              <w:autoSpaceDN/>
              <w:bidi w:val="0"/>
              <w:adjustRightInd/>
              <w:snapToGrid/>
              <w:spacing w:line="460" w:lineRule="exact"/>
              <w:ind w:left="0" w:right="0"/>
              <w:jc w:val="left"/>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负责校内垃圾装车并运送至指定垃圾站。</w:t>
            </w:r>
          </w:p>
        </w:tc>
      </w:tr>
      <w:tr w14:paraId="47F90DF9">
        <w:tblPrEx>
          <w:tblCellMar>
            <w:top w:w="0" w:type="dxa"/>
            <w:left w:w="108" w:type="dxa"/>
            <w:bottom w:w="0" w:type="dxa"/>
            <w:right w:w="108" w:type="dxa"/>
          </w:tblCellMar>
        </w:tblPrEx>
        <w:trPr>
          <w:trHeight w:val="510" w:hRule="atLeast"/>
          <w:jc w:val="center"/>
        </w:trPr>
        <w:tc>
          <w:tcPr>
            <w:tcW w:w="814" w:type="dxa"/>
            <w:vMerge w:val="restart"/>
            <w:tcBorders>
              <w:top w:val="nil"/>
              <w:left w:val="single" w:color="auto" w:sz="4" w:space="0"/>
              <w:right w:val="single" w:color="auto" w:sz="4" w:space="0"/>
            </w:tcBorders>
            <w:noWrap/>
            <w:vAlign w:val="center"/>
          </w:tcPr>
          <w:p w14:paraId="6FFA40C6">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宿舍管理</w:t>
            </w:r>
          </w:p>
        </w:tc>
        <w:tc>
          <w:tcPr>
            <w:tcW w:w="1942" w:type="dxa"/>
            <w:gridSpan w:val="2"/>
            <w:tcBorders>
              <w:top w:val="single" w:color="auto" w:sz="4" w:space="0"/>
              <w:left w:val="nil"/>
              <w:bottom w:val="single" w:color="auto" w:sz="4" w:space="0"/>
              <w:right w:val="single" w:color="auto" w:sz="4" w:space="0"/>
            </w:tcBorders>
            <w:noWrap/>
            <w:vAlign w:val="center"/>
          </w:tcPr>
          <w:p w14:paraId="23E0E620">
            <w:pPr>
              <w:keepNext w:val="0"/>
              <w:keepLines w:val="0"/>
              <w:pageBreakBefore w:val="0"/>
              <w:kinsoku/>
              <w:wordWrap/>
              <w:overflowPunct/>
              <w:topLinePunct w:val="0"/>
              <w:autoSpaceDE/>
              <w:autoSpaceDN/>
              <w:bidi w:val="0"/>
              <w:adjustRightInd/>
              <w:snapToGrid/>
              <w:spacing w:line="460" w:lineRule="exact"/>
              <w:ind w:left="0" w:right="0" w:firstLine="482"/>
              <w:jc w:val="center"/>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位置</w:t>
            </w:r>
          </w:p>
        </w:tc>
        <w:tc>
          <w:tcPr>
            <w:tcW w:w="2164" w:type="dxa"/>
            <w:tcBorders>
              <w:top w:val="nil"/>
              <w:left w:val="nil"/>
              <w:bottom w:val="single" w:color="auto" w:sz="4" w:space="0"/>
              <w:right w:val="single" w:color="auto" w:sz="4" w:space="0"/>
            </w:tcBorders>
            <w:noWrap/>
            <w:vAlign w:val="center"/>
          </w:tcPr>
          <w:p w14:paraId="4EEBDE68">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岗位</w:t>
            </w:r>
          </w:p>
        </w:tc>
        <w:tc>
          <w:tcPr>
            <w:tcW w:w="868" w:type="dxa"/>
            <w:tcBorders>
              <w:top w:val="nil"/>
              <w:left w:val="nil"/>
              <w:bottom w:val="single" w:color="auto" w:sz="4" w:space="0"/>
              <w:right w:val="single" w:color="auto" w:sz="4" w:space="0"/>
            </w:tcBorders>
            <w:noWrap/>
            <w:vAlign w:val="center"/>
          </w:tcPr>
          <w:p w14:paraId="1ABC47D6">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数量</w:t>
            </w:r>
          </w:p>
        </w:tc>
        <w:tc>
          <w:tcPr>
            <w:tcW w:w="3632" w:type="dxa"/>
            <w:gridSpan w:val="4"/>
            <w:tcBorders>
              <w:top w:val="nil"/>
              <w:left w:val="nil"/>
              <w:bottom w:val="single" w:color="auto" w:sz="4" w:space="0"/>
              <w:right w:val="single" w:color="auto" w:sz="4" w:space="0"/>
            </w:tcBorders>
            <w:noWrap/>
            <w:vAlign w:val="center"/>
          </w:tcPr>
          <w:p w14:paraId="7F40398F">
            <w:pPr>
              <w:keepNext w:val="0"/>
              <w:keepLines w:val="0"/>
              <w:pageBreakBefore w:val="0"/>
              <w:kinsoku/>
              <w:wordWrap/>
              <w:overflowPunct/>
              <w:topLinePunct w:val="0"/>
              <w:autoSpaceDE/>
              <w:autoSpaceDN/>
              <w:bidi w:val="0"/>
              <w:adjustRightInd/>
              <w:snapToGrid/>
              <w:spacing w:line="460" w:lineRule="exact"/>
              <w:ind w:left="0" w:right="0" w:firstLine="482"/>
              <w:jc w:val="center"/>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主要工作职责</w:t>
            </w:r>
          </w:p>
        </w:tc>
      </w:tr>
      <w:tr w14:paraId="3876F556">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5353981C">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ign w:val="center"/>
          </w:tcPr>
          <w:p w14:paraId="53B8BD52">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1号宿舍楼</w:t>
            </w:r>
          </w:p>
        </w:tc>
        <w:tc>
          <w:tcPr>
            <w:tcW w:w="2164" w:type="dxa"/>
            <w:tcBorders>
              <w:top w:val="nil"/>
              <w:left w:val="nil"/>
              <w:bottom w:val="single" w:color="auto" w:sz="4" w:space="0"/>
              <w:right w:val="single" w:color="auto" w:sz="4" w:space="0"/>
            </w:tcBorders>
            <w:noWrap w:val="0"/>
            <w:vAlign w:val="center"/>
          </w:tcPr>
          <w:p w14:paraId="4F5A7C79">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宿舍管理员</w:t>
            </w:r>
          </w:p>
        </w:tc>
        <w:tc>
          <w:tcPr>
            <w:tcW w:w="868" w:type="dxa"/>
            <w:tcBorders>
              <w:top w:val="nil"/>
              <w:left w:val="nil"/>
              <w:bottom w:val="single" w:color="auto" w:sz="4" w:space="0"/>
              <w:right w:val="single" w:color="auto" w:sz="4" w:space="0"/>
            </w:tcBorders>
            <w:noWrap w:val="0"/>
            <w:vAlign w:val="center"/>
          </w:tcPr>
          <w:p w14:paraId="5AA50C0F">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rPr>
              <w:t>3</w:t>
            </w:r>
          </w:p>
        </w:tc>
        <w:tc>
          <w:tcPr>
            <w:tcW w:w="3632" w:type="dxa"/>
            <w:gridSpan w:val="4"/>
            <w:vMerge w:val="restart"/>
            <w:tcBorders>
              <w:top w:val="nil"/>
              <w:left w:val="nil"/>
              <w:right w:val="single" w:color="auto" w:sz="4" w:space="0"/>
            </w:tcBorders>
            <w:noWrap w:val="0"/>
            <w:vAlign w:val="center"/>
          </w:tcPr>
          <w:p w14:paraId="2402B7A2">
            <w:pPr>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5"/>
                <w:sz w:val="24"/>
                <w:szCs w:val="24"/>
              </w:rPr>
              <w:t>开门期间有人值守。</w:t>
            </w:r>
          </w:p>
          <w:p w14:paraId="7E91E0D8">
            <w:pPr>
              <w:keepNext w:val="0"/>
              <w:keepLines w:val="0"/>
              <w:pageBreakBefore w:val="0"/>
              <w:kinsoku/>
              <w:wordWrap/>
              <w:overflowPunct/>
              <w:topLinePunct w:val="0"/>
              <w:autoSpaceDE/>
              <w:autoSpaceDN/>
              <w:bidi w:val="0"/>
              <w:adjustRightInd/>
              <w:snapToGrid/>
              <w:spacing w:line="460" w:lineRule="exact"/>
              <w:ind w:left="0" w:right="0"/>
              <w:jc w:val="left"/>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pacing w:val="6"/>
                <w:sz w:val="24"/>
                <w:szCs w:val="24"/>
              </w:rPr>
              <w:t>每个楼开两个门，其中一个门24</w:t>
            </w:r>
            <w:r>
              <w:rPr>
                <w:rFonts w:hint="default" w:ascii="Times New Roman" w:hAnsi="Times New Roman" w:eastAsia="宋体" w:cs="Times New Roman"/>
                <w:color w:val="auto"/>
                <w:spacing w:val="-4"/>
                <w:sz w:val="24"/>
                <w:szCs w:val="24"/>
              </w:rPr>
              <w:t>小时开门，一个门仅白天开门</w:t>
            </w:r>
          </w:p>
        </w:tc>
      </w:tr>
      <w:tr w14:paraId="6D93DE8D">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0E06C2B1">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ign w:val="center"/>
          </w:tcPr>
          <w:p w14:paraId="1D74309E">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2号宿舍楼</w:t>
            </w:r>
          </w:p>
        </w:tc>
        <w:tc>
          <w:tcPr>
            <w:tcW w:w="2164" w:type="dxa"/>
            <w:tcBorders>
              <w:top w:val="nil"/>
              <w:left w:val="nil"/>
              <w:bottom w:val="single" w:color="auto" w:sz="4" w:space="0"/>
              <w:right w:val="single" w:color="auto" w:sz="4" w:space="0"/>
            </w:tcBorders>
            <w:noWrap w:val="0"/>
            <w:vAlign w:val="center"/>
          </w:tcPr>
          <w:p w14:paraId="6045B0CE">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宿舍管理员</w:t>
            </w:r>
          </w:p>
        </w:tc>
        <w:tc>
          <w:tcPr>
            <w:tcW w:w="868" w:type="dxa"/>
            <w:tcBorders>
              <w:top w:val="nil"/>
              <w:left w:val="nil"/>
              <w:bottom w:val="single" w:color="auto" w:sz="4" w:space="0"/>
              <w:right w:val="single" w:color="auto" w:sz="4" w:space="0"/>
            </w:tcBorders>
            <w:noWrap w:val="0"/>
            <w:vAlign w:val="center"/>
          </w:tcPr>
          <w:p w14:paraId="1F37833C">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rPr>
              <w:t>3</w:t>
            </w:r>
          </w:p>
        </w:tc>
        <w:tc>
          <w:tcPr>
            <w:tcW w:w="3632" w:type="dxa"/>
            <w:gridSpan w:val="4"/>
            <w:vMerge w:val="continue"/>
            <w:tcBorders>
              <w:left w:val="nil"/>
              <w:right w:val="single" w:color="auto" w:sz="4" w:space="0"/>
            </w:tcBorders>
            <w:noWrap w:val="0"/>
            <w:vAlign w:val="center"/>
          </w:tcPr>
          <w:p w14:paraId="2A1715B4">
            <w:pPr>
              <w:keepNext w:val="0"/>
              <w:keepLines w:val="0"/>
              <w:pageBreakBefore w:val="0"/>
              <w:kinsoku/>
              <w:wordWrap/>
              <w:overflowPunct/>
              <w:topLinePunct w:val="0"/>
              <w:autoSpaceDE/>
              <w:autoSpaceDN/>
              <w:bidi w:val="0"/>
              <w:adjustRightInd/>
              <w:snapToGrid/>
              <w:spacing w:line="460" w:lineRule="exact"/>
              <w:ind w:left="0" w:right="0" w:firstLine="480"/>
              <w:jc w:val="center"/>
              <w:textAlignment w:val="auto"/>
              <w:rPr>
                <w:rFonts w:hint="default" w:ascii="Times New Roman" w:hAnsi="Times New Roman" w:eastAsia="宋体" w:cs="Times New Roman"/>
                <w:color w:val="auto"/>
                <w:kern w:val="0"/>
                <w:sz w:val="24"/>
                <w:szCs w:val="24"/>
              </w:rPr>
            </w:pPr>
          </w:p>
        </w:tc>
      </w:tr>
      <w:tr w14:paraId="53538511">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7166701E">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ign w:val="center"/>
          </w:tcPr>
          <w:p w14:paraId="0D5A1A4F">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3号宿舍楼</w:t>
            </w:r>
          </w:p>
        </w:tc>
        <w:tc>
          <w:tcPr>
            <w:tcW w:w="2164" w:type="dxa"/>
            <w:tcBorders>
              <w:top w:val="nil"/>
              <w:left w:val="nil"/>
              <w:bottom w:val="single" w:color="auto" w:sz="4" w:space="0"/>
              <w:right w:val="single" w:color="auto" w:sz="4" w:space="0"/>
            </w:tcBorders>
            <w:noWrap w:val="0"/>
            <w:vAlign w:val="center"/>
          </w:tcPr>
          <w:p w14:paraId="0B197608">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宿舍管理员</w:t>
            </w:r>
          </w:p>
        </w:tc>
        <w:tc>
          <w:tcPr>
            <w:tcW w:w="868" w:type="dxa"/>
            <w:tcBorders>
              <w:top w:val="nil"/>
              <w:left w:val="nil"/>
              <w:bottom w:val="single" w:color="auto" w:sz="4" w:space="0"/>
              <w:right w:val="single" w:color="auto" w:sz="4" w:space="0"/>
            </w:tcBorders>
            <w:noWrap w:val="0"/>
            <w:vAlign w:val="center"/>
          </w:tcPr>
          <w:p w14:paraId="6019875B">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rPr>
              <w:t>3</w:t>
            </w:r>
          </w:p>
        </w:tc>
        <w:tc>
          <w:tcPr>
            <w:tcW w:w="3632" w:type="dxa"/>
            <w:gridSpan w:val="4"/>
            <w:vMerge w:val="continue"/>
            <w:tcBorders>
              <w:left w:val="nil"/>
              <w:right w:val="single" w:color="auto" w:sz="4" w:space="0"/>
            </w:tcBorders>
            <w:noWrap w:val="0"/>
            <w:vAlign w:val="center"/>
          </w:tcPr>
          <w:p w14:paraId="0A8C1997">
            <w:pPr>
              <w:keepNext w:val="0"/>
              <w:keepLines w:val="0"/>
              <w:pageBreakBefore w:val="0"/>
              <w:kinsoku/>
              <w:wordWrap/>
              <w:overflowPunct/>
              <w:topLinePunct w:val="0"/>
              <w:autoSpaceDE/>
              <w:autoSpaceDN/>
              <w:bidi w:val="0"/>
              <w:adjustRightInd/>
              <w:snapToGrid/>
              <w:spacing w:line="460" w:lineRule="exact"/>
              <w:ind w:left="0" w:right="0" w:firstLine="480"/>
              <w:jc w:val="center"/>
              <w:textAlignment w:val="auto"/>
              <w:rPr>
                <w:rFonts w:hint="default" w:ascii="Times New Roman" w:hAnsi="Times New Roman" w:eastAsia="宋体" w:cs="Times New Roman"/>
                <w:color w:val="auto"/>
                <w:kern w:val="0"/>
                <w:sz w:val="24"/>
                <w:szCs w:val="24"/>
              </w:rPr>
            </w:pPr>
          </w:p>
        </w:tc>
      </w:tr>
      <w:tr w14:paraId="57EC513D">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7CF4529A">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ign w:val="center"/>
          </w:tcPr>
          <w:p w14:paraId="28183565">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4号宿舍楼</w:t>
            </w:r>
          </w:p>
        </w:tc>
        <w:tc>
          <w:tcPr>
            <w:tcW w:w="2164" w:type="dxa"/>
            <w:tcBorders>
              <w:top w:val="nil"/>
              <w:left w:val="nil"/>
              <w:bottom w:val="single" w:color="auto" w:sz="4" w:space="0"/>
              <w:right w:val="single" w:color="auto" w:sz="4" w:space="0"/>
            </w:tcBorders>
            <w:noWrap w:val="0"/>
            <w:vAlign w:val="center"/>
          </w:tcPr>
          <w:p w14:paraId="0A2E75BF">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宿舍管理员</w:t>
            </w:r>
          </w:p>
        </w:tc>
        <w:tc>
          <w:tcPr>
            <w:tcW w:w="868" w:type="dxa"/>
            <w:tcBorders>
              <w:top w:val="nil"/>
              <w:left w:val="nil"/>
              <w:bottom w:val="single" w:color="auto" w:sz="4" w:space="0"/>
              <w:right w:val="single" w:color="auto" w:sz="4" w:space="0"/>
            </w:tcBorders>
            <w:noWrap w:val="0"/>
            <w:vAlign w:val="center"/>
          </w:tcPr>
          <w:p w14:paraId="7D068352">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rPr>
              <w:t>3</w:t>
            </w:r>
          </w:p>
        </w:tc>
        <w:tc>
          <w:tcPr>
            <w:tcW w:w="3632" w:type="dxa"/>
            <w:gridSpan w:val="4"/>
            <w:vMerge w:val="continue"/>
            <w:tcBorders>
              <w:left w:val="nil"/>
              <w:right w:val="single" w:color="auto" w:sz="4" w:space="0"/>
            </w:tcBorders>
            <w:noWrap w:val="0"/>
            <w:vAlign w:val="center"/>
          </w:tcPr>
          <w:p w14:paraId="35CE3732">
            <w:pPr>
              <w:keepNext w:val="0"/>
              <w:keepLines w:val="0"/>
              <w:pageBreakBefore w:val="0"/>
              <w:kinsoku/>
              <w:wordWrap/>
              <w:overflowPunct/>
              <w:topLinePunct w:val="0"/>
              <w:autoSpaceDE/>
              <w:autoSpaceDN/>
              <w:bidi w:val="0"/>
              <w:adjustRightInd/>
              <w:snapToGrid/>
              <w:spacing w:line="460" w:lineRule="exact"/>
              <w:ind w:left="0" w:right="0" w:firstLine="480"/>
              <w:jc w:val="center"/>
              <w:textAlignment w:val="auto"/>
              <w:rPr>
                <w:rFonts w:hint="default" w:ascii="Times New Roman" w:hAnsi="Times New Roman" w:eastAsia="宋体" w:cs="Times New Roman"/>
                <w:color w:val="auto"/>
                <w:kern w:val="0"/>
                <w:sz w:val="24"/>
                <w:szCs w:val="24"/>
              </w:rPr>
            </w:pPr>
          </w:p>
        </w:tc>
      </w:tr>
      <w:tr w14:paraId="53FF4A22">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7F26B151">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ign w:val="center"/>
          </w:tcPr>
          <w:p w14:paraId="6C8C0807">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5号宿舍楼</w:t>
            </w:r>
          </w:p>
        </w:tc>
        <w:tc>
          <w:tcPr>
            <w:tcW w:w="2164" w:type="dxa"/>
            <w:tcBorders>
              <w:top w:val="nil"/>
              <w:left w:val="nil"/>
              <w:bottom w:val="single" w:color="auto" w:sz="4" w:space="0"/>
              <w:right w:val="single" w:color="auto" w:sz="4" w:space="0"/>
            </w:tcBorders>
            <w:noWrap w:val="0"/>
            <w:vAlign w:val="center"/>
          </w:tcPr>
          <w:p w14:paraId="639424BC">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宿舍管理员</w:t>
            </w:r>
          </w:p>
        </w:tc>
        <w:tc>
          <w:tcPr>
            <w:tcW w:w="868" w:type="dxa"/>
            <w:tcBorders>
              <w:top w:val="nil"/>
              <w:left w:val="nil"/>
              <w:bottom w:val="single" w:color="auto" w:sz="4" w:space="0"/>
              <w:right w:val="single" w:color="auto" w:sz="4" w:space="0"/>
            </w:tcBorders>
            <w:noWrap w:val="0"/>
            <w:vAlign w:val="center"/>
          </w:tcPr>
          <w:p w14:paraId="750E4BDF">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rPr>
              <w:t>3</w:t>
            </w:r>
          </w:p>
        </w:tc>
        <w:tc>
          <w:tcPr>
            <w:tcW w:w="3632" w:type="dxa"/>
            <w:gridSpan w:val="4"/>
            <w:vMerge w:val="continue"/>
            <w:tcBorders>
              <w:left w:val="nil"/>
              <w:right w:val="single" w:color="auto" w:sz="4" w:space="0"/>
            </w:tcBorders>
            <w:noWrap w:val="0"/>
            <w:vAlign w:val="center"/>
          </w:tcPr>
          <w:p w14:paraId="5134CB44">
            <w:pPr>
              <w:keepNext w:val="0"/>
              <w:keepLines w:val="0"/>
              <w:pageBreakBefore w:val="0"/>
              <w:kinsoku/>
              <w:wordWrap/>
              <w:overflowPunct/>
              <w:topLinePunct w:val="0"/>
              <w:autoSpaceDE/>
              <w:autoSpaceDN/>
              <w:bidi w:val="0"/>
              <w:adjustRightInd/>
              <w:snapToGrid/>
              <w:spacing w:line="460" w:lineRule="exact"/>
              <w:ind w:left="0" w:right="0" w:firstLine="480"/>
              <w:jc w:val="center"/>
              <w:textAlignment w:val="auto"/>
              <w:rPr>
                <w:rFonts w:hint="default" w:ascii="Times New Roman" w:hAnsi="Times New Roman" w:eastAsia="宋体" w:cs="Times New Roman"/>
                <w:color w:val="auto"/>
                <w:kern w:val="0"/>
                <w:sz w:val="24"/>
                <w:szCs w:val="24"/>
              </w:rPr>
            </w:pPr>
          </w:p>
        </w:tc>
      </w:tr>
      <w:tr w14:paraId="3F851944">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210F86D9">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ign w:val="center"/>
          </w:tcPr>
          <w:p w14:paraId="7E3D7A72">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6号宿舍楼</w:t>
            </w:r>
          </w:p>
        </w:tc>
        <w:tc>
          <w:tcPr>
            <w:tcW w:w="2164" w:type="dxa"/>
            <w:tcBorders>
              <w:top w:val="nil"/>
              <w:left w:val="nil"/>
              <w:bottom w:val="single" w:color="auto" w:sz="4" w:space="0"/>
              <w:right w:val="single" w:color="auto" w:sz="4" w:space="0"/>
            </w:tcBorders>
            <w:noWrap w:val="0"/>
            <w:vAlign w:val="center"/>
          </w:tcPr>
          <w:p w14:paraId="1A917C75">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宿舍管理员</w:t>
            </w:r>
          </w:p>
        </w:tc>
        <w:tc>
          <w:tcPr>
            <w:tcW w:w="868" w:type="dxa"/>
            <w:tcBorders>
              <w:top w:val="nil"/>
              <w:left w:val="nil"/>
              <w:bottom w:val="single" w:color="auto" w:sz="4" w:space="0"/>
              <w:right w:val="single" w:color="auto" w:sz="4" w:space="0"/>
            </w:tcBorders>
            <w:noWrap w:val="0"/>
            <w:vAlign w:val="center"/>
          </w:tcPr>
          <w:p w14:paraId="41BB1242">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rPr>
              <w:t>3</w:t>
            </w:r>
          </w:p>
        </w:tc>
        <w:tc>
          <w:tcPr>
            <w:tcW w:w="3632" w:type="dxa"/>
            <w:gridSpan w:val="4"/>
            <w:vMerge w:val="continue"/>
            <w:tcBorders>
              <w:left w:val="nil"/>
              <w:right w:val="single" w:color="auto" w:sz="4" w:space="0"/>
            </w:tcBorders>
            <w:noWrap w:val="0"/>
            <w:vAlign w:val="center"/>
          </w:tcPr>
          <w:p w14:paraId="2FFA011A">
            <w:pPr>
              <w:keepNext w:val="0"/>
              <w:keepLines w:val="0"/>
              <w:pageBreakBefore w:val="0"/>
              <w:kinsoku/>
              <w:wordWrap/>
              <w:overflowPunct/>
              <w:topLinePunct w:val="0"/>
              <w:autoSpaceDE/>
              <w:autoSpaceDN/>
              <w:bidi w:val="0"/>
              <w:adjustRightInd/>
              <w:snapToGrid/>
              <w:spacing w:line="460" w:lineRule="exact"/>
              <w:ind w:left="0" w:right="0" w:firstLine="480"/>
              <w:jc w:val="center"/>
              <w:textAlignment w:val="auto"/>
              <w:rPr>
                <w:rFonts w:hint="default" w:ascii="Times New Roman" w:hAnsi="Times New Roman" w:eastAsia="宋体" w:cs="Times New Roman"/>
                <w:color w:val="auto"/>
                <w:kern w:val="0"/>
                <w:sz w:val="24"/>
                <w:szCs w:val="24"/>
              </w:rPr>
            </w:pPr>
          </w:p>
        </w:tc>
      </w:tr>
      <w:tr w14:paraId="42A10D65">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4924050C">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ign w:val="center"/>
          </w:tcPr>
          <w:p w14:paraId="67A9524C">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8号宿舍楼</w:t>
            </w:r>
          </w:p>
        </w:tc>
        <w:tc>
          <w:tcPr>
            <w:tcW w:w="2164" w:type="dxa"/>
            <w:tcBorders>
              <w:top w:val="nil"/>
              <w:left w:val="nil"/>
              <w:bottom w:val="single" w:color="auto" w:sz="4" w:space="0"/>
              <w:right w:val="single" w:color="auto" w:sz="4" w:space="0"/>
            </w:tcBorders>
            <w:noWrap w:val="0"/>
            <w:vAlign w:val="center"/>
          </w:tcPr>
          <w:p w14:paraId="59EF6827">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宿舍管理员</w:t>
            </w:r>
          </w:p>
        </w:tc>
        <w:tc>
          <w:tcPr>
            <w:tcW w:w="868" w:type="dxa"/>
            <w:tcBorders>
              <w:top w:val="nil"/>
              <w:left w:val="nil"/>
              <w:bottom w:val="single" w:color="auto" w:sz="4" w:space="0"/>
              <w:right w:val="single" w:color="auto" w:sz="4" w:space="0"/>
            </w:tcBorders>
            <w:noWrap w:val="0"/>
            <w:vAlign w:val="center"/>
          </w:tcPr>
          <w:p w14:paraId="5CEA1FE9">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rPr>
              <w:t>3</w:t>
            </w:r>
          </w:p>
        </w:tc>
        <w:tc>
          <w:tcPr>
            <w:tcW w:w="3632" w:type="dxa"/>
            <w:gridSpan w:val="4"/>
            <w:vMerge w:val="continue"/>
            <w:tcBorders>
              <w:left w:val="nil"/>
              <w:right w:val="single" w:color="auto" w:sz="4" w:space="0"/>
            </w:tcBorders>
            <w:noWrap w:val="0"/>
            <w:vAlign w:val="center"/>
          </w:tcPr>
          <w:p w14:paraId="795001E6">
            <w:pPr>
              <w:keepNext w:val="0"/>
              <w:keepLines w:val="0"/>
              <w:pageBreakBefore w:val="0"/>
              <w:kinsoku/>
              <w:wordWrap/>
              <w:overflowPunct/>
              <w:topLinePunct w:val="0"/>
              <w:autoSpaceDE/>
              <w:autoSpaceDN/>
              <w:bidi w:val="0"/>
              <w:adjustRightInd/>
              <w:snapToGrid/>
              <w:spacing w:line="460" w:lineRule="exact"/>
              <w:ind w:left="0" w:right="0" w:firstLine="480"/>
              <w:jc w:val="center"/>
              <w:textAlignment w:val="auto"/>
              <w:rPr>
                <w:rFonts w:hint="default" w:ascii="Times New Roman" w:hAnsi="Times New Roman" w:eastAsia="宋体" w:cs="Times New Roman"/>
                <w:color w:val="auto"/>
                <w:kern w:val="0"/>
                <w:sz w:val="24"/>
                <w:szCs w:val="24"/>
              </w:rPr>
            </w:pPr>
          </w:p>
        </w:tc>
      </w:tr>
      <w:tr w14:paraId="1D6DD24E">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172631B0">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ign w:val="center"/>
          </w:tcPr>
          <w:p w14:paraId="0AC2F2FA">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14号宿舍楼</w:t>
            </w:r>
          </w:p>
        </w:tc>
        <w:tc>
          <w:tcPr>
            <w:tcW w:w="2164" w:type="dxa"/>
            <w:tcBorders>
              <w:top w:val="nil"/>
              <w:left w:val="nil"/>
              <w:bottom w:val="single" w:color="auto" w:sz="4" w:space="0"/>
              <w:right w:val="single" w:color="auto" w:sz="4" w:space="0"/>
            </w:tcBorders>
            <w:noWrap w:val="0"/>
            <w:vAlign w:val="center"/>
          </w:tcPr>
          <w:p w14:paraId="2CEA160F">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宿舍管理员</w:t>
            </w:r>
          </w:p>
        </w:tc>
        <w:tc>
          <w:tcPr>
            <w:tcW w:w="868" w:type="dxa"/>
            <w:tcBorders>
              <w:top w:val="nil"/>
              <w:left w:val="nil"/>
              <w:bottom w:val="single" w:color="auto" w:sz="4" w:space="0"/>
              <w:right w:val="single" w:color="auto" w:sz="4" w:space="0"/>
            </w:tcBorders>
            <w:noWrap w:val="0"/>
            <w:vAlign w:val="center"/>
          </w:tcPr>
          <w:p w14:paraId="2D5064CD">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rPr>
              <w:t>3</w:t>
            </w:r>
          </w:p>
        </w:tc>
        <w:tc>
          <w:tcPr>
            <w:tcW w:w="3632" w:type="dxa"/>
            <w:gridSpan w:val="4"/>
            <w:vMerge w:val="continue"/>
            <w:tcBorders>
              <w:left w:val="nil"/>
              <w:bottom w:val="single" w:color="auto" w:sz="4" w:space="0"/>
              <w:right w:val="single" w:color="auto" w:sz="4" w:space="0"/>
            </w:tcBorders>
            <w:noWrap w:val="0"/>
            <w:vAlign w:val="center"/>
          </w:tcPr>
          <w:p w14:paraId="20794919">
            <w:pPr>
              <w:keepNext w:val="0"/>
              <w:keepLines w:val="0"/>
              <w:pageBreakBefore w:val="0"/>
              <w:kinsoku/>
              <w:wordWrap/>
              <w:overflowPunct/>
              <w:topLinePunct w:val="0"/>
              <w:autoSpaceDE/>
              <w:autoSpaceDN/>
              <w:bidi w:val="0"/>
              <w:adjustRightInd/>
              <w:snapToGrid/>
              <w:spacing w:line="460" w:lineRule="exact"/>
              <w:ind w:left="0" w:right="0" w:firstLine="480"/>
              <w:jc w:val="center"/>
              <w:textAlignment w:val="auto"/>
              <w:rPr>
                <w:rFonts w:hint="default" w:ascii="Times New Roman" w:hAnsi="Times New Roman" w:eastAsia="宋体" w:cs="Times New Roman"/>
                <w:color w:val="auto"/>
                <w:kern w:val="0"/>
                <w:sz w:val="24"/>
                <w:szCs w:val="24"/>
              </w:rPr>
            </w:pPr>
          </w:p>
        </w:tc>
      </w:tr>
      <w:tr w14:paraId="6AAAA03D">
        <w:tblPrEx>
          <w:tblCellMar>
            <w:top w:w="0" w:type="dxa"/>
            <w:left w:w="108" w:type="dxa"/>
            <w:bottom w:w="0" w:type="dxa"/>
            <w:right w:w="108" w:type="dxa"/>
          </w:tblCellMar>
        </w:tblPrEx>
        <w:trPr>
          <w:trHeight w:val="510" w:hRule="atLeast"/>
          <w:jc w:val="center"/>
        </w:trPr>
        <w:tc>
          <w:tcPr>
            <w:tcW w:w="814" w:type="dxa"/>
            <w:vMerge w:val="continue"/>
            <w:tcBorders>
              <w:left w:val="single" w:color="auto" w:sz="4" w:space="0"/>
              <w:right w:val="single" w:color="auto" w:sz="4" w:space="0"/>
            </w:tcBorders>
            <w:noWrap w:val="0"/>
            <w:vAlign w:val="center"/>
          </w:tcPr>
          <w:p w14:paraId="3E279B94">
            <w:pPr>
              <w:keepNext w:val="0"/>
              <w:keepLines w:val="0"/>
              <w:pageBreakBefore w:val="0"/>
              <w:kinsoku/>
              <w:wordWrap/>
              <w:overflowPunct/>
              <w:topLinePunct w:val="0"/>
              <w:autoSpaceDE/>
              <w:autoSpaceDN/>
              <w:bidi w:val="0"/>
              <w:adjustRightInd/>
              <w:snapToGrid/>
              <w:spacing w:line="460" w:lineRule="exact"/>
              <w:ind w:left="0" w:right="0" w:firstLine="480"/>
              <w:jc w:val="left"/>
              <w:textAlignment w:val="auto"/>
              <w:rPr>
                <w:rFonts w:hint="default" w:ascii="Times New Roman" w:hAnsi="Times New Roman" w:eastAsia="宋体" w:cs="Times New Roman"/>
                <w:color w:val="auto"/>
                <w:kern w:val="0"/>
                <w:sz w:val="24"/>
                <w:szCs w:val="24"/>
              </w:rPr>
            </w:pPr>
          </w:p>
        </w:tc>
        <w:tc>
          <w:tcPr>
            <w:tcW w:w="1942" w:type="dxa"/>
            <w:gridSpan w:val="2"/>
            <w:tcBorders>
              <w:top w:val="single" w:color="auto" w:sz="4" w:space="0"/>
              <w:left w:val="nil"/>
              <w:bottom w:val="single" w:color="auto" w:sz="4" w:space="0"/>
              <w:right w:val="single" w:color="auto" w:sz="4" w:space="0"/>
            </w:tcBorders>
            <w:noWrap/>
            <w:vAlign w:val="center"/>
          </w:tcPr>
          <w:p w14:paraId="0DA0C594">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校园</w:t>
            </w:r>
          </w:p>
        </w:tc>
        <w:tc>
          <w:tcPr>
            <w:tcW w:w="2164" w:type="dxa"/>
            <w:tcBorders>
              <w:top w:val="nil"/>
              <w:left w:val="nil"/>
              <w:bottom w:val="single" w:color="auto" w:sz="4" w:space="0"/>
              <w:right w:val="single" w:color="auto" w:sz="4" w:space="0"/>
            </w:tcBorders>
            <w:noWrap w:val="0"/>
            <w:vAlign w:val="center"/>
          </w:tcPr>
          <w:p w14:paraId="12E659C0">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校园整体维修人员</w:t>
            </w:r>
          </w:p>
        </w:tc>
        <w:tc>
          <w:tcPr>
            <w:tcW w:w="868" w:type="dxa"/>
            <w:tcBorders>
              <w:top w:val="nil"/>
              <w:left w:val="nil"/>
              <w:bottom w:val="single" w:color="auto" w:sz="4" w:space="0"/>
              <w:right w:val="single" w:color="auto" w:sz="4" w:space="0"/>
            </w:tcBorders>
            <w:noWrap w:val="0"/>
            <w:vAlign w:val="center"/>
          </w:tcPr>
          <w:p w14:paraId="26FDCE5E">
            <w:pPr>
              <w:keepNext w:val="0"/>
              <w:keepLines w:val="0"/>
              <w:pageBreakBefore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rPr>
              <w:t>8</w:t>
            </w:r>
          </w:p>
        </w:tc>
        <w:tc>
          <w:tcPr>
            <w:tcW w:w="3632" w:type="dxa"/>
            <w:gridSpan w:val="4"/>
            <w:tcBorders>
              <w:left w:val="nil"/>
              <w:bottom w:val="single" w:color="auto" w:sz="4" w:space="0"/>
              <w:right w:val="single" w:color="auto" w:sz="4" w:space="0"/>
            </w:tcBorders>
            <w:noWrap w:val="0"/>
            <w:vAlign w:val="center"/>
          </w:tcPr>
          <w:p w14:paraId="22BD65F8">
            <w:pPr>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pacing w:val="-2"/>
                <w:sz w:val="24"/>
                <w:szCs w:val="24"/>
                <w:highlight w:val="none"/>
              </w:rPr>
              <w:t>负责</w:t>
            </w:r>
            <w:r>
              <w:rPr>
                <w:rFonts w:hint="default" w:ascii="Times New Roman" w:hAnsi="Times New Roman" w:eastAsia="宋体" w:cs="Times New Roman"/>
                <w:color w:val="auto"/>
                <w:spacing w:val="-2"/>
                <w:sz w:val="24"/>
                <w:szCs w:val="24"/>
                <w:highlight w:val="none"/>
                <w:lang w:eastAsia="zh-CN"/>
              </w:rPr>
              <w:t>校园整体</w:t>
            </w:r>
            <w:r>
              <w:rPr>
                <w:rFonts w:hint="default" w:ascii="Times New Roman" w:hAnsi="Times New Roman" w:eastAsia="宋体" w:cs="Times New Roman"/>
                <w:color w:val="auto"/>
                <w:spacing w:val="-2"/>
                <w:sz w:val="24"/>
                <w:szCs w:val="24"/>
                <w:highlight w:val="none"/>
              </w:rPr>
              <w:t>水电五金维修</w:t>
            </w:r>
          </w:p>
        </w:tc>
      </w:tr>
      <w:tr w14:paraId="6B176430">
        <w:tblPrEx>
          <w:tblCellMar>
            <w:top w:w="0" w:type="dxa"/>
            <w:left w:w="108" w:type="dxa"/>
            <w:bottom w:w="0" w:type="dxa"/>
            <w:right w:w="108" w:type="dxa"/>
          </w:tblCellMar>
        </w:tblPrEx>
        <w:trPr>
          <w:trHeight w:val="70" w:hRule="atLeast"/>
          <w:jc w:val="center"/>
        </w:trPr>
        <w:tc>
          <w:tcPr>
            <w:tcW w:w="9420" w:type="dxa"/>
            <w:gridSpan w:val="9"/>
            <w:tcBorders>
              <w:top w:val="single" w:color="auto" w:sz="4" w:space="0"/>
              <w:left w:val="single" w:color="auto" w:sz="4" w:space="0"/>
              <w:bottom w:val="single" w:color="auto" w:sz="4" w:space="0"/>
              <w:right w:val="single" w:color="auto" w:sz="4" w:space="0"/>
            </w:tcBorders>
            <w:noWrap/>
            <w:vAlign w:val="center"/>
          </w:tcPr>
          <w:p w14:paraId="633F756B">
            <w:pPr>
              <w:keepNext w:val="0"/>
              <w:keepLines w:val="0"/>
              <w:pageBreakBefore w:val="0"/>
              <w:kinsoku/>
              <w:wordWrap/>
              <w:overflowPunct/>
              <w:topLinePunct w:val="0"/>
              <w:autoSpaceDE/>
              <w:autoSpaceDN/>
              <w:bidi w:val="0"/>
              <w:adjustRightInd/>
              <w:snapToGrid/>
              <w:spacing w:line="460" w:lineRule="exact"/>
              <w:ind w:left="0" w:right="0"/>
              <w:jc w:val="left"/>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注：1.除活动中心、8 号宿舍楼、14号宿舍楼、二期指挥部外其余厕所都采用自动水冲沟槽式蹲位，男厕所小便池采用自动水冲沟槽式。</w:t>
            </w:r>
          </w:p>
          <w:p w14:paraId="3600C3DF">
            <w:pPr>
              <w:keepNext w:val="0"/>
              <w:keepLines w:val="0"/>
              <w:pageBreakBefore w:val="0"/>
              <w:kinsoku/>
              <w:wordWrap/>
              <w:overflowPunct/>
              <w:topLinePunct w:val="0"/>
              <w:autoSpaceDE/>
              <w:autoSpaceDN/>
              <w:bidi w:val="0"/>
              <w:adjustRightInd/>
              <w:snapToGrid/>
              <w:spacing w:line="460" w:lineRule="exact"/>
              <w:ind w:left="0" w:right="0"/>
              <w:jc w:val="left"/>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2.保洁工作含公共区域楼层垃圾清理工作。</w:t>
            </w:r>
          </w:p>
          <w:p w14:paraId="165F83E8">
            <w:pPr>
              <w:keepNext w:val="0"/>
              <w:keepLines w:val="0"/>
              <w:pageBreakBefore w:val="0"/>
              <w:kinsoku/>
              <w:wordWrap/>
              <w:overflowPunct/>
              <w:topLinePunct w:val="0"/>
              <w:autoSpaceDE/>
              <w:autoSpaceDN/>
              <w:bidi w:val="0"/>
              <w:adjustRightInd/>
              <w:snapToGrid/>
              <w:spacing w:line="460" w:lineRule="exact"/>
              <w:ind w:left="0" w:right="0"/>
              <w:jc w:val="left"/>
              <w:textAlignment w:val="auto"/>
              <w:rPr>
                <w:rFonts w:hint="default" w:ascii="Times New Roman" w:hAnsi="Times New Roman" w:eastAsia="宋体" w:cs="Times New Roman"/>
                <w:color w:val="auto"/>
                <w:spacing w:val="-1"/>
                <w:sz w:val="24"/>
                <w:szCs w:val="24"/>
                <w:lang w:val="en-US" w:eastAsia="zh-CN"/>
              </w:rPr>
            </w:pPr>
            <w:r>
              <w:rPr>
                <w:rFonts w:hint="default" w:ascii="Times New Roman" w:hAnsi="Times New Roman" w:eastAsia="宋体" w:cs="Times New Roman"/>
                <w:color w:val="auto"/>
                <w:kern w:val="0"/>
                <w:sz w:val="24"/>
                <w:szCs w:val="24"/>
                <w:lang w:eastAsia="zh-CN"/>
              </w:rPr>
              <w:t>3.含人数的是保证此项工作的最少人数。</w:t>
            </w:r>
          </w:p>
        </w:tc>
      </w:tr>
    </w:tbl>
    <w:p w14:paraId="245B4DE9">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2.设备要求</w:t>
      </w:r>
    </w:p>
    <w:p w14:paraId="7FB93955">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校园驾驶式扫地车不少于2台</w:t>
      </w:r>
    </w:p>
    <w:p w14:paraId="52FF6384">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手推式洗地机不少于5台</w:t>
      </w:r>
    </w:p>
    <w:p w14:paraId="1B75201D">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保洁巡逻车不少于1辆</w:t>
      </w:r>
    </w:p>
    <w:p w14:paraId="33799B62">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尘推车不少于5辆</w:t>
      </w:r>
    </w:p>
    <w:p w14:paraId="5AB02E69">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高压洗地车不少于1辆</w:t>
      </w:r>
    </w:p>
    <w:p w14:paraId="66B1B162">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电动三轮车不少于1辆</w:t>
      </w:r>
    </w:p>
    <w:p w14:paraId="6399F035">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注：根据实际工作需求，乙方应适当配备其他必要的保洁设备。</w:t>
      </w:r>
    </w:p>
    <w:p w14:paraId="55BB7EF5">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3.人员要求</w:t>
      </w:r>
    </w:p>
    <w:p w14:paraId="74C92527">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1）进驻人员包括项目经理1名，项目经理具有3年</w:t>
      </w:r>
      <w:r>
        <w:rPr>
          <w:rFonts w:hint="default" w:ascii="Times New Roman" w:hAnsi="Times New Roman" w:eastAsia="宋体" w:cs="Times New Roman"/>
          <w:color w:val="auto"/>
          <w:sz w:val="24"/>
          <w:szCs w:val="24"/>
          <w:lang w:eastAsia="zh-CN"/>
        </w:rPr>
        <w:t>以上</w:t>
      </w:r>
      <w:r>
        <w:rPr>
          <w:rFonts w:hint="default" w:ascii="Times New Roman" w:hAnsi="Times New Roman" w:eastAsia="宋体" w:cs="Times New Roman"/>
          <w:color w:val="auto"/>
          <w:sz w:val="24"/>
          <w:szCs w:val="24"/>
        </w:rPr>
        <w:t>类似项目管理服务经验，年龄小于50周岁，大专</w:t>
      </w:r>
      <w:r>
        <w:rPr>
          <w:rFonts w:hint="default" w:ascii="Times New Roman" w:hAnsi="Times New Roman" w:eastAsia="宋体" w:cs="Times New Roman"/>
          <w:color w:val="auto"/>
          <w:sz w:val="24"/>
          <w:szCs w:val="24"/>
          <w:lang w:eastAsia="zh-CN"/>
        </w:rPr>
        <w:t>以上</w:t>
      </w:r>
      <w:r>
        <w:rPr>
          <w:rFonts w:hint="default" w:ascii="Times New Roman" w:hAnsi="Times New Roman" w:eastAsia="宋体" w:cs="Times New Roman"/>
          <w:color w:val="auto"/>
          <w:sz w:val="24"/>
          <w:szCs w:val="24"/>
        </w:rPr>
        <w:t>学历，具有</w:t>
      </w:r>
      <w:r>
        <w:rPr>
          <w:rFonts w:hint="eastAsia" w:ascii="Times New Roman" w:hAnsi="Times New Roman" w:eastAsia="宋体" w:cs="Times New Roman"/>
          <w:color w:val="auto"/>
          <w:sz w:val="24"/>
          <w:szCs w:val="24"/>
          <w:lang w:eastAsia="zh-CN"/>
        </w:rPr>
        <w:t>具有政府单位颁发的中级职称证书，</w:t>
      </w:r>
      <w:r>
        <w:rPr>
          <w:rFonts w:hint="default" w:ascii="Times New Roman" w:hAnsi="Times New Roman" w:eastAsia="宋体" w:cs="Times New Roman"/>
          <w:color w:val="auto"/>
          <w:sz w:val="24"/>
          <w:szCs w:val="24"/>
        </w:rPr>
        <w:t>身心健康能胜任工作，工作经验丰富的可以适当放宽条件。</w:t>
      </w:r>
    </w:p>
    <w:p w14:paraId="72F4CB14">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保洁</w:t>
      </w:r>
      <w:r>
        <w:rPr>
          <w:rFonts w:hint="eastAsia" w:ascii="Times New Roman" w:hAnsi="Times New Roman" w:eastAsia="宋体" w:cs="Times New Roman"/>
          <w:color w:val="auto"/>
          <w:sz w:val="24"/>
          <w:szCs w:val="24"/>
          <w:lang w:val="en-US" w:eastAsia="zh-CN"/>
        </w:rPr>
        <w:t>人</w:t>
      </w:r>
      <w:r>
        <w:rPr>
          <w:rFonts w:hint="default" w:ascii="Times New Roman" w:hAnsi="Times New Roman" w:eastAsia="宋体" w:cs="Times New Roman"/>
          <w:color w:val="auto"/>
          <w:sz w:val="24"/>
          <w:szCs w:val="24"/>
        </w:rPr>
        <w:t>员及垃圾清</w:t>
      </w:r>
      <w:r>
        <w:rPr>
          <w:rFonts w:hint="eastAsia" w:ascii="Times New Roman" w:hAnsi="Times New Roman" w:eastAsia="宋体" w:cs="Times New Roman"/>
          <w:color w:val="auto"/>
          <w:sz w:val="24"/>
          <w:szCs w:val="24"/>
          <w:lang w:val="en-US" w:eastAsia="zh-CN"/>
        </w:rPr>
        <w:t>运</w:t>
      </w:r>
      <w:r>
        <w:rPr>
          <w:rFonts w:hint="default" w:ascii="Times New Roman" w:hAnsi="Times New Roman" w:eastAsia="宋体" w:cs="Times New Roman"/>
          <w:color w:val="auto"/>
          <w:sz w:val="24"/>
          <w:szCs w:val="24"/>
        </w:rPr>
        <w:t>人员：男小于55周岁；女小于50周岁，身体健康，品貌端正，吃苦耐劳，具有一定的类似项目工作经验。</w:t>
      </w:r>
    </w:p>
    <w:p w14:paraId="39124209">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宿舍管理员，男小于55周岁，女小于55周岁，初中</w:t>
      </w:r>
      <w:r>
        <w:rPr>
          <w:rFonts w:hint="default" w:ascii="Times New Roman" w:hAnsi="Times New Roman" w:eastAsia="宋体" w:cs="Times New Roman"/>
          <w:color w:val="auto"/>
          <w:sz w:val="24"/>
          <w:szCs w:val="24"/>
          <w:lang w:eastAsia="zh-CN"/>
        </w:rPr>
        <w:t>以上</w:t>
      </w:r>
      <w:r>
        <w:rPr>
          <w:rFonts w:hint="default" w:ascii="Times New Roman" w:hAnsi="Times New Roman" w:eastAsia="宋体" w:cs="Times New Roman"/>
          <w:color w:val="auto"/>
          <w:sz w:val="24"/>
          <w:szCs w:val="24"/>
        </w:rPr>
        <w:t>文化程度，身体健康、品貌端正、平易近人、善于沟通、有责任心、有爱心，有耐心，具有一定的工作经验和管理能力。</w:t>
      </w:r>
    </w:p>
    <w:p w14:paraId="78716676">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校园整体</w:t>
      </w:r>
      <w:r>
        <w:rPr>
          <w:rFonts w:hint="default" w:ascii="Times New Roman" w:hAnsi="Times New Roman" w:eastAsia="宋体" w:cs="Times New Roman"/>
          <w:color w:val="auto"/>
          <w:sz w:val="24"/>
          <w:szCs w:val="24"/>
        </w:rPr>
        <w:t>维修人员，男小于55周岁，初中</w:t>
      </w:r>
      <w:r>
        <w:rPr>
          <w:rFonts w:hint="default" w:ascii="Times New Roman" w:hAnsi="Times New Roman" w:eastAsia="宋体" w:cs="Times New Roman"/>
          <w:color w:val="auto"/>
          <w:sz w:val="24"/>
          <w:szCs w:val="24"/>
          <w:lang w:eastAsia="zh-CN"/>
        </w:rPr>
        <w:t>以上</w:t>
      </w:r>
      <w:r>
        <w:rPr>
          <w:rFonts w:hint="default" w:ascii="Times New Roman" w:hAnsi="Times New Roman" w:eastAsia="宋体" w:cs="Times New Roman"/>
          <w:color w:val="auto"/>
          <w:sz w:val="24"/>
          <w:szCs w:val="24"/>
        </w:rPr>
        <w:t>文化程度，身体健康、品貌端正、平易近人、善于沟通、有责任心、有爱心，有耐心，具有5年以上类似工作经验，具有水电维修相关证书，能基本处理各种水电五金维修问题。</w:t>
      </w:r>
    </w:p>
    <w:p w14:paraId="76EDC5E6">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项目整体人数不得低于69人。寒暑假期间不得低于33人。</w:t>
      </w:r>
    </w:p>
    <w:p w14:paraId="63F538CE">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开学期间（约9个月）：全勤。</w:t>
      </w:r>
    </w:p>
    <w:p w14:paraId="03389935">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寒暑假期间（约3个月）：不低于33人，其中必须保留维修8人，</w:t>
      </w:r>
      <w:r>
        <w:rPr>
          <w:rFonts w:hint="eastAsia" w:ascii="Times New Roman" w:hAnsi="Times New Roman" w:eastAsia="宋体" w:cs="Times New Roman"/>
          <w:color w:val="auto"/>
          <w:sz w:val="24"/>
          <w:szCs w:val="24"/>
          <w:lang w:eastAsia="zh-CN"/>
        </w:rPr>
        <w:t>宿舍管理员</w:t>
      </w:r>
      <w:r>
        <w:rPr>
          <w:rFonts w:hint="default" w:ascii="Times New Roman" w:hAnsi="Times New Roman" w:eastAsia="宋体" w:cs="Times New Roman"/>
          <w:color w:val="auto"/>
          <w:sz w:val="24"/>
          <w:szCs w:val="24"/>
        </w:rPr>
        <w:t>8人，其余人员保证校园和办公区域卫生。</w:t>
      </w:r>
    </w:p>
    <w:p w14:paraId="1BB0FCB6">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p>
    <w:p w14:paraId="0BCDF538">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三、物业服务具体内容及质量要求</w:t>
      </w:r>
    </w:p>
    <w:p w14:paraId="26830F75">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（一）总体要求</w:t>
      </w:r>
    </w:p>
    <w:p w14:paraId="38B03683">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负责河南工业和信息化职业学院公共区域保洁、垃圾清运及宿舍楼管理等服务工作；及时了解学生生活动态，协助学校有关部门做好学生在学校及宿舍内日常行为的教育和管理工作、人文环境及公寓文化和文明建设、特色服务工作。</w:t>
      </w:r>
    </w:p>
    <w:p w14:paraId="6640BF0E">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2.乙方需安排专职项目经理，不得兼职；项目经理应具备专科以上学历、有物业管理经验和人力资源管理经验，负责每天工作的安排、督促和检查。其他人员配备应精干满员，身体健康，年龄符合劳动法要求，人数不少于招标文件要求岗位数。 </w:t>
      </w:r>
    </w:p>
    <w:p w14:paraId="62FC3347">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物业服务企业应有健全的组织机构和物业服务管理制度、岗位责任制度、员工管理制度，建立物业标准服务、服务质量管理、服务质量监督等切实可靠的规章制度和操作规范。选派的服务人员应有较高的管理水平，能为人师表且具备一定的学生管理工作和思想政治工作经验。</w:t>
      </w:r>
    </w:p>
    <w:p w14:paraId="24FD006D">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4.建立各种公共突发性事件（如：水、电、公共卫生、自然灾害等）的处理机制和预案，包括组织机构、人员和具体措施等，服 务人员应具备应急能力，一旦发生突发事件即能随时启动预案立即付诸实施。及时处理安全隐患、防火防盗、安全用电指导和不稳定因素排查，有突发事件及时处理，并迅速报告有关部门，确保学生人身和财产安全，公寓内无恶性治安案件发生。</w:t>
      </w:r>
    </w:p>
    <w:p w14:paraId="4BB113DE">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加强对所有岗位员工的法纪教育和业务学习训练，需要定期集中理论学习；规范化物业服务；有培训计划和培训记录，并作为本项目服务队伍考核的凭证之一。上岗后采购人对所有岗位人员进行考核，不符合要求采购人有权直接进行更换和管理。</w:t>
      </w:r>
    </w:p>
    <w:p w14:paraId="3A1DB782">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为加强企业服务台帐资料档案管理，夯实物业管理基础工作，合理利用物业服务台帐资料档案信息资源，做好档案管理有且不仅限于：①人员入职申请表；②员工劳动合同；③员工花名册；④员工排班表与考勤表。</w:t>
      </w:r>
    </w:p>
    <w:p w14:paraId="5EC5A206">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7.所有员工基本信息、身份证明等要在采购人负责处填写登记表备案并保证队伍的相对稳定。服务人员分岗位统一着装、佩戴标志；行为规范，服务主动、细致、周到，用语文明。</w:t>
      </w:r>
    </w:p>
    <w:p w14:paraId="109AB079">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8.所有岗位人员食宿、服装、保洁、维修等设备由物业公司自行解决。</w:t>
      </w:r>
    </w:p>
    <w:p w14:paraId="15BD996E">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.用工约定</w:t>
      </w:r>
    </w:p>
    <w:p w14:paraId="6E2E70F8">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1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乙方派出的服务人员符合国家用工要求。</w:t>
      </w:r>
      <w:r>
        <w:rPr>
          <w:rFonts w:hint="default" w:ascii="Times New Roman" w:hAnsi="Times New Roman" w:eastAsia="宋体" w:cs="Times New Roman"/>
          <w:color w:val="auto"/>
          <w:sz w:val="24"/>
          <w:szCs w:val="24"/>
          <w:lang w:eastAsia="zh-CN"/>
        </w:rPr>
        <w:t>中标人</w:t>
      </w:r>
      <w:r>
        <w:rPr>
          <w:rFonts w:hint="default" w:ascii="Times New Roman" w:hAnsi="Times New Roman" w:eastAsia="宋体" w:cs="Times New Roman"/>
          <w:color w:val="auto"/>
          <w:sz w:val="24"/>
          <w:szCs w:val="24"/>
        </w:rPr>
        <w:t>必须与用工人员签订劳动合同，购买保险。</w:t>
      </w:r>
    </w:p>
    <w:p w14:paraId="6FA8CF76">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2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②</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从业人员须向管理部门提供身份证复印件、健康证、体检证明。</w:t>
      </w:r>
    </w:p>
    <w:p w14:paraId="6EF9AB31">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③服务人员的住宿、就餐、医疗、工伤、意外保险、治安等问题由</w:t>
      </w:r>
      <w:r>
        <w:rPr>
          <w:rFonts w:hint="default" w:ascii="Times New Roman" w:hAnsi="Times New Roman" w:eastAsia="宋体" w:cs="Times New Roman"/>
          <w:color w:val="auto"/>
          <w:sz w:val="24"/>
          <w:szCs w:val="24"/>
          <w:lang w:val="en-US" w:eastAsia="zh-CN"/>
        </w:rPr>
        <w:t>乙方</w:t>
      </w:r>
      <w:r>
        <w:rPr>
          <w:rFonts w:hint="default" w:ascii="Times New Roman" w:hAnsi="Times New Roman" w:eastAsia="宋体" w:cs="Times New Roman"/>
          <w:color w:val="auto"/>
          <w:sz w:val="24"/>
          <w:szCs w:val="24"/>
        </w:rPr>
        <w:t>自行解决，与</w:t>
      </w:r>
      <w:r>
        <w:rPr>
          <w:rFonts w:hint="default" w:ascii="Times New Roman" w:hAnsi="Times New Roman" w:eastAsia="宋体" w:cs="Times New Roman"/>
          <w:color w:val="auto"/>
          <w:sz w:val="24"/>
          <w:szCs w:val="24"/>
          <w:lang w:val="en-US" w:eastAsia="zh-CN"/>
        </w:rPr>
        <w:t>甲方</w:t>
      </w:r>
      <w:r>
        <w:rPr>
          <w:rFonts w:hint="default" w:ascii="Times New Roman" w:hAnsi="Times New Roman" w:eastAsia="宋体" w:cs="Times New Roman"/>
          <w:color w:val="auto"/>
          <w:sz w:val="24"/>
          <w:szCs w:val="24"/>
        </w:rPr>
        <w:t>无任何关系。服务期间，若出现安全责任事故及纠纷等，由乙方承担全部责任、自行处置，与学校无任何关系。</w:t>
      </w:r>
    </w:p>
    <w:p w14:paraId="317C2892">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④乙方的工作人员必须统一配备服装，挂牌上岗。</w:t>
      </w:r>
    </w:p>
    <w:p w14:paraId="3F59990F">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5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⑤</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遇有重大活动、上级检查或临时性任务时，乙方必须服从甲方的统一调度和安排。</w:t>
      </w:r>
    </w:p>
    <w:p w14:paraId="5089465F">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6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⑥</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协议期间，若因乙方管理不当，影响甲方正常的教学办公秩序，造成不良影响的，每次扣除</w:t>
      </w:r>
      <w:r>
        <w:rPr>
          <w:rFonts w:hint="default" w:ascii="Times New Roman" w:hAnsi="Times New Roman" w:eastAsia="宋体" w:cs="Times New Roman"/>
          <w:color w:val="auto"/>
          <w:sz w:val="24"/>
          <w:szCs w:val="24"/>
          <w:lang w:val="en-US" w:eastAsia="zh-CN"/>
        </w:rPr>
        <w:t>履约保证</w:t>
      </w:r>
      <w:r>
        <w:rPr>
          <w:rFonts w:hint="default" w:ascii="Times New Roman" w:hAnsi="Times New Roman" w:eastAsia="宋体" w:cs="Times New Roman"/>
          <w:color w:val="auto"/>
          <w:sz w:val="24"/>
          <w:szCs w:val="24"/>
        </w:rPr>
        <w:t>金3000元，连续发生3次的，履约保证金没收，协议解除。</w:t>
      </w:r>
    </w:p>
    <w:p w14:paraId="1A13727B">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7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⑦</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乙方必须</w:t>
      </w:r>
      <w:r>
        <w:rPr>
          <w:rFonts w:hint="default" w:ascii="Times New Roman" w:hAnsi="Times New Roman" w:eastAsia="宋体" w:cs="Times New Roman"/>
          <w:color w:val="auto"/>
          <w:sz w:val="24"/>
          <w:szCs w:val="24"/>
          <w:lang w:val="en-US" w:eastAsia="zh-CN"/>
        </w:rPr>
        <w:t>建立相关考勤表，</w:t>
      </w:r>
      <w:r>
        <w:rPr>
          <w:rFonts w:hint="default" w:ascii="Times New Roman" w:hAnsi="Times New Roman" w:eastAsia="宋体" w:cs="Times New Roman"/>
          <w:color w:val="auto"/>
          <w:sz w:val="24"/>
          <w:szCs w:val="24"/>
        </w:rPr>
        <w:t>保证工作日内上岗人员出勤率在100%，若有员工请假须提前向管理部门说明。若在1个月内5次出现出勤率低于相应标准，将根据实际出勤情况参照日工资标准扣除相应费用。</w:t>
      </w:r>
    </w:p>
    <w:p w14:paraId="1BF8C22C">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8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⑧</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周六周日、法定节假日、寒暑假期间必须按照检查标准保质保量完成学校的工作任务。</w:t>
      </w:r>
    </w:p>
    <w:p w14:paraId="1CC99684">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⑨服务人员必须遵守采购人各项规章制度的规定，绝对禁止随意进入及动用与基本工作无关的区域及物品。</w:t>
      </w:r>
    </w:p>
    <w:p w14:paraId="0E1B0786">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（二）值班要求 </w:t>
      </w:r>
    </w:p>
    <w:p w14:paraId="77350701">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1.宿舍人员实行24小时值班制度；协助学校做好学校及宿舍学习生活秩序管理、公共秩序管理、宿舍卫生检查和宿舍纪律的规范等。根据需要配合学校组织封楼期间的查房打分、查夜等检查工作，协调学生宿舍内部矛盾纠纷和宿舍的调整工作。配合学校辅导员进宿舍、党团组织进宿舍和优良校风进宿舍的相关工作，服务态度热心周到，不和师生发生矛盾，如有投诉要追究责任，严格检查人员进出及车辆进出，严格按照学校规定的要求执行工作并对突发事件进行解决。 </w:t>
      </w:r>
    </w:p>
    <w:p w14:paraId="216367C3">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2.在公共区域显著位置公示楼内工作人员名单、联系方式以及24小时服务和监督电话，24小时受理师生来访来电、咨询、和投诉（双休和节假日不中断）；异性及外来人员不得进入学生公寓，建立客服台帐，大件物品出、入要检查、电脑出门要登记，维修登记和辅导员进宿舍登记台账，值班人员应严格把关并做好巡查，做好值班记录和交接班，发现异常情况半小时内要上报或报修。 </w:t>
      </w:r>
    </w:p>
    <w:p w14:paraId="2D8353BC">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建立各种公共突发性事件（如：水、电、公共卫生、自然灾害等）的处理机制和预案，包括组织机构、人员和具体措施等，一旦发生突发事件即能随时启动预案立即付诸实施。及时处理安全隐患、防火防盗、安全用电指导和不稳定因素排查，有突发事件及时处理，并迅速报告有关部门，确保学生人身和财产安全，公寓内无恶性治安案件发生。</w:t>
      </w:r>
    </w:p>
    <w:p w14:paraId="0F41AFCB">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宿管严格按照校园宿舍要求，严格把控人员进出，防止外来人员及广告人员进入，进行宿舍卫生检查，每周大厅张贴、公布两次卫生检查成绩，有效制止学生在公寓内吸烟、酗酒；对宿舍卫生较差的宿舍要做好教育整改工作；定期更换楼内宣传板报；每周开展一次学生宿舍文明卫生检查打分工作，检查过程中卫生评分并兼顾抓好安全、消防检查；及时排除各种安全隐患；做好消防器材和设施的维护保养，确保消防器材处于良好状态，消防通道畅通，公寓内无消防安全隐患，并做好巡查台账记录。</w:t>
      </w:r>
    </w:p>
    <w:p w14:paraId="4E5E6A23">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5.做好节水节电工作，校内公共区域、卫生间、公寓内无常流水、常明灯现象，禁止在值班室及其他负责区域有私拉电线、违章用电行为。</w:t>
      </w:r>
    </w:p>
    <w:p w14:paraId="43EEC61D">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（三）服务要求</w:t>
      </w:r>
    </w:p>
    <w:p w14:paraId="3E14BC98">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1.项目经理服务要求</w:t>
      </w:r>
    </w:p>
    <w:p w14:paraId="38F31151">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1）在学校资源保障中心的领导下，负责各项物业工作和组织安排和落实。</w:t>
      </w:r>
    </w:p>
    <w:p w14:paraId="798DEF13">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2）负责制定并不断完善物业的岗位设置、工作职责和考核办法，根据用工规定，管理、检查和考核物业服务人员。</w:t>
      </w:r>
    </w:p>
    <w:p w14:paraId="49BE2079">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3）负责校园环境和公共场所的卫生、美化等工作的组织、落实和检查。</w:t>
      </w:r>
    </w:p>
    <w:p w14:paraId="32CD6131">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4）协助学校做好考场布置、突击性爱国卫生检查及重大活动的 会场布置和后勤保障工作。</w:t>
      </w:r>
    </w:p>
    <w:p w14:paraId="59DDFA15">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5）负责对物业服务人员安全教育和文明教育，定期对服务人员 进行职业道德教育，组织服务人员学习和执行国家有关政策、技术 规范、文件等。</w:t>
      </w:r>
    </w:p>
    <w:p w14:paraId="0A4424B1">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6）负责落实下达上级指定的各项政治任务和生产任务。</w:t>
      </w:r>
    </w:p>
    <w:p w14:paraId="2F5C8C79">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7）管理与使用好维修设备工具、配件材料，做好进货、出货登记、造册，做好各类报表。</w:t>
      </w:r>
    </w:p>
    <w:p w14:paraId="739D8AC7">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8）负责落实、检查维修的及时率和师生的满意率。</w:t>
      </w:r>
    </w:p>
    <w:p w14:paraId="4F495A10">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.保洁服务要求</w:t>
      </w:r>
    </w:p>
    <w:p w14:paraId="150162D7">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乙方应具有“管理育人、服务育人”的责任，必须为全院师生员工提供优质高效的服务，把保洁管理工作作为精神文明建设的重要载体，以规范合理的管理来保证保洁工作的顺利进行。</w:t>
      </w:r>
    </w:p>
    <w:p w14:paraId="715835F5">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1）保洁区域门厅（含门前台阶）、走廊、楼梯、公共卫生间、公共洗漱间等公共部位每天清扫2次以上、拖洗1次，并全天保持保洁。做到地面无积水、无污垢、无痰迹、无纸屑、无瓜皮果壳等。</w:t>
      </w:r>
    </w:p>
    <w:p w14:paraId="7ED40BE5">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2）校园内日常卫生保持，做到地面无积水、无污垢、无纸屑、无瓜皮果壳等。并全天保持保洁。未硬化区域（含绿化带、草坪等）做到无纸屑、无一次性垃圾袋等。</w:t>
      </w:r>
    </w:p>
    <w:p w14:paraId="6D02242A">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3）公共卫生间、公共洗漱间无异味、无积水、无污垢。</w:t>
      </w:r>
    </w:p>
    <w:p w14:paraId="4277EE42">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4）学生公寓内楼道及楼梯保持干净整洁，每天打扫2次、拖洗1次，并全天保持整洁。做到地面无积水、无污垢、无痰迹、无纸屑、无瓜皮果壳等。</w:t>
      </w:r>
    </w:p>
    <w:p w14:paraId="4E75D0B9">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5）墙面保持整洁，无污迹、无乱悬挂、无乱张贴等现象。</w:t>
      </w:r>
    </w:p>
    <w:p w14:paraId="7AA2081B">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6）垃圾清理每天至少2次，垃圾箱内垃圾每天必须清理干净，垃圾箱附近卫生保持干净整洁。</w:t>
      </w:r>
    </w:p>
    <w:p w14:paraId="222837E6">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7）门厅、走廊、楼梯等公共部位的窗户玻璃保持整洁，每周擦洗1次以上。</w:t>
      </w:r>
    </w:p>
    <w:p w14:paraId="2D8154A8">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8）保洁区域内无卫生死角，师生对公共部位环境卫生满意度90%以上。</w:t>
      </w:r>
    </w:p>
    <w:p w14:paraId="2C7D0767">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9）做好节水节电工作，无常流水、常明灯现象，制止违章用电。</w:t>
      </w:r>
    </w:p>
    <w:p w14:paraId="3AEECA77">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10）日常保洁过程中必须使用与被保洁对象材质相对应的保洁设备、保洁用品及日常护理用品。</w:t>
      </w:r>
    </w:p>
    <w:p w14:paraId="40544D10">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11）按照学院有关规定，主动配合学院开展学生管理创新、服务创新工作。</w:t>
      </w:r>
    </w:p>
    <w:p w14:paraId="45437776">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.宿管服务要求</w:t>
      </w:r>
    </w:p>
    <w:p w14:paraId="721A6DC5">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为强化管理，维护学校的正常秩序，创造安全文明的生活环境，保持消防通道的畅通，对宿管服务提出以下要求。</w:t>
      </w:r>
    </w:p>
    <w:p w14:paraId="6C7D5803">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1）宿管人员要坚守工作岗位，做到24小时有人值守。</w:t>
      </w:r>
    </w:p>
    <w:p w14:paraId="5927F341">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2）宿管值班人员要忠于职守，严格管理，热情服务，遇到重大和突发事件应及时报告在场值班老师和保卫处等部门。</w:t>
      </w:r>
    </w:p>
    <w:p w14:paraId="4B9B6402">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严格交接班制度，交接班双方要当面交代好工作内容和注意事项，双方在交接本上签字确认。接班人未到，交班人不得擅自离岗，否则，由此产生的一切后果由交班人负责；交接班后产生的一切后果由接班人负责。</w:t>
      </w:r>
    </w:p>
    <w:p w14:paraId="1C0C6A53">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4）执行证件查验制度，避免社会闲杂人员进入服务区域，威胁师生人身和财产安全，影响学校正常生活秩序；对来访人员要严格盘查，在有受访者在场的情况下、详细登记有效证件后，方可进入。</w:t>
      </w:r>
    </w:p>
    <w:p w14:paraId="3D4BA46E">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5）严格物品出入登记检查，物证相符、登记后方可出入服务区域，严防大件贵重物品丢失和危险物品进入服务区域内。</w:t>
      </w:r>
    </w:p>
    <w:p w14:paraId="5E70F450">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6）严格控制车辆进入学生公寓楼内；学生公寓楼大门前禁止摆摊设点和停放车辆。</w:t>
      </w:r>
    </w:p>
    <w:p w14:paraId="58A90D04">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7）对晚归的学生，检查证件、详细登记后方可进入学生公寓楼。</w:t>
      </w:r>
    </w:p>
    <w:p w14:paraId="1EDA3189">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8）擅自离岗、脱岗的，视情节轻重给予相应处罚；因脱岗、缺岗造成公私财产损失、师生人身受到伤害的，承担相应责任。</w:t>
      </w:r>
    </w:p>
    <w:p w14:paraId="66B4B4B2">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9）女生公寓楼严禁外来人员尤其是男士进入，值班检查的男老师、维修人员需2人以上、经登记后方可进入；男生公寓楼，女生禁入。</w:t>
      </w:r>
    </w:p>
    <w:p w14:paraId="7ABA4C92">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校园整体</w:t>
      </w:r>
      <w:r>
        <w:rPr>
          <w:rFonts w:hint="default" w:ascii="Times New Roman" w:hAnsi="Times New Roman" w:eastAsia="宋体" w:cs="Times New Roman"/>
          <w:color w:val="auto"/>
          <w:sz w:val="24"/>
          <w:szCs w:val="24"/>
          <w:lang w:val="en-US" w:eastAsia="zh-CN"/>
        </w:rPr>
        <w:t>维修人员服务要求</w:t>
      </w:r>
    </w:p>
    <w:p w14:paraId="3EF844D6">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1）遵守学校规章制度，服从管理，配合学校、项目经理的工作。</w:t>
      </w:r>
    </w:p>
    <w:p w14:paraId="326E610C">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2）负责学生宿舍水、电、门窗、损坏家具的维修及更换等工作。</w:t>
      </w:r>
    </w:p>
    <w:p w14:paraId="331138FE">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3）做好学生宿舍急修抢修任务。</w:t>
      </w:r>
    </w:p>
    <w:p w14:paraId="4BB96D99">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4）负责定期对学生宿舍及周围设施的检查、维修工作。</w:t>
      </w:r>
    </w:p>
    <w:p w14:paraId="30C1CE66">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5）完成安排的其他工作。</w:t>
      </w:r>
    </w:p>
    <w:p w14:paraId="63859554">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5.其他要求</w:t>
      </w:r>
    </w:p>
    <w:p w14:paraId="791FF4EB">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1）所有员工基本信息、身份证明等要在甲方负责处填写登记表备案并保证队伍的相对稳定。</w:t>
      </w:r>
    </w:p>
    <w:p w14:paraId="3EFEC6D5">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加强对所有岗位员工的法纪教育和业务学习训练，需要定期集中理论学习；规范化物业服务；有培训计划和培训记录，并作为本项目服务队伍考核的凭证之一。上岗后招标人对所有岗位人员进行考核，不符合要求招标人有权直接进行更换和管理。</w:t>
      </w:r>
    </w:p>
    <w:p w14:paraId="719FB5DC">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3）为加强企业服务台帐资料档案管理，夯实物业管理基础工作，合理利用物业服务台帐资料档案信息资源，做好档案管理有且不仅限于：</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1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人员入职申请表；</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2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②</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员工劳动合同；</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3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③</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员工花名册；④员工排班表与考勤表。</w:t>
      </w:r>
    </w:p>
    <w:p w14:paraId="6812FD7D">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4）有健全的组织机构和物业服务管理制度、岗位责任制度、员工管理制度。</w:t>
      </w:r>
    </w:p>
    <w:p w14:paraId="09E583CE">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5）所有岗位人员食宿、服装、保洁、维修等设备由物业公司自行解决。</w:t>
      </w:r>
    </w:p>
    <w:p w14:paraId="42C1E81E">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6）具备应急能力。</w:t>
      </w:r>
    </w:p>
    <w:p w14:paraId="0E65625B">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（三）乙方</w:t>
      </w:r>
      <w:r>
        <w:rPr>
          <w:rFonts w:hint="default" w:ascii="Times New Roman" w:hAnsi="Times New Roman" w:eastAsia="宋体" w:cs="Times New Roman"/>
          <w:color w:val="auto"/>
          <w:sz w:val="24"/>
          <w:szCs w:val="24"/>
        </w:rPr>
        <w:t>承担费用</w:t>
      </w:r>
    </w:p>
    <w:p w14:paraId="3448BF04">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物业服务过程中所需要的低值易耗品、清洁用品、用具（含手推式尘推车、高压冲洗车等）、设备器材、物业管理办公费（包括电话费、网费）和服务中损坏公物赔偿费等</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由此产生的一切费用由乙方承担。</w:t>
      </w:r>
    </w:p>
    <w:p w14:paraId="6313868C">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2）人员工资及税金：包括所有服务人员的工资、奖金等劳动报酬；国家规定的各类社会保障、社会统筹费用等；</w:t>
      </w:r>
    </w:p>
    <w:p w14:paraId="0FF16626">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3）卫生保洁工具和消毒费用；</w:t>
      </w:r>
    </w:p>
    <w:p w14:paraId="1393D04E">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4）其他不可预见性开支。</w:t>
      </w:r>
    </w:p>
    <w:p w14:paraId="3698F940">
      <w:pPr>
        <w:keepNext w:val="0"/>
        <w:keepLines w:val="0"/>
        <w:pageBreakBefore w:val="0"/>
        <w:kinsoku/>
        <w:wordWrap/>
        <w:overflowPunct/>
        <w:topLinePunct w:val="0"/>
        <w:autoSpaceDE/>
        <w:autoSpaceDN/>
        <w:bidi w:val="0"/>
        <w:adjustRightInd/>
        <w:snapToGrid/>
        <w:spacing w:line="460" w:lineRule="exact"/>
        <w:ind w:left="0" w:right="0" w:firstLine="422"/>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四、甲方的权利与义务</w:t>
      </w:r>
    </w:p>
    <w:p w14:paraId="75EE9DB7">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b w:val="0"/>
          <w:bCs w:val="0"/>
          <w:color w:val="auto"/>
          <w:spacing w:val="-2"/>
          <w:sz w:val="24"/>
          <w:szCs w:val="24"/>
          <w:lang w:eastAsia="zh-CN"/>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kern w:val="0"/>
          <w:sz w:val="24"/>
          <w:szCs w:val="24"/>
        </w:rPr>
        <w:t>合同期内，</w:t>
      </w:r>
      <w:r>
        <w:rPr>
          <w:rFonts w:hint="default" w:ascii="Times New Roman" w:hAnsi="Times New Roman" w:eastAsia="宋体" w:cs="Times New Roman"/>
          <w:color w:val="auto"/>
          <w:sz w:val="24"/>
          <w:szCs w:val="24"/>
        </w:rPr>
        <w:t>甲方有权按照文件中的</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sz w:val="24"/>
          <w:szCs w:val="24"/>
          <w:lang w:val="en"/>
        </w:rPr>
        <w:t>河南工业和信息化职业学院</w:t>
      </w:r>
      <w:r>
        <w:rPr>
          <w:rFonts w:hint="default" w:ascii="Times New Roman" w:hAnsi="Times New Roman" w:eastAsia="宋体" w:cs="Times New Roman"/>
          <w:color w:val="auto"/>
          <w:kern w:val="0"/>
          <w:sz w:val="24"/>
          <w:szCs w:val="24"/>
        </w:rPr>
        <w:t>物业服务监督考核册测评体系》</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附件1</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等有关规定进行月度考核，</w:t>
      </w:r>
      <w:r>
        <w:rPr>
          <w:rFonts w:hint="default" w:ascii="Times New Roman" w:hAnsi="Times New Roman" w:eastAsia="宋体" w:cs="Times New Roman"/>
          <w:b w:val="0"/>
          <w:bCs w:val="0"/>
          <w:color w:val="auto"/>
          <w:spacing w:val="6"/>
          <w:sz w:val="24"/>
          <w:szCs w:val="24"/>
          <w:lang w:val="en-US" w:eastAsia="zh-CN"/>
        </w:rPr>
        <w:t>甲方</w:t>
      </w:r>
      <w:r>
        <w:rPr>
          <w:rFonts w:hint="default" w:ascii="Times New Roman" w:hAnsi="Times New Roman" w:eastAsia="宋体" w:cs="Times New Roman"/>
          <w:b w:val="0"/>
          <w:bCs w:val="0"/>
          <w:color w:val="auto"/>
          <w:spacing w:val="6"/>
          <w:sz w:val="24"/>
          <w:szCs w:val="24"/>
        </w:rPr>
        <w:t>有权</w:t>
      </w:r>
      <w:r>
        <w:rPr>
          <w:rFonts w:hint="default" w:ascii="Times New Roman" w:hAnsi="Times New Roman" w:eastAsia="宋体" w:cs="Times New Roman"/>
          <w:b w:val="0"/>
          <w:bCs w:val="0"/>
          <w:color w:val="auto"/>
          <w:spacing w:val="6"/>
          <w:sz w:val="24"/>
          <w:szCs w:val="24"/>
          <w:lang w:val="en-US" w:eastAsia="zh-CN"/>
        </w:rPr>
        <w:t>根据考核结果维护自身权利</w:t>
      </w:r>
      <w:r>
        <w:rPr>
          <w:rFonts w:hint="default" w:ascii="Times New Roman" w:hAnsi="Times New Roman" w:eastAsia="宋体" w:cs="Times New Roman"/>
          <w:b w:val="0"/>
          <w:bCs w:val="0"/>
          <w:color w:val="auto"/>
          <w:spacing w:val="-2"/>
          <w:sz w:val="24"/>
          <w:szCs w:val="24"/>
          <w:lang w:eastAsia="zh-CN"/>
        </w:rPr>
        <w:t>。</w:t>
      </w:r>
    </w:p>
    <w:p w14:paraId="3370348E">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2.甲方有权对乙方及其工作人员按相关管理制度进行管理，对不符合岗位管理要求、不严格履行岗位职责或不服从甲方管理的工作人员，甲方有权要求乙方予以更换。</w:t>
      </w:r>
    </w:p>
    <w:p w14:paraId="1A0782F1">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3.甲方对不称职的乙方项目负责人及技术人员有权要求更换。乙方未按甲方要求更换，甲方当月扣除乙方部分服务费用，下月仍不能达到甲方要求则必须换人，否则停止支付物业费。</w:t>
      </w:r>
    </w:p>
    <w:p w14:paraId="789B97F3">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4.协调组织乙方服务项目的交接工作，审核并备案乙方的经营资质及关键岗位人员资质。</w:t>
      </w:r>
    </w:p>
    <w:p w14:paraId="3EF61BAA">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5.甲方对乙方物业管理服务工作进行监督检查，并有权提出合理的整改意见。乙方未能达到甲方提出的改正要求的，甲方有权解除本合同。由此为甲方造成损失的，乙方应该承担赔偿责任。</w:t>
      </w:r>
    </w:p>
    <w:p w14:paraId="392CD99E">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甲方对乙方的综合评定结果应及时通知乙方，并对有关需要改进的事项进行二次监督，促使其整改到位。对于拒不整改的，甲方有权自行聘请其他公司进行整改（甲方聘请临时人员费用标准如下：人员工资按200元/人日计算；人员工资不足一日按一日计算）。整改费用从当月乙方物业管理费用中扣除。</w:t>
      </w:r>
    </w:p>
    <w:p w14:paraId="49680F88">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7.对乙方在服务项目管理过程中所发生的重大事项享有知情权。</w:t>
      </w:r>
    </w:p>
    <w:p w14:paraId="22D8A0E0">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8.甲方其他工作人员进入乙方服务区域，应遵照乙方的管理办法，主动自觉遵守。</w:t>
      </w:r>
    </w:p>
    <w:p w14:paraId="3B9D284A">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9.甲方免费提供工作使用水、电，但乙方不得浪费。</w:t>
      </w:r>
    </w:p>
    <w:p w14:paraId="07E31B42">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10.对乙方提出的关于工作的合理化建议予以考虑。</w:t>
      </w:r>
    </w:p>
    <w:p w14:paraId="0C667D02">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11.甲方应当按照合同约定按时支付乙方物业管理服务费，甲方不承担乙方及其工作人员的任何其他费用。</w:t>
      </w:r>
    </w:p>
    <w:p w14:paraId="0AE714D4">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rPr>
        <w:t>.甲方与乙方服务人员之间不存在任何性质的劳动或劳务关系。</w:t>
      </w:r>
    </w:p>
    <w:p w14:paraId="5D291D84">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13.乙方工作人员在工作中，发生自身或导致他人伤、残、亡等的，乙方应承担全部责任。</w:t>
      </w:r>
    </w:p>
    <w:p w14:paraId="4AFA5154">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4.乙方服务人员未按要求提供服务为甲方造成损失的，乙方应承担赔偿责任。</w:t>
      </w:r>
    </w:p>
    <w:p w14:paraId="254F28C3">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15.负责协调各种管理遗留问题的处理工作；乙方人员提出的安全隐患，甲方有及时处理的义务；同时采取有效措施落实防火、防盗、防破坏等安全防范工作。</w:t>
      </w:r>
    </w:p>
    <w:p w14:paraId="33286CD0">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16.审定乙方拟定的物业管理制度，检查监督乙方提供的各项服务承诺的执行情况；对违规、违纪人员，知会乙方主管人员进行批评教育工作，必要时通知乙方予以调换。</w:t>
      </w:r>
    </w:p>
    <w:p w14:paraId="3B157617">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.甲方为乙方服务工作提供其他必要的便利。</w:t>
      </w:r>
    </w:p>
    <w:p w14:paraId="6A56AD79">
      <w:pPr>
        <w:keepNext w:val="0"/>
        <w:keepLines w:val="0"/>
        <w:pageBreakBefore w:val="0"/>
        <w:kinsoku/>
        <w:wordWrap/>
        <w:overflowPunct/>
        <w:topLinePunct w:val="0"/>
        <w:autoSpaceDE/>
        <w:autoSpaceDN/>
        <w:bidi w:val="0"/>
        <w:adjustRightInd/>
        <w:snapToGrid/>
        <w:spacing w:line="460" w:lineRule="exact"/>
        <w:ind w:left="0" w:right="0" w:firstLine="422"/>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五、乙方的权利与义务</w:t>
      </w:r>
    </w:p>
    <w:p w14:paraId="55FF99B3">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1.乙方保证其具有本协议经营资质且合法有效，保证在经营期限内经营资质持续有效。</w:t>
      </w:r>
    </w:p>
    <w:p w14:paraId="4FB1A3FF">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2.根据法律法规的有关规定和本合同的约定，乙方制定物业管理办法及实施方案，自主开展各项物业管理服务活动。</w:t>
      </w:r>
    </w:p>
    <w:p w14:paraId="44C3A665">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3.乙方负责做好服务区域内用水、用电、中央空调等设施设备巡查和报修工作，保证用水用电等设施设备的安全工作，做到节水节电。</w:t>
      </w:r>
    </w:p>
    <w:p w14:paraId="410CE68A">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4.乙方在合同期间必须保证承包范围内原有的设施完好无损，因乙方管理不当造成丢失或损坏的，</w:t>
      </w:r>
      <w:r>
        <w:rPr>
          <w:rFonts w:hint="default" w:ascii="Times New Roman" w:hAnsi="Times New Roman" w:eastAsia="宋体" w:cs="Times New Roman"/>
          <w:color w:val="auto"/>
          <w:sz w:val="24"/>
          <w:szCs w:val="24"/>
          <w:lang w:val="en-US" w:eastAsia="zh-CN"/>
        </w:rPr>
        <w:t>应在甲方规定期限内</w:t>
      </w:r>
      <w:r>
        <w:rPr>
          <w:rFonts w:hint="default" w:ascii="Times New Roman" w:hAnsi="Times New Roman" w:eastAsia="宋体" w:cs="Times New Roman"/>
          <w:color w:val="auto"/>
          <w:sz w:val="24"/>
          <w:szCs w:val="24"/>
        </w:rPr>
        <w:t>恢复原状，</w:t>
      </w:r>
      <w:r>
        <w:rPr>
          <w:rFonts w:hint="default" w:ascii="Times New Roman" w:hAnsi="Times New Roman" w:eastAsia="宋体" w:cs="Times New Roman"/>
          <w:color w:val="auto"/>
          <w:sz w:val="24"/>
          <w:szCs w:val="24"/>
          <w:lang w:val="en-US" w:eastAsia="zh-CN"/>
        </w:rPr>
        <w:t>造成额外损失</w:t>
      </w:r>
      <w:r>
        <w:rPr>
          <w:rFonts w:hint="default" w:ascii="Times New Roman" w:hAnsi="Times New Roman" w:eastAsia="宋体" w:cs="Times New Roman"/>
          <w:color w:val="auto"/>
          <w:sz w:val="24"/>
          <w:szCs w:val="24"/>
        </w:rPr>
        <w:t>应</w:t>
      </w:r>
      <w:r>
        <w:rPr>
          <w:rFonts w:hint="default" w:ascii="Times New Roman" w:hAnsi="Times New Roman" w:eastAsia="宋体" w:cs="Times New Roman"/>
          <w:color w:val="auto"/>
          <w:sz w:val="24"/>
          <w:szCs w:val="24"/>
          <w:lang w:val="en-US" w:eastAsia="zh-CN"/>
        </w:rPr>
        <w:t>照价</w:t>
      </w:r>
      <w:r>
        <w:rPr>
          <w:rFonts w:hint="default" w:ascii="Times New Roman" w:hAnsi="Times New Roman" w:eastAsia="宋体" w:cs="Times New Roman"/>
          <w:color w:val="auto"/>
          <w:sz w:val="24"/>
          <w:szCs w:val="24"/>
        </w:rPr>
        <w:t>赔偿。</w:t>
      </w:r>
    </w:p>
    <w:p w14:paraId="0B2E7167">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5.乙方发现重大的公共安全隐患以及设备出现故障时，应当及时通知甲方，同时立即采取合理有效的处理措施，因乙方怠于通知或未采取有效措施造成人员伤亡和财产损失的，由乙方承担责任。</w:t>
      </w:r>
    </w:p>
    <w:p w14:paraId="51E0438B">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乙方必须服从甲方工作大局，做好与甲方各职能部门的协调和配合工作。接受甲方考核和物业管理行政主管部门的监督，不断完善管理服务，如因乙方管理失误造成甲方经济损失或给第三人造成伤害的，乙方负责赔偿。</w:t>
      </w:r>
    </w:p>
    <w:p w14:paraId="12BB27B2">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7.乙方以所投标文件并经甲方确认的技术标准作为管理服务标准，必须每月按标书标准对月工作进行自评，如有不符合标书的情况，须及时整改。</w:t>
      </w:r>
    </w:p>
    <w:p w14:paraId="101BA739">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8.乙方提供物业服务所需的各类工具、用品及机械设备等。如抛光机，拖把，扫帚，玻璃刮，抹布及工作用车；垃圾篓，垃圾桶，痰盂；各种清洗剂，消毒剂，空气清新剂等材料。各类物业人员的劳保用品等全部由乙方提供。</w:t>
      </w:r>
    </w:p>
    <w:p w14:paraId="3A828C14">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9.乙方安排项目负责人、技术人员应与响应文件承诺的一致。乙方承诺项目负责人及技术管理人员每周不少于国家法律法规规定的工作日。</w:t>
      </w:r>
    </w:p>
    <w:p w14:paraId="7EBBC468">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10.乙方负责其员工各类有效证件及手续的督办和审验，保证特殊工种必须持证上岗。乙方工作人员必须经专业培训后方可上岗，遵守甲方的规章制度，统一着装，佩带工号牌，爱护甲方的各类设施设备及其它财产，如乙方工作人员损坏甲方设施设备及其它财产，由乙方负责赔偿。乙方负责其员工社会治安的管理，自行处理其员工的社会治安问题，并独立承担相应责任。</w:t>
      </w:r>
    </w:p>
    <w:p w14:paraId="18D30955">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11.承担乙方人员工资福利以及各种保险，因未按国家规定为员工购买各种保险或未解决国家明确规定的员工应享受的待遇并由此发生的各种劳资纠纷由乙方承担一切责任。乙方员工在工作中发生伤亡、疾病或对甲方人员或财产造成损害，乙方必须承担由此而产生的一切责任。</w:t>
      </w:r>
    </w:p>
    <w:p w14:paraId="122BD7E3">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12.遇到节假日或重大活动，乙方应加大工作人员密度，延长工作时间,甲方不增加物业费用。</w:t>
      </w:r>
    </w:p>
    <w:p w14:paraId="059156EB">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13.乙方承诺不向第三方提供甲方的相关资料，其工作人员行为不得损害甲方利益和形象。</w:t>
      </w:r>
    </w:p>
    <w:p w14:paraId="43B42E8C">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14.服务人员工资发放、社保缴纳等责任由乙方负责，与甲方无关。</w:t>
      </w:r>
    </w:p>
    <w:p w14:paraId="3A05C93B">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15.统一配备员工工装、工具及相关物料、设备；定期组织员工培训，提升业务技能，确保服务达到约定的质量标准；严格按照公司规章、制度、规范等对员工进行管理和要求。</w:t>
      </w:r>
    </w:p>
    <w:p w14:paraId="264D33F6">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16.配合完成甲方交办的其他涉及管理服务范围的临时性工作</w:t>
      </w:r>
    </w:p>
    <w:p w14:paraId="713882FD">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17.对本物业的公用设施不得擅自占用和改变使用功能，如需在本物业内改、扩建或完善配套项目，须与甲方协商，经甲方同意后方可实施。</w:t>
      </w:r>
    </w:p>
    <w:p w14:paraId="189CED68">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18.负责编制物业管理年度管理服务计划、人员安排计划、资金使用计划及决算报告，并报甲方审核。</w:t>
      </w:r>
    </w:p>
    <w:p w14:paraId="48F315EA">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19.认真落实物业管理服务各项规章制度的执行，并做好与甲方及时沟通，协助处理相关事宜。</w:t>
      </w:r>
    </w:p>
    <w:p w14:paraId="04BB88CC">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本合同到期或终止当日，乙方无条件向甲方移交物业管理档案资料和退还属甲方所有的办公用房、仓库及其它各类设施物品、资料，并办理交接手续。乙方未按时履行交接手续或者移交手续未达到甲方要求的，甲方有权没收乙方物业管理履约保证金。</w:t>
      </w:r>
    </w:p>
    <w:p w14:paraId="193F50B4">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21.乙方违反本合同的约定，未能达到约定的管理服务目标和质量，甲方有权要求乙方限期整改，逾期未整改的，甲方有权终止合同；造成甲方经济损失的，乙方应给予甲方经济赔偿。</w:t>
      </w:r>
    </w:p>
    <w:p w14:paraId="31761FAB">
      <w:pPr>
        <w:keepNext w:val="0"/>
        <w:keepLines w:val="0"/>
        <w:pageBreakBefore w:val="0"/>
        <w:kinsoku/>
        <w:wordWrap/>
        <w:overflowPunct/>
        <w:topLinePunct w:val="0"/>
        <w:autoSpaceDE/>
        <w:autoSpaceDN/>
        <w:bidi w:val="0"/>
        <w:adjustRightInd/>
        <w:snapToGrid/>
        <w:spacing w:line="460" w:lineRule="exact"/>
        <w:ind w:left="0" w:right="0" w:firstLine="422"/>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六、</w:t>
      </w:r>
      <w:r>
        <w:rPr>
          <w:rFonts w:hint="default" w:ascii="Times New Roman" w:hAnsi="Times New Roman" w:eastAsia="宋体" w:cs="Times New Roman"/>
          <w:b/>
          <w:bCs/>
          <w:color w:val="auto"/>
          <w:sz w:val="24"/>
          <w:szCs w:val="24"/>
          <w:lang w:val="en-US" w:eastAsia="zh-CN"/>
        </w:rPr>
        <w:t>合同期满移交</w:t>
      </w:r>
    </w:p>
    <w:p w14:paraId="2AD51F78">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lang w:val="en-US" w:eastAsia="zh-CN"/>
        </w:rPr>
        <w:t>合同期限届满，乙方应当按照甲方的要求在期满后3日内向甲方或甲方指定的第三方予以移交并递交相关资料，移交时应保证甲方所提供的设施处于正常的使用状态，如有损坏或故意毁损，应当予以修缮或赔偿，否则扣除相应的履约保证金</w:t>
      </w:r>
      <w:r>
        <w:rPr>
          <w:rFonts w:hint="default" w:ascii="Times New Roman" w:hAnsi="Times New Roman" w:eastAsia="宋体" w:cs="Times New Roman"/>
          <w:bCs/>
          <w:color w:val="auto"/>
          <w:sz w:val="24"/>
          <w:szCs w:val="24"/>
        </w:rPr>
        <w:t>。</w:t>
      </w:r>
    </w:p>
    <w:p w14:paraId="6FC3011E">
      <w:pPr>
        <w:keepNext w:val="0"/>
        <w:keepLines w:val="0"/>
        <w:pageBreakBefore w:val="0"/>
        <w:kinsoku/>
        <w:wordWrap/>
        <w:overflowPunct/>
        <w:topLinePunct w:val="0"/>
        <w:autoSpaceDE/>
        <w:autoSpaceDN/>
        <w:bidi w:val="0"/>
        <w:adjustRightInd/>
        <w:snapToGrid/>
        <w:spacing w:line="460" w:lineRule="exact"/>
        <w:ind w:left="0" w:right="0" w:firstLine="422"/>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七、履约保证金</w:t>
      </w:r>
    </w:p>
    <w:p w14:paraId="55569D35">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1.由于乙方管理不善，造成工作失误，应在一周内弥补，甲方将适当给予罚款，此款项将从履约保证金中扣除。</w:t>
      </w:r>
    </w:p>
    <w:p w14:paraId="193F8788">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2.乙方在服务期间对第三方造成财产和人身损失等，乙方应予支付而不支付或怠于支付，经甲方催告后，乙方仍不支付，甲方将从履约保证金和物业服务费中支付上述费用。</w:t>
      </w:r>
    </w:p>
    <w:p w14:paraId="23404368">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3.退还保证金：本合同期满，甲方确认乙方未遗留相关的处理事项，待甲乙双方办理完交接手续后，甲方将乙方保证金无息归还乙方。</w:t>
      </w:r>
    </w:p>
    <w:p w14:paraId="27D84D4C">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4.乙方无正当理由提前终止合同的，甲方扣除乙方履约保证金；乙方给甲方造成的经济损失超过履约保证金的部分，还应给予赔偿。</w:t>
      </w:r>
    </w:p>
    <w:p w14:paraId="0E391743">
      <w:pPr>
        <w:keepNext w:val="0"/>
        <w:keepLines w:val="0"/>
        <w:pageBreakBefore w:val="0"/>
        <w:kinsoku/>
        <w:wordWrap/>
        <w:overflowPunct/>
        <w:topLinePunct w:val="0"/>
        <w:autoSpaceDE/>
        <w:autoSpaceDN/>
        <w:bidi w:val="0"/>
        <w:adjustRightInd/>
        <w:snapToGrid/>
        <w:spacing w:line="460" w:lineRule="exact"/>
        <w:ind w:left="0" w:right="0" w:firstLine="422"/>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八、若乙方在承包期间，违反下列规定将被解除承包合同：</w:t>
      </w:r>
    </w:p>
    <w:p w14:paraId="054DD54C">
      <w:pPr>
        <w:keepNext w:val="0"/>
        <w:keepLines w:val="0"/>
        <w:pageBreakBefore w:val="0"/>
        <w:kinsoku/>
        <w:wordWrap/>
        <w:overflowPunct/>
        <w:topLinePunct w:val="0"/>
        <w:autoSpaceDE/>
        <w:autoSpaceDN/>
        <w:bidi w:val="0"/>
        <w:adjustRightInd/>
        <w:snapToGrid/>
        <w:spacing w:line="460" w:lineRule="exact"/>
        <w:ind w:left="0" w:right="0" w:firstLine="426"/>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1.未经甲方书面同意，乙方不得擅自向第三方转让其应履行的合同项下的义务，否则视为违约，甲方有权单方面解除合同。 </w:t>
      </w:r>
    </w:p>
    <w:p w14:paraId="3088068F">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2.因乙方过错导致甲方有重大经济损失，或导致甲方名誉受到不良影响时，甲方有权单方面解除合同（造成甲方的经济损失由乙方承担）。</w:t>
      </w:r>
    </w:p>
    <w:p w14:paraId="67A3D991">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按照文件中的</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sz w:val="24"/>
          <w:szCs w:val="24"/>
          <w:lang w:val="en"/>
        </w:rPr>
        <w:t>河南工业和信息化职业学院</w:t>
      </w:r>
      <w:r>
        <w:rPr>
          <w:rFonts w:hint="default" w:ascii="Times New Roman" w:hAnsi="Times New Roman" w:eastAsia="宋体" w:cs="Times New Roman"/>
          <w:color w:val="auto"/>
          <w:kern w:val="0"/>
          <w:sz w:val="24"/>
          <w:szCs w:val="24"/>
        </w:rPr>
        <w:t>物业服务监督考核册测评体系》</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附件1</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考核结果连续三个月不合格或连续二个月严重不合格。</w:t>
      </w:r>
    </w:p>
    <w:p w14:paraId="13603584">
      <w:pPr>
        <w:keepNext w:val="0"/>
        <w:keepLines w:val="0"/>
        <w:pageBreakBefore w:val="0"/>
        <w:kinsoku/>
        <w:wordWrap/>
        <w:overflowPunct/>
        <w:topLinePunct w:val="0"/>
        <w:autoSpaceDE/>
        <w:autoSpaceDN/>
        <w:bidi w:val="0"/>
        <w:adjustRightInd/>
        <w:snapToGrid/>
        <w:spacing w:line="460" w:lineRule="exact"/>
        <w:ind w:left="0" w:right="0" w:firstLine="42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九、合同纠纷。如发生合同纠纷，甲、乙双方协商解决；协商不成时，可提请甲方所在地政府相关部门调解、仲裁或在合同执行地法院起诉。</w:t>
      </w:r>
    </w:p>
    <w:p w14:paraId="1F988F52">
      <w:pPr>
        <w:keepNext w:val="0"/>
        <w:keepLines w:val="0"/>
        <w:pageBreakBefore w:val="0"/>
        <w:kinsoku/>
        <w:wordWrap/>
        <w:overflowPunct/>
        <w:topLinePunct w:val="0"/>
        <w:autoSpaceDE/>
        <w:autoSpaceDN/>
        <w:bidi w:val="0"/>
        <w:adjustRightInd/>
        <w:snapToGrid/>
        <w:spacing w:line="460" w:lineRule="exact"/>
        <w:ind w:left="0" w:right="0" w:firstLine="422"/>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十、其它</w:t>
      </w:r>
    </w:p>
    <w:p w14:paraId="7F2C040F">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1.在管理过程中，因下列事由所致的损害，乙方不负赔偿责任：</w:t>
      </w:r>
    </w:p>
    <w:p w14:paraId="2EB8A7BB">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1）天灾、地震等不可抗力的事由所致的伤害；</w:t>
      </w:r>
    </w:p>
    <w:p w14:paraId="7A80660B">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2）甲方自理的共用设施设备出现安全隐患等问题，乙方已书面建议，因甲方未受纳或未及时采取措施所致的伤害；</w:t>
      </w:r>
    </w:p>
    <w:p w14:paraId="78C5FDB2">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2.合同中项目的遗漏或不足，甲乙双方经协商后以协议方式进行补充。</w:t>
      </w:r>
    </w:p>
    <w:p w14:paraId="68DAED35">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3.服务期内，如遇重大工作调整，甲方有权对本合同做出调整或终止，甲方不因此承担任何责任或损失；</w:t>
      </w:r>
    </w:p>
    <w:p w14:paraId="7BB0AC21">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4.自本合同生效之日起日内，根据甲方委托管理事项，办理完交接验收手续。</w:t>
      </w:r>
    </w:p>
    <w:p w14:paraId="40E6863B">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5.本合同执行期间，如遇不可抗力，致使合同无法履行时，双方应按有关法律规定及时协商处理。</w:t>
      </w:r>
    </w:p>
    <w:p w14:paraId="79637007">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6.双方可对本合同的条款进行补充，若需增加服务内容、人数及服务费用，须以书面形式签订补充协议，补充协议与本合同具有同等效力。</w:t>
      </w:r>
    </w:p>
    <w:p w14:paraId="61054947">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7.本合同之附件均为合同有效组成部分。本合同及其附件和补充协议中未规定的事宜，均遵照中华人民共和国有关法律、法规和规章执行。</w:t>
      </w:r>
    </w:p>
    <w:p w14:paraId="29257305">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4.合同未尽事宜，须经双方协商做出补充规定，其与合同具有同等效力。</w:t>
      </w:r>
    </w:p>
    <w:p w14:paraId="3BEF1370">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5.下列文件属合同组成部分：招标文件，投标文件，补充文件。</w:t>
      </w:r>
    </w:p>
    <w:p w14:paraId="6C52FCEC">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6.下列文件属合同的附件：补充规定，补充合同。</w:t>
      </w:r>
    </w:p>
    <w:p w14:paraId="67879443">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7.本合同经双方签字盖章生效。</w:t>
      </w:r>
    </w:p>
    <w:p w14:paraId="58883D60">
      <w:pPr>
        <w:keepNext w:val="0"/>
        <w:keepLines w:val="0"/>
        <w:pageBreakBefore w:val="0"/>
        <w:kinsoku/>
        <w:wordWrap/>
        <w:overflowPunct/>
        <w:topLinePunct w:val="0"/>
        <w:autoSpaceDE/>
        <w:autoSpaceDN/>
        <w:bidi w:val="0"/>
        <w:adjustRightInd/>
        <w:snapToGrid/>
        <w:spacing w:line="460" w:lineRule="exact"/>
        <w:ind w:left="0" w:right="0"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本合同一式8份，甲方4份，乙方4份。</w:t>
      </w:r>
    </w:p>
    <w:p w14:paraId="10E108F6">
      <w:pPr>
        <w:keepNext w:val="0"/>
        <w:keepLines w:val="0"/>
        <w:pageBreakBefore w:val="0"/>
        <w:kinsoku/>
        <w:wordWrap/>
        <w:overflowPunct/>
        <w:topLinePunct w:val="0"/>
        <w:autoSpaceDE/>
        <w:autoSpaceDN/>
        <w:bidi w:val="0"/>
        <w:adjustRightInd/>
        <w:snapToGrid/>
        <w:spacing w:line="460" w:lineRule="exact"/>
        <w:ind w:left="0" w:right="0" w:firstLine="420"/>
        <w:jc w:val="left"/>
        <w:textAlignment w:val="auto"/>
        <w:rPr>
          <w:rFonts w:hint="default" w:ascii="Times New Roman" w:hAnsi="Times New Roman" w:eastAsia="宋体" w:cs="Times New Roman"/>
          <w:color w:val="auto"/>
          <w:sz w:val="24"/>
          <w:szCs w:val="24"/>
        </w:rPr>
      </w:pPr>
    </w:p>
    <w:p w14:paraId="2B83E51A">
      <w:pPr>
        <w:keepNext w:val="0"/>
        <w:keepLines w:val="0"/>
        <w:pageBreakBefore w:val="0"/>
        <w:kinsoku/>
        <w:wordWrap/>
        <w:overflowPunct/>
        <w:topLinePunct w:val="0"/>
        <w:autoSpaceDE/>
        <w:autoSpaceDN/>
        <w:bidi w:val="0"/>
        <w:adjustRightInd/>
        <w:snapToGrid/>
        <w:spacing w:line="460" w:lineRule="exact"/>
        <w:ind w:left="0" w:right="0" w:firstLine="42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甲方（盖章）：                    乙方（盖章）：</w:t>
      </w:r>
    </w:p>
    <w:p w14:paraId="58F08C6A">
      <w:pPr>
        <w:keepNext w:val="0"/>
        <w:keepLines w:val="0"/>
        <w:pageBreakBefore w:val="0"/>
        <w:kinsoku/>
        <w:wordWrap/>
        <w:overflowPunct/>
        <w:topLinePunct w:val="0"/>
        <w:autoSpaceDE/>
        <w:autoSpaceDN/>
        <w:bidi w:val="0"/>
        <w:adjustRightInd/>
        <w:snapToGrid/>
        <w:spacing w:line="460" w:lineRule="exact"/>
        <w:ind w:left="0" w:right="0" w:firstLine="42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委托代理人：                     委托代理人：</w:t>
      </w:r>
    </w:p>
    <w:p w14:paraId="75041272">
      <w:pPr>
        <w:pStyle w:val="50"/>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年   月   日                     年   月   日</w:t>
      </w:r>
    </w:p>
    <w:p w14:paraId="4F9A0E3A">
      <w:pPr>
        <w:pStyle w:val="17"/>
        <w:keepNext w:val="0"/>
        <w:keepLines w:val="0"/>
        <w:pageBreakBefore w:val="0"/>
        <w:kinsoku/>
        <w:wordWrap/>
        <w:overflowPunct/>
        <w:topLinePunct w:val="0"/>
        <w:autoSpaceDE/>
        <w:autoSpaceDN/>
        <w:bidi w:val="0"/>
        <w:adjustRightInd/>
        <w:snapToGrid/>
        <w:spacing w:line="460" w:lineRule="exact"/>
        <w:ind w:left="0" w:right="0"/>
        <w:textAlignment w:val="auto"/>
        <w:outlineLvl w:val="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br w:type="page"/>
      </w:r>
      <w:r>
        <w:rPr>
          <w:rFonts w:hint="default" w:ascii="Times New Roman" w:hAnsi="Times New Roman" w:eastAsia="宋体" w:cs="Times New Roman"/>
          <w:color w:val="auto"/>
          <w:spacing w:val="-16"/>
          <w:sz w:val="24"/>
          <w:szCs w:val="24"/>
        </w:rPr>
        <w:t>附件</w:t>
      </w:r>
      <w:r>
        <w:rPr>
          <w:rFonts w:hint="default" w:ascii="Times New Roman" w:hAnsi="Times New Roman" w:eastAsia="宋体" w:cs="Times New Roman"/>
          <w:color w:val="auto"/>
          <w:spacing w:val="20"/>
          <w:sz w:val="24"/>
          <w:szCs w:val="24"/>
          <w:lang w:eastAsia="zh-CN"/>
        </w:rPr>
        <w:t>1</w:t>
      </w:r>
      <w:r>
        <w:rPr>
          <w:rFonts w:hint="default" w:ascii="Times New Roman" w:hAnsi="Times New Roman" w:eastAsia="宋体" w:cs="Times New Roman"/>
          <w:color w:val="auto"/>
          <w:spacing w:val="-16"/>
          <w:sz w:val="24"/>
          <w:szCs w:val="24"/>
        </w:rPr>
        <w:t>：</w:t>
      </w:r>
    </w:p>
    <w:p w14:paraId="7EF29A2E">
      <w:pPr>
        <w:keepNext w:val="0"/>
        <w:keepLines w:val="0"/>
        <w:pageBreakBefore w:val="0"/>
        <w:kinsoku/>
        <w:wordWrap/>
        <w:overflowPunct/>
        <w:topLinePunct w:val="0"/>
        <w:autoSpaceDE/>
        <w:autoSpaceDN/>
        <w:bidi w:val="0"/>
        <w:adjustRightInd/>
        <w:snapToGrid/>
        <w:spacing w:line="460" w:lineRule="exact"/>
        <w:ind w:left="0" w:leftChars="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pacing w:val="9"/>
          <w:sz w:val="24"/>
          <w:szCs w:val="24"/>
        </w:rPr>
        <w:t>河南工业和信息化职业学院卫生保洁及劳务派遣</w:t>
      </w:r>
      <w:r>
        <w:rPr>
          <w:rFonts w:hint="default" w:ascii="Times New Roman" w:hAnsi="Times New Roman" w:eastAsia="宋体" w:cs="Times New Roman"/>
          <w:b/>
          <w:bCs/>
          <w:color w:val="auto"/>
          <w:spacing w:val="10"/>
          <w:sz w:val="24"/>
          <w:szCs w:val="24"/>
        </w:rPr>
        <w:t>物业服务监督考核测评体系（试行）</w:t>
      </w:r>
    </w:p>
    <w:p w14:paraId="722DF53F">
      <w:pPr>
        <w:pStyle w:val="17"/>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0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pacing w:val="5"/>
          <w:sz w:val="24"/>
          <w:szCs w:val="24"/>
        </w:rPr>
        <w:t>1.如违反国家有关法律法规及地方政府颁布的相关规定，经查</w:t>
      </w:r>
      <w:r>
        <w:rPr>
          <w:rFonts w:hint="default" w:ascii="Times New Roman" w:hAnsi="Times New Roman" w:eastAsia="宋体" w:cs="Times New Roman"/>
          <w:b w:val="0"/>
          <w:bCs w:val="0"/>
          <w:color w:val="auto"/>
          <w:spacing w:val="-3"/>
          <w:sz w:val="24"/>
          <w:szCs w:val="24"/>
        </w:rPr>
        <w:t>证属实的，扣35</w:t>
      </w:r>
      <w:r>
        <w:rPr>
          <w:rFonts w:hint="default" w:ascii="Times New Roman" w:hAnsi="Times New Roman" w:eastAsia="宋体" w:cs="Times New Roman"/>
          <w:b w:val="0"/>
          <w:bCs w:val="0"/>
          <w:color w:val="auto"/>
          <w:spacing w:val="-27"/>
          <w:sz w:val="24"/>
          <w:szCs w:val="24"/>
        </w:rPr>
        <w:t xml:space="preserve"> </w:t>
      </w:r>
      <w:r>
        <w:rPr>
          <w:rFonts w:hint="default" w:ascii="Times New Roman" w:hAnsi="Times New Roman" w:eastAsia="宋体" w:cs="Times New Roman"/>
          <w:b w:val="0"/>
          <w:bCs w:val="0"/>
          <w:color w:val="auto"/>
          <w:spacing w:val="-3"/>
          <w:sz w:val="24"/>
          <w:szCs w:val="24"/>
        </w:rPr>
        <w:t>分，采购人有权根据依据合同并据具体情况要求</w:t>
      </w:r>
      <w:r>
        <w:rPr>
          <w:rFonts w:hint="default" w:ascii="Times New Roman" w:hAnsi="Times New Roman" w:eastAsia="宋体" w:cs="Times New Roman"/>
          <w:b w:val="0"/>
          <w:bCs w:val="0"/>
          <w:color w:val="auto"/>
          <w:spacing w:val="-3"/>
          <w:sz w:val="24"/>
          <w:szCs w:val="24"/>
          <w:lang w:eastAsia="zh-CN"/>
        </w:rPr>
        <w:t>中标人</w:t>
      </w:r>
      <w:r>
        <w:rPr>
          <w:rFonts w:hint="default" w:ascii="Times New Roman" w:hAnsi="Times New Roman" w:eastAsia="宋体" w:cs="Times New Roman"/>
          <w:b w:val="0"/>
          <w:bCs w:val="0"/>
          <w:color w:val="auto"/>
          <w:spacing w:val="-1"/>
          <w:sz w:val="24"/>
          <w:szCs w:val="24"/>
        </w:rPr>
        <w:t>进行赔偿，直至终止合同。</w:t>
      </w:r>
    </w:p>
    <w:p w14:paraId="444EA65F">
      <w:pPr>
        <w:pStyle w:val="17"/>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4"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pacing w:val="1"/>
          <w:sz w:val="24"/>
          <w:szCs w:val="24"/>
        </w:rPr>
        <w:t>2.师生投诉的事项，经查证属实的，按有关规</w:t>
      </w:r>
      <w:r>
        <w:rPr>
          <w:rFonts w:hint="default" w:ascii="Times New Roman" w:hAnsi="Times New Roman" w:eastAsia="宋体" w:cs="Times New Roman"/>
          <w:b w:val="0"/>
          <w:bCs w:val="0"/>
          <w:color w:val="auto"/>
          <w:sz w:val="24"/>
          <w:szCs w:val="24"/>
        </w:rPr>
        <w:t>定扣200元并扣</w:t>
      </w:r>
      <w:r>
        <w:rPr>
          <w:rFonts w:hint="default" w:ascii="Times New Roman" w:hAnsi="Times New Roman" w:eastAsia="宋体" w:cs="Times New Roman"/>
          <w:b w:val="0"/>
          <w:bCs w:val="0"/>
          <w:color w:val="auto"/>
          <w:spacing w:val="-14"/>
          <w:sz w:val="24"/>
          <w:szCs w:val="24"/>
        </w:rPr>
        <w:t>2</w:t>
      </w:r>
      <w:r>
        <w:rPr>
          <w:rFonts w:hint="default" w:ascii="Times New Roman" w:hAnsi="Times New Roman" w:eastAsia="宋体" w:cs="Times New Roman"/>
          <w:b w:val="0"/>
          <w:bCs w:val="0"/>
          <w:color w:val="auto"/>
          <w:spacing w:val="-51"/>
          <w:sz w:val="24"/>
          <w:szCs w:val="24"/>
        </w:rPr>
        <w:t xml:space="preserve"> </w:t>
      </w:r>
      <w:r>
        <w:rPr>
          <w:rFonts w:hint="default" w:ascii="Times New Roman" w:hAnsi="Times New Roman" w:eastAsia="宋体" w:cs="Times New Roman"/>
          <w:b w:val="0"/>
          <w:bCs w:val="0"/>
          <w:color w:val="auto"/>
          <w:spacing w:val="-14"/>
          <w:sz w:val="24"/>
          <w:szCs w:val="24"/>
        </w:rPr>
        <w:t>分。</w:t>
      </w:r>
    </w:p>
    <w:tbl>
      <w:tblPr>
        <w:tblStyle w:val="241"/>
        <w:tblW w:w="87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5"/>
        <w:gridCol w:w="8223"/>
      </w:tblGrid>
      <w:tr w14:paraId="0FFF8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525" w:type="dxa"/>
            <w:noWrap w:val="0"/>
            <w:vAlign w:val="top"/>
          </w:tcPr>
          <w:p w14:paraId="43EFBC5C">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tc>
        <w:tc>
          <w:tcPr>
            <w:tcW w:w="8223" w:type="dxa"/>
            <w:noWrap w:val="0"/>
            <w:vAlign w:val="top"/>
          </w:tcPr>
          <w:p w14:paraId="712F2561">
            <w:pPr>
              <w:keepNext w:val="0"/>
              <w:keepLines w:val="0"/>
              <w:pageBreakBefore w:val="0"/>
              <w:widowControl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测评内容</w:t>
            </w:r>
          </w:p>
        </w:tc>
      </w:tr>
      <w:tr w14:paraId="66FCA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8" w:hRule="atLeast"/>
        </w:trPr>
        <w:tc>
          <w:tcPr>
            <w:tcW w:w="525" w:type="dxa"/>
            <w:vMerge w:val="restart"/>
            <w:noWrap w:val="0"/>
            <w:vAlign w:val="top"/>
          </w:tcPr>
          <w:p w14:paraId="37529156">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p w14:paraId="4B60AE4B">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p w14:paraId="309E25BA">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p w14:paraId="793B2BBA">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p w14:paraId="4E23DFB7">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p w14:paraId="75D72721">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p w14:paraId="7F001817">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p w14:paraId="5DA4D857">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p w14:paraId="4E879231">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p w14:paraId="017424F7">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p w14:paraId="1394027D">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p w14:paraId="2F7E4E32">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p w14:paraId="60312AEA">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宿</w:t>
            </w:r>
          </w:p>
          <w:p w14:paraId="40B7494E">
            <w:pPr>
              <w:keepNext w:val="0"/>
              <w:keepLines w:val="0"/>
              <w:pageBreakBefore w:val="0"/>
              <w:widowControl w:val="0"/>
              <w:kinsoku/>
              <w:wordWrap/>
              <w:overflowPunct/>
              <w:topLinePunct w:val="0"/>
              <w:autoSpaceDE/>
              <w:autoSpaceDN/>
              <w:bidi w:val="0"/>
              <w:adjustRightInd/>
              <w:snapToGrid/>
              <w:spacing w:line="460" w:lineRule="exact"/>
              <w:ind w:left="0" w:right="0" w:firstLine="5"/>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pacing w:val="-7"/>
                <w:w w:val="97"/>
                <w:sz w:val="24"/>
                <w:szCs w:val="24"/>
              </w:rPr>
              <w:t>管</w:t>
            </w:r>
            <w:r>
              <w:rPr>
                <w:rFonts w:hint="default" w:ascii="Times New Roman" w:hAnsi="Times New Roman" w:eastAsia="宋体" w:cs="Times New Roman"/>
                <w:b w:val="0"/>
                <w:bCs w:val="0"/>
                <w:color w:val="auto"/>
                <w:spacing w:val="-4"/>
                <w:sz w:val="24"/>
                <w:szCs w:val="24"/>
              </w:rPr>
              <w:t>40</w:t>
            </w:r>
            <w:r>
              <w:rPr>
                <w:rFonts w:hint="default" w:ascii="Times New Roman" w:hAnsi="Times New Roman" w:eastAsia="宋体" w:cs="Times New Roman"/>
                <w:b w:val="0"/>
                <w:bCs w:val="0"/>
                <w:color w:val="auto"/>
                <w:spacing w:val="-3"/>
                <w:w w:val="97"/>
                <w:sz w:val="24"/>
                <w:szCs w:val="24"/>
              </w:rPr>
              <w:t>分</w:t>
            </w:r>
          </w:p>
        </w:tc>
        <w:tc>
          <w:tcPr>
            <w:tcW w:w="8223" w:type="dxa"/>
            <w:noWrap w:val="0"/>
            <w:vAlign w:val="top"/>
          </w:tcPr>
          <w:p w14:paraId="717FA584">
            <w:pPr>
              <w:keepNext w:val="0"/>
              <w:keepLines w:val="0"/>
              <w:pageBreakBefore w:val="0"/>
              <w:widowControl w:val="0"/>
              <w:kinsoku/>
              <w:wordWrap/>
              <w:overflowPunct/>
              <w:topLinePunct w:val="0"/>
              <w:autoSpaceDE/>
              <w:autoSpaceDN/>
              <w:bidi w:val="0"/>
              <w:adjustRightInd/>
              <w:snapToGrid/>
              <w:spacing w:line="460" w:lineRule="exact"/>
              <w:ind w:left="0" w:right="0" w:hanging="3"/>
              <w:jc w:val="both"/>
              <w:textAlignment w:val="auto"/>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所有人员配备到位，人数达不到合同要求的扣10分。工作期间着制服，坚守岗位。衣着不整，如穿短裤、背心等；行为不雅，如坐在桌子上、腿翘在桌上等，发现一例扣0.5分。</w:t>
            </w:r>
          </w:p>
        </w:tc>
      </w:tr>
      <w:tr w14:paraId="19C8F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6" w:hRule="atLeast"/>
        </w:trPr>
        <w:tc>
          <w:tcPr>
            <w:tcW w:w="525" w:type="dxa"/>
            <w:vMerge w:val="continue"/>
            <w:noWrap w:val="0"/>
            <w:vAlign w:val="top"/>
          </w:tcPr>
          <w:p w14:paraId="18BC483B">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tc>
        <w:tc>
          <w:tcPr>
            <w:tcW w:w="8223" w:type="dxa"/>
            <w:noWrap w:val="0"/>
            <w:vAlign w:val="top"/>
          </w:tcPr>
          <w:p w14:paraId="6940865E">
            <w:pPr>
              <w:keepNext w:val="0"/>
              <w:keepLines w:val="0"/>
              <w:pageBreakBefore w:val="0"/>
              <w:widowControl w:val="0"/>
              <w:kinsoku/>
              <w:wordWrap/>
              <w:overflowPunct/>
              <w:topLinePunct w:val="0"/>
              <w:autoSpaceDE/>
              <w:autoSpaceDN/>
              <w:bidi w:val="0"/>
              <w:adjustRightInd/>
              <w:snapToGrid/>
              <w:spacing w:line="460" w:lineRule="exact"/>
              <w:ind w:left="0" w:right="0" w:hanging="1"/>
              <w:jc w:val="both"/>
              <w:textAlignment w:val="auto"/>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服务态度要求做到文明礼貌、谈吐文雅。与其他工作人员、老师或学生发生争吵的发现一例扣2分，不听劝阻、态度极其恶劣，或有打架等冲突的扣10分，并建议清退相关责任人。</w:t>
            </w:r>
          </w:p>
        </w:tc>
      </w:tr>
      <w:tr w14:paraId="6C337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8" w:hRule="atLeast"/>
        </w:trPr>
        <w:tc>
          <w:tcPr>
            <w:tcW w:w="525" w:type="dxa"/>
            <w:vMerge w:val="continue"/>
            <w:noWrap w:val="0"/>
            <w:vAlign w:val="top"/>
          </w:tcPr>
          <w:p w14:paraId="6352551C">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tc>
        <w:tc>
          <w:tcPr>
            <w:tcW w:w="8223" w:type="dxa"/>
            <w:noWrap w:val="0"/>
            <w:vAlign w:val="top"/>
          </w:tcPr>
          <w:p w14:paraId="56A29C5A">
            <w:pPr>
              <w:keepNext w:val="0"/>
              <w:keepLines w:val="0"/>
              <w:pageBreakBefore w:val="0"/>
              <w:widowControl w:val="0"/>
              <w:kinsoku/>
              <w:wordWrap/>
              <w:overflowPunct/>
              <w:topLinePunct w:val="0"/>
              <w:autoSpaceDE/>
              <w:autoSpaceDN/>
              <w:bidi w:val="0"/>
              <w:adjustRightInd/>
              <w:snapToGrid/>
              <w:spacing w:line="460" w:lineRule="exact"/>
              <w:ind w:left="0" w:right="0" w:firstLine="17"/>
              <w:jc w:val="both"/>
              <w:textAlignment w:val="auto"/>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大件物品、电脑进出登记本、维修登记本、消防巡检记录本、辅导员进宿舍登记本等记录要规范填写，及时记录，无漏登、漏报情况。发现一例登记不实情况扣0.5分。</w:t>
            </w:r>
          </w:p>
        </w:tc>
      </w:tr>
      <w:tr w14:paraId="20F5F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525" w:type="dxa"/>
            <w:vMerge w:val="continue"/>
            <w:noWrap w:val="0"/>
            <w:vAlign w:val="top"/>
          </w:tcPr>
          <w:p w14:paraId="2F7A9FE0">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tc>
        <w:tc>
          <w:tcPr>
            <w:tcW w:w="8223" w:type="dxa"/>
            <w:noWrap w:val="0"/>
            <w:vAlign w:val="top"/>
          </w:tcPr>
          <w:p w14:paraId="4C49395B">
            <w:pPr>
              <w:keepNext w:val="0"/>
              <w:keepLines w:val="0"/>
              <w:pageBreakBefore w:val="0"/>
              <w:widowControl w:val="0"/>
              <w:kinsoku/>
              <w:wordWrap/>
              <w:overflowPunct/>
              <w:topLinePunct w:val="0"/>
              <w:autoSpaceDE/>
              <w:autoSpaceDN/>
              <w:bidi w:val="0"/>
              <w:adjustRightInd/>
              <w:snapToGrid/>
              <w:spacing w:line="460" w:lineRule="exact"/>
              <w:ind w:left="0" w:right="0" w:firstLine="11"/>
              <w:textAlignment w:val="auto"/>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上班期间如有睡觉、喝酒、打牌、看书、看报、乱写乱画、看电视、玩电脑、玩手机、绣十字绣等发现一例扣1分。</w:t>
            </w:r>
          </w:p>
        </w:tc>
      </w:tr>
      <w:tr w14:paraId="1F4FE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8" w:hRule="atLeast"/>
        </w:trPr>
        <w:tc>
          <w:tcPr>
            <w:tcW w:w="525" w:type="dxa"/>
            <w:vMerge w:val="continue"/>
            <w:noWrap w:val="0"/>
            <w:vAlign w:val="top"/>
          </w:tcPr>
          <w:p w14:paraId="47B670C2">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tc>
        <w:tc>
          <w:tcPr>
            <w:tcW w:w="8223" w:type="dxa"/>
            <w:noWrap w:val="0"/>
            <w:vAlign w:val="top"/>
          </w:tcPr>
          <w:p w14:paraId="79F3086A">
            <w:pPr>
              <w:keepNext w:val="0"/>
              <w:keepLines w:val="0"/>
              <w:pageBreakBefore w:val="0"/>
              <w:widowControl w:val="0"/>
              <w:kinsoku/>
              <w:wordWrap/>
              <w:overflowPunct/>
              <w:topLinePunct w:val="0"/>
              <w:autoSpaceDE/>
              <w:autoSpaceDN/>
              <w:bidi w:val="0"/>
              <w:adjustRightInd/>
              <w:snapToGrid/>
              <w:spacing w:line="460" w:lineRule="exact"/>
              <w:ind w:left="0" w:right="0" w:firstLine="7"/>
              <w:jc w:val="both"/>
              <w:textAlignment w:val="auto"/>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上班期间严格履责，责任到位。发现有小商贩进入学院及宿舍推销商品，张贴广告的；非本楼学生或他人进入不闻不问地发现一例扣1分，情节严重或造成投诉或其他结果的扣2分。</w:t>
            </w:r>
          </w:p>
        </w:tc>
      </w:tr>
      <w:tr w14:paraId="5D253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8" w:hRule="atLeast"/>
        </w:trPr>
        <w:tc>
          <w:tcPr>
            <w:tcW w:w="525" w:type="dxa"/>
            <w:vMerge w:val="continue"/>
            <w:noWrap w:val="0"/>
            <w:vAlign w:val="top"/>
          </w:tcPr>
          <w:p w14:paraId="0DB4BCB6">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tc>
        <w:tc>
          <w:tcPr>
            <w:tcW w:w="8223" w:type="dxa"/>
            <w:noWrap w:val="0"/>
            <w:vAlign w:val="top"/>
          </w:tcPr>
          <w:p w14:paraId="698FC477">
            <w:pPr>
              <w:keepNext w:val="0"/>
              <w:keepLines w:val="0"/>
              <w:pageBreakBefore w:val="0"/>
              <w:widowControl w:val="0"/>
              <w:kinsoku/>
              <w:wordWrap/>
              <w:overflowPunct/>
              <w:topLinePunct w:val="0"/>
              <w:autoSpaceDE/>
              <w:autoSpaceDN/>
              <w:bidi w:val="0"/>
              <w:adjustRightInd/>
              <w:snapToGrid/>
              <w:spacing w:line="460" w:lineRule="exact"/>
              <w:ind w:left="0" w:right="0" w:hanging="5"/>
              <w:jc w:val="both"/>
              <w:textAlignment w:val="auto"/>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管理服务人员24小时值班，编排管理服务人员24小时值班表，主管人员联系方式报学生公寓管理科，以备紧急事件联系，24小时值班不因双休与节假日而中断。发现有脱岗一例扣2分。</w:t>
            </w:r>
          </w:p>
        </w:tc>
      </w:tr>
      <w:tr w14:paraId="00E69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525" w:type="dxa"/>
            <w:vMerge w:val="continue"/>
            <w:noWrap w:val="0"/>
            <w:vAlign w:val="top"/>
          </w:tcPr>
          <w:p w14:paraId="5C77F031">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tc>
        <w:tc>
          <w:tcPr>
            <w:tcW w:w="8223" w:type="dxa"/>
            <w:noWrap w:val="0"/>
            <w:vAlign w:val="top"/>
          </w:tcPr>
          <w:p w14:paraId="4421F3B3">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宋体" w:cs="Times New Roman"/>
                <w:b w:val="0"/>
                <w:bCs w:val="0"/>
                <w:color w:val="auto"/>
                <w:spacing w:val="0"/>
                <w:sz w:val="24"/>
                <w:szCs w:val="24"/>
              </w:rPr>
              <w:t>未按规定时间开、锁楼门的；晚上封楼后不登记学生晚归或态度恶劣</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rPr>
              <w:t>拒绝开楼门、封楼后学生特殊情况（如就医等）延迟开楼门的发现一例扣3分。</w:t>
            </w:r>
          </w:p>
        </w:tc>
      </w:tr>
      <w:tr w14:paraId="10C99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525" w:type="dxa"/>
            <w:vMerge w:val="continue"/>
            <w:noWrap w:val="0"/>
            <w:vAlign w:val="top"/>
          </w:tcPr>
          <w:p w14:paraId="6BB83A7A">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tc>
        <w:tc>
          <w:tcPr>
            <w:tcW w:w="8223" w:type="dxa"/>
            <w:noWrap w:val="0"/>
            <w:vAlign w:val="top"/>
          </w:tcPr>
          <w:p w14:paraId="5A8AE65E">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hanging="1" w:firstLineChars="0"/>
              <w:textAlignment w:val="auto"/>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未经校方同意，私自允许外来人员或由本校、本公司人员带领的外来人员进楼参观或留宿的，发现一列扣3分。</w:t>
            </w:r>
          </w:p>
        </w:tc>
      </w:tr>
      <w:tr w14:paraId="73BE6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525" w:type="dxa"/>
            <w:vMerge w:val="continue"/>
            <w:noWrap w:val="0"/>
            <w:vAlign w:val="top"/>
          </w:tcPr>
          <w:p w14:paraId="333B8CEF">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tc>
        <w:tc>
          <w:tcPr>
            <w:tcW w:w="8223" w:type="dxa"/>
            <w:noWrap w:val="0"/>
            <w:vAlign w:val="top"/>
          </w:tcPr>
          <w:p w14:paraId="13372877">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hanging="3" w:firstLineChars="0"/>
              <w:jc w:val="both"/>
              <w:textAlignment w:val="auto"/>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严禁私自兜售商品和其他营利性行为，宿舍卫生检查过程中，发现学生宿舍内有出售商品行为不制止不及时上报，发现一例扣2分，物业公司员工私自兜售商品和其他营利性行为发现一例扣3分。</w:t>
            </w:r>
          </w:p>
        </w:tc>
      </w:tr>
      <w:tr w14:paraId="1F02C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525" w:type="dxa"/>
            <w:vMerge w:val="continue"/>
            <w:noWrap w:val="0"/>
            <w:vAlign w:val="top"/>
          </w:tcPr>
          <w:p w14:paraId="549F25B1">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tc>
        <w:tc>
          <w:tcPr>
            <w:tcW w:w="8223" w:type="dxa"/>
            <w:noWrap w:val="0"/>
            <w:vAlign w:val="top"/>
          </w:tcPr>
          <w:p w14:paraId="2334CEA7">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textAlignment w:val="auto"/>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私自挪用、侵占学校、学生个人或其他员工物品的，扣10分并予以赔偿并罚款，情节严重的建议清退。</w:t>
            </w:r>
          </w:p>
        </w:tc>
      </w:tr>
      <w:tr w14:paraId="7D210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525" w:type="dxa"/>
            <w:vMerge w:val="continue"/>
            <w:noWrap w:val="0"/>
            <w:vAlign w:val="top"/>
          </w:tcPr>
          <w:p w14:paraId="7ABF2720">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tc>
        <w:tc>
          <w:tcPr>
            <w:tcW w:w="8223" w:type="dxa"/>
            <w:noWrap w:val="0"/>
            <w:vAlign w:val="top"/>
          </w:tcPr>
          <w:p w14:paraId="55CA1FF3">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6" w:firstLineChars="0"/>
              <w:jc w:val="both"/>
              <w:textAlignment w:val="auto"/>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积极配合学校相关工作，定期更换宣传板报，有效制止学生在学校及公寓内吸烟、酗酒、打麻将、饲养宠物；做好安全巡查，严格按照《学生公寓卫生检查评比标准》进行卫生检查、打分，要求公平公正、按时张贴并统计成绩。如有弄虚作假、徇私舞弊、有失公平行为的发现一次扣1分。</w:t>
            </w:r>
          </w:p>
        </w:tc>
      </w:tr>
      <w:tr w14:paraId="6C60D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525" w:type="dxa"/>
            <w:vMerge w:val="continue"/>
            <w:noWrap w:val="0"/>
            <w:vAlign w:val="top"/>
          </w:tcPr>
          <w:p w14:paraId="679A15DE">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tc>
        <w:tc>
          <w:tcPr>
            <w:tcW w:w="8223" w:type="dxa"/>
            <w:noWrap w:val="0"/>
            <w:vAlign w:val="top"/>
          </w:tcPr>
          <w:p w14:paraId="6BDF1AE6">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hanging="16" w:firstLineChars="0"/>
              <w:textAlignment w:val="auto"/>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学校无特殊情况下值班室不得留宿其他亲属，值班期间不允许在工作 岗位带小孩、照顾亲属。发现一例给予警告并扣1分。</w:t>
            </w:r>
          </w:p>
        </w:tc>
      </w:tr>
      <w:tr w14:paraId="7F86C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525" w:type="dxa"/>
            <w:vMerge w:val="continue"/>
            <w:noWrap w:val="0"/>
            <w:vAlign w:val="top"/>
          </w:tcPr>
          <w:p w14:paraId="13A7C0C4">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tc>
        <w:tc>
          <w:tcPr>
            <w:tcW w:w="8223" w:type="dxa"/>
            <w:noWrap w:val="0"/>
            <w:vAlign w:val="top"/>
          </w:tcPr>
          <w:p w14:paraId="025997A6">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hanging="2" w:firstLineChars="0"/>
              <w:jc w:val="both"/>
              <w:textAlignment w:val="auto"/>
              <w:rPr>
                <w:rFonts w:hint="default" w:ascii="Times New Roman" w:hAnsi="Times New Roman" w:eastAsia="宋体" w:cs="Times New Roman"/>
                <w:b w:val="0"/>
                <w:bCs w:val="0"/>
                <w:color w:val="auto"/>
                <w:spacing w:val="0"/>
                <w:sz w:val="24"/>
                <w:szCs w:val="24"/>
                <w:lang w:val="en-US" w:eastAsia="zh-CN"/>
              </w:rPr>
            </w:pPr>
            <w:r>
              <w:rPr>
                <w:rFonts w:hint="default" w:ascii="Times New Roman" w:hAnsi="Times New Roman" w:eastAsia="宋体" w:cs="Times New Roman"/>
                <w:b w:val="0"/>
                <w:bCs w:val="0"/>
                <w:color w:val="auto"/>
                <w:spacing w:val="0"/>
                <w:sz w:val="24"/>
                <w:szCs w:val="24"/>
              </w:rPr>
              <w:t>及时发现和处理不安全隐患；做好消防安全第一责任人，应急状况第一责任人，紧急情况及时通报、发现问题第一时间到场处理。</w:t>
            </w:r>
            <w:r>
              <w:rPr>
                <w:rFonts w:hint="default" w:ascii="Times New Roman" w:hAnsi="Times New Roman" w:eastAsia="宋体" w:cs="Times New Roman"/>
                <w:b w:val="0"/>
                <w:bCs w:val="0"/>
                <w:color w:val="auto"/>
                <w:spacing w:val="0"/>
                <w:sz w:val="24"/>
                <w:szCs w:val="24"/>
                <w:lang w:val="en-US" w:eastAsia="zh-CN"/>
              </w:rPr>
              <w:t>未落实到位发现一例扣1分。</w:t>
            </w:r>
          </w:p>
        </w:tc>
      </w:tr>
      <w:tr w14:paraId="2F7FE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525" w:type="dxa"/>
            <w:vMerge w:val="continue"/>
            <w:tcBorders>
              <w:bottom w:val="single" w:color="auto" w:sz="4" w:space="0"/>
            </w:tcBorders>
            <w:noWrap w:val="0"/>
            <w:vAlign w:val="top"/>
          </w:tcPr>
          <w:p w14:paraId="6F3C8A62">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tc>
        <w:tc>
          <w:tcPr>
            <w:tcW w:w="8223" w:type="dxa"/>
            <w:tcBorders>
              <w:bottom w:val="single" w:color="auto" w:sz="4" w:space="0"/>
            </w:tcBorders>
            <w:noWrap w:val="0"/>
            <w:vAlign w:val="top"/>
          </w:tcPr>
          <w:p w14:paraId="4BC6950D">
            <w:pPr>
              <w:keepNext w:val="0"/>
              <w:keepLines w:val="0"/>
              <w:pageBreakBefore w:val="0"/>
              <w:widowControl w:val="0"/>
              <w:kinsoku/>
              <w:wordWrap/>
              <w:overflowPunct/>
              <w:topLinePunct w:val="0"/>
              <w:autoSpaceDE/>
              <w:autoSpaceDN/>
              <w:bidi w:val="0"/>
              <w:adjustRightInd/>
              <w:snapToGrid/>
              <w:spacing w:line="460" w:lineRule="exact"/>
              <w:ind w:left="0" w:leftChars="0" w:right="0"/>
              <w:textAlignment w:val="auto"/>
              <w:rPr>
                <w:rFonts w:hint="default" w:ascii="Times New Roman" w:hAnsi="Times New Roman" w:eastAsia="宋体" w:cs="Times New Roman"/>
                <w:b w:val="0"/>
                <w:bCs w:val="0"/>
                <w:color w:val="auto"/>
                <w:spacing w:val="0"/>
                <w:sz w:val="24"/>
                <w:szCs w:val="24"/>
                <w:lang w:val="en-US" w:eastAsia="zh-CN"/>
              </w:rPr>
            </w:pPr>
            <w:r>
              <w:rPr>
                <w:rFonts w:hint="default" w:ascii="Times New Roman" w:hAnsi="Times New Roman" w:eastAsia="宋体" w:cs="Times New Roman"/>
                <w:b w:val="0"/>
                <w:bCs w:val="0"/>
                <w:color w:val="auto"/>
                <w:spacing w:val="0"/>
                <w:sz w:val="24"/>
                <w:szCs w:val="24"/>
              </w:rPr>
              <w:t>接受师生投诉和求助，主动回答师生的询问。</w:t>
            </w:r>
            <w:r>
              <w:rPr>
                <w:rFonts w:hint="default" w:ascii="Times New Roman" w:hAnsi="Times New Roman" w:eastAsia="宋体" w:cs="Times New Roman"/>
                <w:b w:val="0"/>
                <w:bCs w:val="0"/>
                <w:color w:val="auto"/>
                <w:spacing w:val="0"/>
                <w:sz w:val="24"/>
                <w:szCs w:val="24"/>
                <w:lang w:val="en-US" w:eastAsia="zh-CN"/>
              </w:rPr>
              <w:t>发现不处理不理睬的一例扣</w:t>
            </w:r>
            <w:r>
              <w:rPr>
                <w:rFonts w:hint="default" w:ascii="Times New Roman" w:hAnsi="Times New Roman" w:eastAsia="宋体" w:cs="Times New Roman"/>
                <w:b w:val="0"/>
                <w:bCs w:val="0"/>
                <w:color w:val="auto"/>
                <w:spacing w:val="0"/>
                <w:sz w:val="24"/>
                <w:szCs w:val="24"/>
                <w:lang w:eastAsia="zh-CN"/>
              </w:rPr>
              <w:t>0.5</w:t>
            </w:r>
            <w:r>
              <w:rPr>
                <w:rFonts w:hint="default" w:ascii="Times New Roman" w:hAnsi="Times New Roman" w:eastAsia="宋体" w:cs="Times New Roman"/>
                <w:b w:val="0"/>
                <w:bCs w:val="0"/>
                <w:color w:val="auto"/>
                <w:spacing w:val="0"/>
                <w:sz w:val="24"/>
                <w:szCs w:val="24"/>
              </w:rPr>
              <w:t>分。</w:t>
            </w:r>
          </w:p>
        </w:tc>
      </w:tr>
      <w:tr w14:paraId="6018D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525" w:type="dxa"/>
            <w:vMerge w:val="restart"/>
            <w:tcBorders>
              <w:top w:val="single" w:color="auto" w:sz="4" w:space="0"/>
              <w:left w:val="single" w:color="auto" w:sz="4" w:space="0"/>
            </w:tcBorders>
            <w:noWrap w:val="0"/>
            <w:vAlign w:val="center"/>
          </w:tcPr>
          <w:p w14:paraId="07539AA6">
            <w:pPr>
              <w:keepNext w:val="0"/>
              <w:keepLines w:val="0"/>
              <w:pageBreakBefore w:val="0"/>
              <w:widowControl w:val="0"/>
              <w:kinsoku/>
              <w:wordWrap/>
              <w:overflowPunct/>
              <w:topLinePunct w:val="0"/>
              <w:autoSpaceDE/>
              <w:autoSpaceDN/>
              <w:bidi w:val="0"/>
              <w:adjustRightInd/>
              <w:snapToGrid/>
              <w:spacing w:line="460" w:lineRule="exact"/>
              <w:ind w:left="0" w:leftChars="0" w:right="0"/>
              <w:jc w:val="center"/>
              <w:textAlignment w:val="auto"/>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保</w:t>
            </w:r>
          </w:p>
          <w:p w14:paraId="723CE549">
            <w:pPr>
              <w:keepNext w:val="0"/>
              <w:keepLines w:val="0"/>
              <w:pageBreakBefore w:val="0"/>
              <w:widowControl w:val="0"/>
              <w:kinsoku/>
              <w:wordWrap/>
              <w:overflowPunct/>
              <w:topLinePunct w:val="0"/>
              <w:autoSpaceDE/>
              <w:autoSpaceDN/>
              <w:bidi w:val="0"/>
              <w:adjustRightInd/>
              <w:snapToGrid/>
              <w:spacing w:line="460" w:lineRule="exact"/>
              <w:ind w:left="0" w:leftChars="0" w:right="0"/>
              <w:jc w:val="center"/>
              <w:textAlignment w:val="auto"/>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洁60</w:t>
            </w:r>
          </w:p>
          <w:p w14:paraId="1D4321CE">
            <w:pPr>
              <w:keepNext w:val="0"/>
              <w:keepLines w:val="0"/>
              <w:pageBreakBefore w:val="0"/>
              <w:widowControl w:val="0"/>
              <w:kinsoku/>
              <w:wordWrap/>
              <w:overflowPunct/>
              <w:topLinePunct w:val="0"/>
              <w:autoSpaceDE/>
              <w:autoSpaceDN/>
              <w:bidi w:val="0"/>
              <w:adjustRightInd/>
              <w:snapToGrid/>
              <w:spacing w:line="460" w:lineRule="exact"/>
              <w:ind w:left="0" w:right="0"/>
              <w:jc w:val="center"/>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pacing w:val="0"/>
                <w:sz w:val="24"/>
                <w:szCs w:val="24"/>
              </w:rPr>
              <w:t>分</w:t>
            </w:r>
          </w:p>
        </w:tc>
        <w:tc>
          <w:tcPr>
            <w:tcW w:w="8223" w:type="dxa"/>
            <w:tcBorders>
              <w:top w:val="single" w:color="auto" w:sz="4" w:space="0"/>
              <w:right w:val="single" w:color="auto" w:sz="4" w:space="0"/>
            </w:tcBorders>
            <w:noWrap w:val="0"/>
            <w:vAlign w:val="top"/>
          </w:tcPr>
          <w:p w14:paraId="1750DD1B">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textAlignment w:val="auto"/>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每天公共区域（包括公共卫生间）地面上下午各拖一遍，不因双休、节假日而中断。没按要求完成的，发现一例扣</w:t>
            </w:r>
            <w:r>
              <w:rPr>
                <w:rFonts w:hint="default" w:ascii="Times New Roman" w:hAnsi="Times New Roman" w:eastAsia="宋体" w:cs="Times New Roman"/>
                <w:b w:val="0"/>
                <w:bCs w:val="0"/>
                <w:color w:val="auto"/>
                <w:spacing w:val="0"/>
                <w:sz w:val="24"/>
                <w:szCs w:val="24"/>
                <w:lang w:eastAsia="zh-CN"/>
              </w:rPr>
              <w:t>1</w:t>
            </w:r>
            <w:r>
              <w:rPr>
                <w:rFonts w:hint="default" w:ascii="Times New Roman" w:hAnsi="Times New Roman" w:eastAsia="宋体" w:cs="Times New Roman"/>
                <w:b w:val="0"/>
                <w:bCs w:val="0"/>
                <w:color w:val="auto"/>
                <w:spacing w:val="0"/>
                <w:sz w:val="24"/>
                <w:szCs w:val="24"/>
              </w:rPr>
              <w:t>分。</w:t>
            </w:r>
          </w:p>
        </w:tc>
      </w:tr>
      <w:tr w14:paraId="3737A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525" w:type="dxa"/>
            <w:vMerge w:val="continue"/>
            <w:tcBorders>
              <w:left w:val="single" w:color="auto" w:sz="4" w:space="0"/>
            </w:tcBorders>
            <w:noWrap w:val="0"/>
            <w:vAlign w:val="top"/>
          </w:tcPr>
          <w:p w14:paraId="594C6D87">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tc>
        <w:tc>
          <w:tcPr>
            <w:tcW w:w="8223" w:type="dxa"/>
            <w:tcBorders>
              <w:right w:val="single" w:color="auto" w:sz="4" w:space="0"/>
            </w:tcBorders>
            <w:noWrap w:val="0"/>
            <w:vAlign w:val="top"/>
          </w:tcPr>
          <w:p w14:paraId="50F6BB6F">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textAlignment w:val="auto"/>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地面干净无污渍、垃圾、痰渍、烟蒂、无积水。发现一例扣</w:t>
            </w:r>
            <w:r>
              <w:rPr>
                <w:rFonts w:hint="default" w:ascii="Times New Roman" w:hAnsi="Times New Roman" w:eastAsia="宋体" w:cs="Times New Roman"/>
                <w:b w:val="0"/>
                <w:bCs w:val="0"/>
                <w:color w:val="auto"/>
                <w:spacing w:val="0"/>
                <w:sz w:val="24"/>
                <w:szCs w:val="24"/>
                <w:lang w:eastAsia="zh-CN"/>
              </w:rPr>
              <w:t>0.5</w:t>
            </w:r>
            <w:r>
              <w:rPr>
                <w:rFonts w:hint="default" w:ascii="Times New Roman" w:hAnsi="Times New Roman" w:eastAsia="宋体" w:cs="Times New Roman"/>
                <w:b w:val="0"/>
                <w:bCs w:val="0"/>
                <w:color w:val="auto"/>
                <w:spacing w:val="0"/>
                <w:sz w:val="24"/>
                <w:szCs w:val="24"/>
              </w:rPr>
              <w:t>分。</w:t>
            </w:r>
          </w:p>
        </w:tc>
      </w:tr>
      <w:tr w14:paraId="469BF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525" w:type="dxa"/>
            <w:vMerge w:val="continue"/>
            <w:tcBorders>
              <w:left w:val="single" w:color="auto" w:sz="4" w:space="0"/>
            </w:tcBorders>
            <w:noWrap w:val="0"/>
            <w:vAlign w:val="top"/>
          </w:tcPr>
          <w:p w14:paraId="64BFC754">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tc>
        <w:tc>
          <w:tcPr>
            <w:tcW w:w="8223" w:type="dxa"/>
            <w:tcBorders>
              <w:right w:val="single" w:color="auto" w:sz="4" w:space="0"/>
            </w:tcBorders>
            <w:noWrap w:val="0"/>
            <w:vAlign w:val="top"/>
          </w:tcPr>
          <w:p w14:paraId="16E70441">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textAlignment w:val="auto"/>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墙面、楼梯间、楼梯扶手干净无污渍、无蜘蛛网、无乱写乱画、小广 告、无废品堆积发现一例扣</w:t>
            </w:r>
            <w:r>
              <w:rPr>
                <w:rFonts w:hint="default" w:ascii="Times New Roman" w:hAnsi="Times New Roman" w:eastAsia="宋体" w:cs="Times New Roman"/>
                <w:b w:val="0"/>
                <w:bCs w:val="0"/>
                <w:color w:val="auto"/>
                <w:spacing w:val="0"/>
                <w:sz w:val="24"/>
                <w:szCs w:val="24"/>
                <w:lang w:eastAsia="zh-CN"/>
              </w:rPr>
              <w:t>0.5</w:t>
            </w:r>
            <w:r>
              <w:rPr>
                <w:rFonts w:hint="default" w:ascii="Times New Roman" w:hAnsi="Times New Roman" w:eastAsia="宋体" w:cs="Times New Roman"/>
                <w:b w:val="0"/>
                <w:bCs w:val="0"/>
                <w:color w:val="auto"/>
                <w:spacing w:val="0"/>
                <w:sz w:val="24"/>
                <w:szCs w:val="24"/>
              </w:rPr>
              <w:t>分。</w:t>
            </w:r>
          </w:p>
        </w:tc>
      </w:tr>
      <w:tr w14:paraId="43D76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525" w:type="dxa"/>
            <w:vMerge w:val="continue"/>
            <w:tcBorders>
              <w:left w:val="single" w:color="auto" w:sz="4" w:space="0"/>
            </w:tcBorders>
            <w:noWrap w:val="0"/>
            <w:vAlign w:val="top"/>
          </w:tcPr>
          <w:p w14:paraId="24BB7530">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tc>
        <w:tc>
          <w:tcPr>
            <w:tcW w:w="8223" w:type="dxa"/>
            <w:tcBorders>
              <w:right w:val="single" w:color="auto" w:sz="4" w:space="0"/>
            </w:tcBorders>
            <w:noWrap w:val="0"/>
            <w:vAlign w:val="top"/>
          </w:tcPr>
          <w:p w14:paraId="665CA30E">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textAlignment w:val="auto"/>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公共卫生间、洗手间、阳台无积水、干净无污渍、无臭味、无杂物、过滤箱无垃圾，公共平台无垃圾发现一例扣</w:t>
            </w:r>
            <w:r>
              <w:rPr>
                <w:rFonts w:hint="default" w:ascii="Times New Roman" w:hAnsi="Times New Roman" w:eastAsia="宋体" w:cs="Times New Roman"/>
                <w:b w:val="0"/>
                <w:bCs w:val="0"/>
                <w:color w:val="auto"/>
                <w:spacing w:val="0"/>
                <w:sz w:val="24"/>
                <w:szCs w:val="24"/>
                <w:lang w:eastAsia="zh-CN"/>
              </w:rPr>
              <w:t>0.5</w:t>
            </w:r>
            <w:r>
              <w:rPr>
                <w:rFonts w:hint="default" w:ascii="Times New Roman" w:hAnsi="Times New Roman" w:eastAsia="宋体" w:cs="Times New Roman"/>
                <w:b w:val="0"/>
                <w:bCs w:val="0"/>
                <w:color w:val="auto"/>
                <w:spacing w:val="0"/>
                <w:sz w:val="24"/>
                <w:szCs w:val="24"/>
              </w:rPr>
              <w:t>分。</w:t>
            </w:r>
          </w:p>
        </w:tc>
      </w:tr>
      <w:tr w14:paraId="40A56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525" w:type="dxa"/>
            <w:vMerge w:val="continue"/>
            <w:tcBorders>
              <w:left w:val="single" w:color="auto" w:sz="4" w:space="0"/>
            </w:tcBorders>
            <w:noWrap w:val="0"/>
            <w:vAlign w:val="top"/>
          </w:tcPr>
          <w:p w14:paraId="04EE2940">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tc>
        <w:tc>
          <w:tcPr>
            <w:tcW w:w="8223" w:type="dxa"/>
            <w:tcBorders>
              <w:right w:val="single" w:color="auto" w:sz="4" w:space="0"/>
            </w:tcBorders>
            <w:noWrap w:val="0"/>
            <w:vAlign w:val="top"/>
          </w:tcPr>
          <w:p w14:paraId="2B584F07">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textAlignment w:val="auto"/>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公共门、窗、玻璃、无污渍，保持光洁明亮，垃圾桶、泔水桶、消防箱保持清洁发现一例扣0.5分。</w:t>
            </w:r>
          </w:p>
        </w:tc>
      </w:tr>
      <w:tr w14:paraId="396BB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525" w:type="dxa"/>
            <w:vMerge w:val="continue"/>
            <w:tcBorders>
              <w:left w:val="single" w:color="auto" w:sz="4" w:space="0"/>
            </w:tcBorders>
            <w:noWrap w:val="0"/>
            <w:vAlign w:val="top"/>
          </w:tcPr>
          <w:p w14:paraId="10EF58DB">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tc>
        <w:tc>
          <w:tcPr>
            <w:tcW w:w="8223" w:type="dxa"/>
            <w:tcBorders>
              <w:right w:val="single" w:color="auto" w:sz="4" w:space="0"/>
            </w:tcBorders>
            <w:noWrap w:val="0"/>
            <w:vAlign w:val="top"/>
          </w:tcPr>
          <w:p w14:paraId="30751FB0">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textAlignment w:val="auto"/>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垃圾及时清运无积存、垃圾箱四周干净无垃圾。发现一例扣</w:t>
            </w:r>
            <w:r>
              <w:rPr>
                <w:rFonts w:hint="default" w:ascii="Times New Roman" w:hAnsi="Times New Roman" w:eastAsia="宋体" w:cs="Times New Roman"/>
                <w:b w:val="0"/>
                <w:bCs w:val="0"/>
                <w:color w:val="auto"/>
                <w:spacing w:val="0"/>
                <w:sz w:val="24"/>
                <w:szCs w:val="24"/>
                <w:lang w:eastAsia="zh-CN"/>
              </w:rPr>
              <w:t>2</w:t>
            </w:r>
            <w:r>
              <w:rPr>
                <w:rFonts w:hint="default" w:ascii="Times New Roman" w:hAnsi="Times New Roman" w:eastAsia="宋体" w:cs="Times New Roman"/>
                <w:b w:val="0"/>
                <w:bCs w:val="0"/>
                <w:color w:val="auto"/>
                <w:spacing w:val="0"/>
                <w:sz w:val="24"/>
                <w:szCs w:val="24"/>
              </w:rPr>
              <w:t>分。</w:t>
            </w:r>
          </w:p>
        </w:tc>
      </w:tr>
      <w:tr w14:paraId="7D2DF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525" w:type="dxa"/>
            <w:vMerge w:val="continue"/>
            <w:tcBorders>
              <w:left w:val="single" w:color="auto" w:sz="4" w:space="0"/>
            </w:tcBorders>
            <w:noWrap w:val="0"/>
            <w:vAlign w:val="top"/>
          </w:tcPr>
          <w:p w14:paraId="6E665C13">
            <w:pPr>
              <w:keepNext w:val="0"/>
              <w:keepLines w:val="0"/>
              <w:pageBreakBefore w:val="0"/>
              <w:widowControl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tc>
        <w:tc>
          <w:tcPr>
            <w:tcW w:w="8223" w:type="dxa"/>
            <w:tcBorders>
              <w:right w:val="single" w:color="auto" w:sz="4" w:space="0"/>
            </w:tcBorders>
            <w:noWrap w:val="0"/>
            <w:vAlign w:val="top"/>
          </w:tcPr>
          <w:p w14:paraId="299EFE38">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textAlignment w:val="auto"/>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小型维修当天报修，10分钟响应，当天完成，没按要求完成的发现一例扣</w:t>
            </w:r>
            <w:r>
              <w:rPr>
                <w:rFonts w:hint="default" w:ascii="Times New Roman" w:hAnsi="Times New Roman" w:eastAsia="宋体" w:cs="Times New Roman"/>
                <w:b w:val="0"/>
                <w:bCs w:val="0"/>
                <w:color w:val="auto"/>
                <w:spacing w:val="0"/>
                <w:sz w:val="24"/>
                <w:szCs w:val="24"/>
                <w:lang w:eastAsia="zh-CN"/>
              </w:rPr>
              <w:t>2</w:t>
            </w:r>
            <w:r>
              <w:rPr>
                <w:rFonts w:hint="default" w:ascii="Times New Roman" w:hAnsi="Times New Roman" w:eastAsia="宋体" w:cs="Times New Roman"/>
                <w:b w:val="0"/>
                <w:bCs w:val="0"/>
                <w:color w:val="auto"/>
                <w:spacing w:val="0"/>
                <w:sz w:val="24"/>
                <w:szCs w:val="24"/>
              </w:rPr>
              <w:t>分。</w:t>
            </w:r>
          </w:p>
        </w:tc>
      </w:tr>
      <w:tr w14:paraId="39C09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525" w:type="dxa"/>
            <w:vMerge w:val="continue"/>
            <w:tcBorders>
              <w:left w:val="single" w:color="auto" w:sz="4" w:space="0"/>
              <w:bottom w:val="single" w:color="auto" w:sz="4" w:space="0"/>
            </w:tcBorders>
            <w:noWrap w:val="0"/>
            <w:vAlign w:val="top"/>
          </w:tcPr>
          <w:p w14:paraId="636D15AE">
            <w:pPr>
              <w:keepNext w:val="0"/>
              <w:keepLines w:val="0"/>
              <w:pageBreakBefore w:val="0"/>
              <w:kinsoku/>
              <w:wordWrap/>
              <w:overflowPunct/>
              <w:topLinePunct w:val="0"/>
              <w:autoSpaceDE/>
              <w:autoSpaceDN/>
              <w:bidi w:val="0"/>
              <w:adjustRightInd/>
              <w:snapToGrid/>
              <w:spacing w:line="460" w:lineRule="exact"/>
              <w:ind w:left="0" w:right="0"/>
              <w:textAlignment w:val="auto"/>
              <w:rPr>
                <w:rFonts w:hint="default" w:ascii="Times New Roman" w:hAnsi="Times New Roman" w:eastAsia="宋体" w:cs="Times New Roman"/>
                <w:b w:val="0"/>
                <w:bCs w:val="0"/>
                <w:color w:val="auto"/>
                <w:sz w:val="24"/>
                <w:szCs w:val="24"/>
              </w:rPr>
            </w:pPr>
          </w:p>
        </w:tc>
        <w:tc>
          <w:tcPr>
            <w:tcW w:w="8223" w:type="dxa"/>
            <w:tcBorders>
              <w:bottom w:val="single" w:color="auto" w:sz="4" w:space="0"/>
              <w:right w:val="single" w:color="auto" w:sz="4" w:space="0"/>
            </w:tcBorders>
            <w:noWrap w:val="0"/>
            <w:vAlign w:val="top"/>
          </w:tcPr>
          <w:p w14:paraId="3B605562">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textAlignment w:val="auto"/>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大型维修要告知学生并积极抢修，如没有告知学生，维修拖沓发现一例扣3分。</w:t>
            </w:r>
          </w:p>
        </w:tc>
      </w:tr>
    </w:tbl>
    <w:p w14:paraId="522B4BB9">
      <w:pPr>
        <w:pStyle w:val="17"/>
        <w:keepNext w:val="0"/>
        <w:keepLines w:val="0"/>
        <w:pageBreakBefore w:val="0"/>
        <w:kinsoku/>
        <w:wordWrap/>
        <w:overflowPunct/>
        <w:topLinePunct w:val="0"/>
        <w:autoSpaceDE/>
        <w:autoSpaceDN/>
        <w:bidi w:val="0"/>
        <w:adjustRightInd/>
        <w:snapToGrid/>
        <w:spacing w:line="460" w:lineRule="exact"/>
        <w:ind w:left="0" w:right="0"/>
        <w:textAlignment w:val="auto"/>
        <w:outlineLvl w:val="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br w:type="page"/>
      </w:r>
      <w:r>
        <w:rPr>
          <w:rFonts w:hint="default" w:ascii="Times New Roman" w:hAnsi="Times New Roman" w:eastAsia="宋体" w:cs="Times New Roman"/>
          <w:color w:val="auto"/>
          <w:spacing w:val="-9"/>
          <w:sz w:val="24"/>
          <w:szCs w:val="24"/>
        </w:rPr>
        <w:t>附件</w:t>
      </w:r>
      <w:r>
        <w:rPr>
          <w:rFonts w:hint="default" w:ascii="Times New Roman" w:hAnsi="Times New Roman" w:eastAsia="宋体" w:cs="Times New Roman"/>
          <w:color w:val="auto"/>
          <w:spacing w:val="-9"/>
          <w:sz w:val="24"/>
          <w:szCs w:val="24"/>
          <w:lang w:eastAsia="zh-CN"/>
        </w:rPr>
        <w:t>2</w:t>
      </w:r>
      <w:r>
        <w:rPr>
          <w:rFonts w:hint="default" w:ascii="Times New Roman" w:hAnsi="Times New Roman" w:eastAsia="宋体" w:cs="Times New Roman"/>
          <w:color w:val="auto"/>
          <w:spacing w:val="-9"/>
          <w:sz w:val="24"/>
          <w:szCs w:val="24"/>
        </w:rPr>
        <w:t>：</w:t>
      </w:r>
    </w:p>
    <w:p w14:paraId="47E7017D">
      <w:pPr>
        <w:keepNext w:val="0"/>
        <w:keepLines w:val="0"/>
        <w:pageBreakBefore w:val="0"/>
        <w:kinsoku/>
        <w:wordWrap/>
        <w:overflowPunct/>
        <w:topLinePunct w:val="0"/>
        <w:autoSpaceDE/>
        <w:autoSpaceDN/>
        <w:bidi w:val="0"/>
        <w:adjustRightInd/>
        <w:snapToGrid/>
        <w:spacing w:line="460" w:lineRule="exact"/>
        <w:ind w:left="0" w:leftChars="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pacing w:val="9"/>
          <w:sz w:val="24"/>
          <w:szCs w:val="24"/>
          <w:lang w:eastAsia="zh-CN"/>
        </w:rPr>
        <w:t>河南工业和信息化职业学院物业服务项目</w:t>
      </w:r>
      <w:r>
        <w:rPr>
          <w:rFonts w:hint="default" w:ascii="Times New Roman" w:hAnsi="Times New Roman" w:eastAsia="宋体" w:cs="Times New Roman"/>
          <w:b/>
          <w:bCs/>
          <w:color w:val="auto"/>
          <w:spacing w:val="9"/>
          <w:sz w:val="24"/>
          <w:szCs w:val="24"/>
        </w:rPr>
        <w:t>监督考核办</w:t>
      </w:r>
      <w:r>
        <w:rPr>
          <w:rFonts w:hint="default" w:ascii="Times New Roman" w:hAnsi="Times New Roman" w:eastAsia="宋体" w:cs="Times New Roman"/>
          <w:b/>
          <w:bCs/>
          <w:color w:val="auto"/>
          <w:sz w:val="24"/>
          <w:szCs w:val="24"/>
        </w:rPr>
        <w:t>法</w:t>
      </w:r>
    </w:p>
    <w:p w14:paraId="1AA3024F">
      <w:pPr>
        <w:keepNext w:val="0"/>
        <w:keepLines w:val="0"/>
        <w:pageBreakBefore w:val="0"/>
        <w:widowControl w:val="0"/>
        <w:kinsoku/>
        <w:wordWrap/>
        <w:overflowPunct/>
        <w:topLinePunct w:val="0"/>
        <w:autoSpaceDE/>
        <w:autoSpaceDN/>
        <w:bidi w:val="0"/>
        <w:adjustRightInd/>
        <w:snapToGrid/>
        <w:spacing w:line="460" w:lineRule="exact"/>
        <w:ind w:left="0" w:right="0" w:firstLine="504" w:firstLineChars="20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pacing w:val="6"/>
          <w:sz w:val="24"/>
          <w:szCs w:val="24"/>
        </w:rPr>
        <w:t>为提高物业管理的服务质量和工作效率，使物业管理的</w:t>
      </w:r>
      <w:r>
        <w:rPr>
          <w:rFonts w:hint="default" w:ascii="Times New Roman" w:hAnsi="Times New Roman" w:eastAsia="宋体" w:cs="Times New Roman"/>
          <w:b w:val="0"/>
          <w:bCs w:val="0"/>
          <w:color w:val="auto"/>
          <w:spacing w:val="5"/>
          <w:sz w:val="24"/>
          <w:szCs w:val="24"/>
        </w:rPr>
        <w:t>工作制</w:t>
      </w:r>
      <w:r>
        <w:rPr>
          <w:rFonts w:hint="default" w:ascii="Times New Roman" w:hAnsi="Times New Roman" w:eastAsia="宋体" w:cs="Times New Roman"/>
          <w:b w:val="0"/>
          <w:bCs w:val="0"/>
          <w:color w:val="auto"/>
          <w:spacing w:val="6"/>
          <w:sz w:val="24"/>
          <w:szCs w:val="24"/>
        </w:rPr>
        <w:t>度化、规范化、科学化，促使物业管理企业按照物管要求</w:t>
      </w:r>
      <w:r>
        <w:rPr>
          <w:rFonts w:hint="default" w:ascii="Times New Roman" w:hAnsi="Times New Roman" w:eastAsia="宋体" w:cs="Times New Roman"/>
          <w:b w:val="0"/>
          <w:bCs w:val="0"/>
          <w:color w:val="auto"/>
          <w:spacing w:val="5"/>
          <w:sz w:val="24"/>
          <w:szCs w:val="24"/>
        </w:rPr>
        <w:t>切实履行</w:t>
      </w:r>
      <w:r>
        <w:rPr>
          <w:rFonts w:hint="default" w:ascii="Times New Roman" w:hAnsi="Times New Roman" w:eastAsia="宋体" w:cs="Times New Roman"/>
          <w:b w:val="0"/>
          <w:bCs w:val="0"/>
          <w:color w:val="auto"/>
          <w:spacing w:val="6"/>
          <w:sz w:val="24"/>
          <w:szCs w:val="24"/>
        </w:rPr>
        <w:t>物业合同和落实管理措施，为师生提供更优质和完善的服</w:t>
      </w:r>
      <w:r>
        <w:rPr>
          <w:rFonts w:hint="default" w:ascii="Times New Roman" w:hAnsi="Times New Roman" w:eastAsia="宋体" w:cs="Times New Roman"/>
          <w:b w:val="0"/>
          <w:bCs w:val="0"/>
          <w:color w:val="auto"/>
          <w:spacing w:val="5"/>
          <w:sz w:val="24"/>
          <w:szCs w:val="24"/>
        </w:rPr>
        <w:t>务，特制</w:t>
      </w:r>
      <w:r>
        <w:rPr>
          <w:rFonts w:hint="default" w:ascii="Times New Roman" w:hAnsi="Times New Roman" w:eastAsia="宋体" w:cs="Times New Roman"/>
          <w:b w:val="0"/>
          <w:bCs w:val="0"/>
          <w:color w:val="auto"/>
          <w:spacing w:val="-4"/>
          <w:sz w:val="24"/>
          <w:szCs w:val="24"/>
        </w:rPr>
        <w:t>订物业监督考核办法。</w:t>
      </w:r>
    </w:p>
    <w:p w14:paraId="19FD5ED8">
      <w:pPr>
        <w:keepNext w:val="0"/>
        <w:keepLines w:val="0"/>
        <w:pageBreakBefore w:val="0"/>
        <w:widowControl w:val="0"/>
        <w:kinsoku/>
        <w:wordWrap/>
        <w:overflowPunct/>
        <w:topLinePunct w:val="0"/>
        <w:autoSpaceDE/>
        <w:autoSpaceDN/>
        <w:bidi w:val="0"/>
        <w:adjustRightInd/>
        <w:snapToGrid/>
        <w:spacing w:line="460" w:lineRule="exact"/>
        <w:ind w:left="0" w:right="0" w:firstLine="44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pacing w:val="-10"/>
          <w:sz w:val="24"/>
          <w:szCs w:val="24"/>
        </w:rPr>
        <w:t>一、考核目的</w:t>
      </w:r>
    </w:p>
    <w:p w14:paraId="7DE5DFD3">
      <w:pPr>
        <w:keepNext w:val="0"/>
        <w:keepLines w:val="0"/>
        <w:pageBreakBefore w:val="0"/>
        <w:widowControl w:val="0"/>
        <w:kinsoku/>
        <w:wordWrap/>
        <w:overflowPunct/>
        <w:topLinePunct w:val="0"/>
        <w:autoSpaceDE/>
        <w:autoSpaceDN/>
        <w:bidi w:val="0"/>
        <w:adjustRightInd/>
        <w:snapToGrid/>
        <w:spacing w:line="460" w:lineRule="exact"/>
        <w:ind w:left="0" w:right="0" w:firstLine="476"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pacing w:val="-1"/>
          <w:sz w:val="24"/>
          <w:szCs w:val="24"/>
        </w:rPr>
        <w:t>提高工作效率、提高服务水平、提高服务质量。</w:t>
      </w:r>
    </w:p>
    <w:p w14:paraId="66C3B7C4">
      <w:pPr>
        <w:keepNext w:val="0"/>
        <w:keepLines w:val="0"/>
        <w:pageBreakBefore w:val="0"/>
        <w:widowControl w:val="0"/>
        <w:kinsoku/>
        <w:wordWrap/>
        <w:overflowPunct/>
        <w:topLinePunct w:val="0"/>
        <w:autoSpaceDE/>
        <w:autoSpaceDN/>
        <w:bidi w:val="0"/>
        <w:adjustRightInd/>
        <w:snapToGrid/>
        <w:spacing w:line="460" w:lineRule="exact"/>
        <w:ind w:left="0" w:right="0" w:firstLine="46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pacing w:val="-5"/>
          <w:sz w:val="24"/>
          <w:szCs w:val="24"/>
        </w:rPr>
        <w:t>二、考核原则</w:t>
      </w:r>
    </w:p>
    <w:p w14:paraId="26BD5463">
      <w:pPr>
        <w:keepNext w:val="0"/>
        <w:keepLines w:val="0"/>
        <w:pageBreakBefore w:val="0"/>
        <w:widowControl w:val="0"/>
        <w:kinsoku/>
        <w:wordWrap/>
        <w:overflowPunct/>
        <w:topLinePunct w:val="0"/>
        <w:autoSpaceDE/>
        <w:autoSpaceDN/>
        <w:bidi w:val="0"/>
        <w:adjustRightInd/>
        <w:snapToGrid/>
        <w:spacing w:line="460" w:lineRule="exact"/>
        <w:ind w:left="0" w:right="0" w:firstLine="504" w:firstLineChars="20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pacing w:val="6"/>
          <w:sz w:val="24"/>
          <w:szCs w:val="24"/>
        </w:rPr>
        <w:t>坚持物业服务企业自行监督为主、学校监督检查为辅；坚持公平、公正、公开的原则；坚持优质、高效、</w:t>
      </w:r>
      <w:r>
        <w:rPr>
          <w:rFonts w:hint="default" w:ascii="Times New Roman" w:hAnsi="Times New Roman" w:eastAsia="宋体" w:cs="Times New Roman"/>
          <w:b w:val="0"/>
          <w:bCs w:val="0"/>
          <w:color w:val="auto"/>
          <w:spacing w:val="5"/>
          <w:sz w:val="24"/>
          <w:szCs w:val="24"/>
        </w:rPr>
        <w:t>全面的原则；平时检查</w:t>
      </w:r>
      <w:r>
        <w:rPr>
          <w:rFonts w:hint="default" w:ascii="Times New Roman" w:hAnsi="Times New Roman" w:eastAsia="宋体" w:cs="Times New Roman"/>
          <w:b w:val="0"/>
          <w:bCs w:val="0"/>
          <w:color w:val="auto"/>
          <w:spacing w:val="-4"/>
          <w:sz w:val="24"/>
          <w:szCs w:val="24"/>
        </w:rPr>
        <w:t>与考核相结合的原则。</w:t>
      </w:r>
    </w:p>
    <w:p w14:paraId="170FEE7E">
      <w:pPr>
        <w:keepNext w:val="0"/>
        <w:keepLines w:val="0"/>
        <w:pageBreakBefore w:val="0"/>
        <w:widowControl w:val="0"/>
        <w:kinsoku/>
        <w:wordWrap/>
        <w:overflowPunct/>
        <w:topLinePunct w:val="0"/>
        <w:autoSpaceDE/>
        <w:autoSpaceDN/>
        <w:bidi w:val="0"/>
        <w:adjustRightInd/>
        <w:snapToGrid/>
        <w:spacing w:line="460" w:lineRule="exact"/>
        <w:ind w:left="0" w:right="0" w:firstLine="470"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pacing w:val="-3"/>
          <w:sz w:val="24"/>
          <w:szCs w:val="24"/>
        </w:rPr>
        <w:t>三、考核内容及要求</w:t>
      </w:r>
    </w:p>
    <w:p w14:paraId="4D8D5498">
      <w:pPr>
        <w:pStyle w:val="17"/>
        <w:keepNext w:val="0"/>
        <w:keepLines w:val="0"/>
        <w:pageBreakBefore w:val="0"/>
        <w:widowControl w:val="0"/>
        <w:kinsoku/>
        <w:wordWrap/>
        <w:overflowPunct/>
        <w:topLinePunct w:val="0"/>
        <w:autoSpaceDE/>
        <w:autoSpaceDN/>
        <w:bidi w:val="0"/>
        <w:adjustRightInd/>
        <w:snapToGrid/>
        <w:spacing w:line="460" w:lineRule="exact"/>
        <w:ind w:left="0" w:right="0" w:firstLine="504"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pacing w:val="6"/>
          <w:sz w:val="24"/>
          <w:szCs w:val="24"/>
        </w:rPr>
        <w:t>主要考核服务项目及要求所规定的内容，招标单位</w:t>
      </w:r>
      <w:r>
        <w:rPr>
          <w:rFonts w:hint="default" w:ascii="Times New Roman" w:hAnsi="Times New Roman" w:eastAsia="宋体" w:cs="Times New Roman"/>
          <w:b w:val="0"/>
          <w:bCs w:val="0"/>
          <w:color w:val="auto"/>
          <w:spacing w:val="5"/>
          <w:sz w:val="24"/>
          <w:szCs w:val="24"/>
        </w:rPr>
        <w:t>将根据招标</w:t>
      </w:r>
      <w:r>
        <w:rPr>
          <w:rFonts w:hint="default" w:ascii="Times New Roman" w:hAnsi="Times New Roman" w:eastAsia="宋体" w:cs="Times New Roman"/>
          <w:b w:val="0"/>
          <w:bCs w:val="0"/>
          <w:color w:val="auto"/>
          <w:spacing w:val="-3"/>
          <w:sz w:val="24"/>
          <w:szCs w:val="24"/>
        </w:rPr>
        <w:t>文件、响应文件和服务合同的相关内容确定。</w:t>
      </w:r>
    </w:p>
    <w:p w14:paraId="55551A31">
      <w:pPr>
        <w:keepNext w:val="0"/>
        <w:keepLines w:val="0"/>
        <w:pageBreakBefore w:val="0"/>
        <w:widowControl w:val="0"/>
        <w:kinsoku/>
        <w:wordWrap/>
        <w:overflowPunct/>
        <w:topLinePunct w:val="0"/>
        <w:autoSpaceDE/>
        <w:autoSpaceDN/>
        <w:bidi w:val="0"/>
        <w:adjustRightInd/>
        <w:snapToGrid/>
        <w:spacing w:line="460" w:lineRule="exact"/>
        <w:ind w:left="0" w:right="0" w:firstLine="458"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pacing w:val="-6"/>
          <w:sz w:val="24"/>
          <w:szCs w:val="24"/>
        </w:rPr>
        <w:t>四、考核方式</w:t>
      </w:r>
    </w:p>
    <w:p w14:paraId="3F285092">
      <w:pPr>
        <w:keepNext w:val="0"/>
        <w:keepLines w:val="0"/>
        <w:pageBreakBefore w:val="0"/>
        <w:widowControl w:val="0"/>
        <w:kinsoku/>
        <w:wordWrap/>
        <w:overflowPunct/>
        <w:topLinePunct w:val="0"/>
        <w:autoSpaceDE/>
        <w:autoSpaceDN/>
        <w:bidi w:val="0"/>
        <w:adjustRightInd/>
        <w:snapToGrid/>
        <w:spacing w:line="460" w:lineRule="exact"/>
        <w:ind w:left="0" w:right="0" w:firstLine="456"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pacing w:val="-6"/>
          <w:sz w:val="24"/>
          <w:szCs w:val="24"/>
        </w:rPr>
        <w:t>采取日常考核与月度综合考核相结合的方式。</w:t>
      </w:r>
    </w:p>
    <w:p w14:paraId="372202BA">
      <w:pPr>
        <w:keepNext w:val="0"/>
        <w:keepLines w:val="0"/>
        <w:pageBreakBefore w:val="0"/>
        <w:widowControl w:val="0"/>
        <w:kinsoku/>
        <w:wordWrap/>
        <w:overflowPunct/>
        <w:topLinePunct w:val="0"/>
        <w:autoSpaceDE/>
        <w:autoSpaceDN/>
        <w:bidi w:val="0"/>
        <w:adjustRightInd/>
        <w:snapToGrid/>
        <w:spacing w:line="460" w:lineRule="exact"/>
        <w:ind w:left="0" w:right="0" w:firstLine="412"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pacing w:val="-17"/>
          <w:sz w:val="24"/>
          <w:szCs w:val="24"/>
        </w:rPr>
        <w:t>（一）日常考核：</w:t>
      </w:r>
    </w:p>
    <w:p w14:paraId="133C4F98">
      <w:pPr>
        <w:pStyle w:val="17"/>
        <w:keepNext w:val="0"/>
        <w:keepLines w:val="0"/>
        <w:pageBreakBefore w:val="0"/>
        <w:widowControl w:val="0"/>
        <w:kinsoku/>
        <w:wordWrap/>
        <w:overflowPunct/>
        <w:topLinePunct w:val="0"/>
        <w:autoSpaceDE/>
        <w:autoSpaceDN/>
        <w:bidi w:val="0"/>
        <w:adjustRightInd/>
        <w:snapToGrid/>
        <w:spacing w:line="460" w:lineRule="exact"/>
        <w:ind w:left="0" w:right="0" w:firstLine="464"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pacing w:val="-4"/>
          <w:sz w:val="24"/>
          <w:szCs w:val="24"/>
        </w:rPr>
        <w:t>1.考核负责人：专职监管队伍。</w:t>
      </w:r>
    </w:p>
    <w:p w14:paraId="2DC8876E">
      <w:pPr>
        <w:pStyle w:val="17"/>
        <w:keepNext w:val="0"/>
        <w:keepLines w:val="0"/>
        <w:pageBreakBefore w:val="0"/>
        <w:widowControl w:val="0"/>
        <w:kinsoku/>
        <w:wordWrap/>
        <w:overflowPunct/>
        <w:topLinePunct w:val="0"/>
        <w:autoSpaceDE/>
        <w:autoSpaceDN/>
        <w:bidi w:val="0"/>
        <w:adjustRightInd/>
        <w:snapToGrid/>
        <w:spacing w:line="460" w:lineRule="exact"/>
        <w:ind w:left="0" w:right="0" w:firstLine="504"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pacing w:val="6"/>
          <w:sz w:val="24"/>
          <w:szCs w:val="24"/>
        </w:rPr>
        <w:t>2.考核内容：根据物业服务协议服务项目及合同所要求的</w:t>
      </w:r>
      <w:r>
        <w:rPr>
          <w:rFonts w:hint="default" w:ascii="Times New Roman" w:hAnsi="Times New Roman" w:eastAsia="宋体" w:cs="Times New Roman"/>
          <w:b w:val="0"/>
          <w:bCs w:val="0"/>
          <w:color w:val="auto"/>
          <w:spacing w:val="5"/>
          <w:sz w:val="24"/>
          <w:szCs w:val="24"/>
        </w:rPr>
        <w:t>服务</w:t>
      </w:r>
      <w:r>
        <w:rPr>
          <w:rFonts w:hint="default" w:ascii="Times New Roman" w:hAnsi="Times New Roman" w:eastAsia="宋体" w:cs="Times New Roman"/>
          <w:b w:val="0"/>
          <w:bCs w:val="0"/>
          <w:color w:val="auto"/>
          <w:spacing w:val="16"/>
          <w:sz w:val="24"/>
          <w:szCs w:val="24"/>
        </w:rPr>
        <w:t>标准，每天进行一次巡查，及时发现问题并要求物业企业及时整</w:t>
      </w:r>
      <w:r>
        <w:rPr>
          <w:rFonts w:hint="default" w:ascii="Times New Roman" w:hAnsi="Times New Roman" w:eastAsia="宋体" w:cs="Times New Roman"/>
          <w:b w:val="0"/>
          <w:bCs w:val="0"/>
          <w:color w:val="auto"/>
          <w:spacing w:val="-11"/>
          <w:sz w:val="24"/>
          <w:szCs w:val="24"/>
        </w:rPr>
        <w:t>改。</w:t>
      </w:r>
    </w:p>
    <w:p w14:paraId="7213178A">
      <w:pPr>
        <w:pStyle w:val="17"/>
        <w:keepNext w:val="0"/>
        <w:keepLines w:val="0"/>
        <w:pageBreakBefore w:val="0"/>
        <w:widowControl w:val="0"/>
        <w:kinsoku/>
        <w:wordWrap/>
        <w:overflowPunct/>
        <w:topLinePunct w:val="0"/>
        <w:autoSpaceDE/>
        <w:autoSpaceDN/>
        <w:bidi w:val="0"/>
        <w:adjustRightInd/>
        <w:snapToGrid/>
        <w:spacing w:line="460" w:lineRule="exact"/>
        <w:ind w:left="0" w:right="0" w:firstLine="472"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pacing w:val="-2"/>
          <w:sz w:val="24"/>
          <w:szCs w:val="24"/>
        </w:rPr>
        <w:t>3.考核方式：日常巡查；受理师生投诉。</w:t>
      </w:r>
    </w:p>
    <w:p w14:paraId="08BAF6BF">
      <w:pPr>
        <w:pStyle w:val="17"/>
        <w:keepNext w:val="0"/>
        <w:keepLines w:val="0"/>
        <w:pageBreakBefore w:val="0"/>
        <w:widowControl w:val="0"/>
        <w:kinsoku/>
        <w:wordWrap/>
        <w:overflowPunct/>
        <w:topLinePunct w:val="0"/>
        <w:autoSpaceDE/>
        <w:autoSpaceDN/>
        <w:bidi w:val="0"/>
        <w:adjustRightInd/>
        <w:snapToGrid/>
        <w:spacing w:line="460" w:lineRule="exact"/>
        <w:ind w:left="0" w:right="0" w:firstLine="46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pacing w:val="-5"/>
          <w:sz w:val="24"/>
          <w:szCs w:val="24"/>
        </w:rPr>
        <w:t>（</w:t>
      </w:r>
      <w:r>
        <w:rPr>
          <w:rFonts w:hint="default" w:ascii="Times New Roman" w:hAnsi="Times New Roman" w:eastAsia="宋体" w:cs="Times New Roman"/>
          <w:b w:val="0"/>
          <w:bCs w:val="0"/>
          <w:color w:val="auto"/>
          <w:spacing w:val="-5"/>
          <w:sz w:val="24"/>
          <w:szCs w:val="24"/>
          <w:lang w:val="en-US" w:eastAsia="zh-CN"/>
        </w:rPr>
        <w:t>1</w:t>
      </w:r>
      <w:r>
        <w:rPr>
          <w:rFonts w:hint="default" w:ascii="Times New Roman" w:hAnsi="Times New Roman" w:eastAsia="宋体" w:cs="Times New Roman"/>
          <w:b w:val="0"/>
          <w:bCs w:val="0"/>
          <w:color w:val="auto"/>
          <w:spacing w:val="-5"/>
          <w:sz w:val="24"/>
          <w:szCs w:val="24"/>
        </w:rPr>
        <w:t>）建立健全各项规章制度，明确岗位责任制，检查中有缺漏</w:t>
      </w:r>
      <w:r>
        <w:rPr>
          <w:rFonts w:hint="default" w:ascii="Times New Roman" w:hAnsi="Times New Roman" w:eastAsia="宋体" w:cs="Times New Roman"/>
          <w:b w:val="0"/>
          <w:bCs w:val="0"/>
          <w:color w:val="auto"/>
          <w:sz w:val="24"/>
          <w:szCs w:val="24"/>
        </w:rPr>
        <w:t xml:space="preserve"> </w:t>
      </w:r>
      <w:r>
        <w:rPr>
          <w:rFonts w:hint="default" w:ascii="Times New Roman" w:hAnsi="Times New Roman" w:eastAsia="宋体" w:cs="Times New Roman"/>
          <w:b w:val="0"/>
          <w:bCs w:val="0"/>
          <w:color w:val="auto"/>
          <w:spacing w:val="-5"/>
          <w:sz w:val="24"/>
          <w:szCs w:val="24"/>
        </w:rPr>
        <w:t>项目的每次扣50元。</w:t>
      </w:r>
    </w:p>
    <w:p w14:paraId="6B9B6132">
      <w:pPr>
        <w:pStyle w:val="17"/>
        <w:keepNext w:val="0"/>
        <w:keepLines w:val="0"/>
        <w:pageBreakBefore w:val="0"/>
        <w:widowControl w:val="0"/>
        <w:kinsoku/>
        <w:wordWrap/>
        <w:overflowPunct/>
        <w:topLinePunct w:val="0"/>
        <w:autoSpaceDE/>
        <w:autoSpaceDN/>
        <w:bidi w:val="0"/>
        <w:adjustRightInd/>
        <w:snapToGrid/>
        <w:spacing w:line="460" w:lineRule="exact"/>
        <w:ind w:left="0" w:right="0" w:firstLine="468"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pacing w:val="-3"/>
          <w:sz w:val="24"/>
          <w:szCs w:val="24"/>
        </w:rPr>
        <w:t>（2）保证管理区域内设施的齐备率达到1</w:t>
      </w:r>
      <w:r>
        <w:rPr>
          <w:rFonts w:hint="default" w:ascii="Times New Roman" w:hAnsi="Times New Roman" w:eastAsia="宋体" w:cs="Times New Roman"/>
          <w:b w:val="0"/>
          <w:bCs w:val="0"/>
          <w:color w:val="auto"/>
          <w:spacing w:val="-4"/>
          <w:sz w:val="24"/>
          <w:szCs w:val="24"/>
        </w:rPr>
        <w:t>00%</w:t>
      </w:r>
      <w:r>
        <w:rPr>
          <w:rFonts w:hint="default" w:ascii="Times New Roman" w:hAnsi="Times New Roman" w:eastAsia="宋体" w:cs="Times New Roman"/>
          <w:b w:val="0"/>
          <w:bCs w:val="0"/>
          <w:color w:val="auto"/>
          <w:spacing w:val="-48"/>
          <w:sz w:val="24"/>
          <w:szCs w:val="24"/>
        </w:rPr>
        <w:t xml:space="preserve"> </w:t>
      </w:r>
      <w:r>
        <w:rPr>
          <w:rFonts w:hint="default" w:ascii="Times New Roman" w:hAnsi="Times New Roman" w:eastAsia="宋体" w:cs="Times New Roman"/>
          <w:b w:val="0"/>
          <w:bCs w:val="0"/>
          <w:color w:val="auto"/>
          <w:spacing w:val="-4"/>
          <w:sz w:val="24"/>
          <w:szCs w:val="24"/>
        </w:rPr>
        <w:t>，完好率95%以</w:t>
      </w:r>
      <w:r>
        <w:rPr>
          <w:rFonts w:hint="default" w:ascii="Times New Roman" w:hAnsi="Times New Roman" w:eastAsia="宋体" w:cs="Times New Roman"/>
          <w:b w:val="0"/>
          <w:bCs w:val="0"/>
          <w:color w:val="auto"/>
          <w:spacing w:val="-5"/>
          <w:sz w:val="24"/>
          <w:szCs w:val="24"/>
        </w:rPr>
        <w:t>上，达不到要求的扣200元。</w:t>
      </w:r>
    </w:p>
    <w:p w14:paraId="13CC709D">
      <w:pPr>
        <w:pStyle w:val="17"/>
        <w:keepNext w:val="0"/>
        <w:keepLines w:val="0"/>
        <w:pageBreakBefore w:val="0"/>
        <w:widowControl w:val="0"/>
        <w:kinsoku/>
        <w:wordWrap/>
        <w:overflowPunct/>
        <w:topLinePunct w:val="0"/>
        <w:autoSpaceDE/>
        <w:autoSpaceDN/>
        <w:bidi w:val="0"/>
        <w:adjustRightInd/>
        <w:snapToGrid/>
        <w:spacing w:line="460" w:lineRule="exact"/>
        <w:ind w:left="0" w:right="0" w:firstLine="464"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pacing w:val="-4"/>
          <w:sz w:val="24"/>
          <w:szCs w:val="24"/>
        </w:rPr>
        <w:t>（3</w:t>
      </w:r>
      <w:r>
        <w:rPr>
          <w:rFonts w:hint="default" w:ascii="Times New Roman" w:hAnsi="Times New Roman" w:eastAsia="宋体" w:cs="Times New Roman"/>
          <w:b w:val="0"/>
          <w:bCs w:val="0"/>
          <w:color w:val="auto"/>
          <w:spacing w:val="-38"/>
          <w:sz w:val="24"/>
          <w:szCs w:val="24"/>
        </w:rPr>
        <w:t xml:space="preserve"> </w:t>
      </w:r>
      <w:r>
        <w:rPr>
          <w:rFonts w:hint="default" w:ascii="Times New Roman" w:hAnsi="Times New Roman" w:eastAsia="宋体" w:cs="Times New Roman"/>
          <w:b w:val="0"/>
          <w:bCs w:val="0"/>
          <w:color w:val="auto"/>
          <w:spacing w:val="-4"/>
          <w:sz w:val="24"/>
          <w:szCs w:val="24"/>
        </w:rPr>
        <w:t>保证水电供应，按规定时间送、断电，设立24小时报修</w:t>
      </w:r>
      <w:r>
        <w:rPr>
          <w:rFonts w:hint="default" w:ascii="Times New Roman" w:hAnsi="Times New Roman" w:eastAsia="宋体" w:cs="Times New Roman"/>
          <w:b w:val="0"/>
          <w:bCs w:val="0"/>
          <w:color w:val="auto"/>
          <w:spacing w:val="1"/>
          <w:sz w:val="24"/>
          <w:szCs w:val="24"/>
        </w:rPr>
        <w:t>点，10分钟响应，小维修当天完成，特殊情况要通知报修人约定完</w:t>
      </w:r>
      <w:r>
        <w:rPr>
          <w:rFonts w:hint="default" w:ascii="Times New Roman" w:hAnsi="Times New Roman" w:eastAsia="宋体" w:cs="Times New Roman"/>
          <w:b w:val="0"/>
          <w:bCs w:val="0"/>
          <w:color w:val="auto"/>
          <w:spacing w:val="-9"/>
          <w:sz w:val="24"/>
          <w:szCs w:val="24"/>
        </w:rPr>
        <w:t>成时间。</w:t>
      </w:r>
    </w:p>
    <w:p w14:paraId="41549EAB">
      <w:pPr>
        <w:pStyle w:val="17"/>
        <w:keepNext w:val="0"/>
        <w:keepLines w:val="0"/>
        <w:pageBreakBefore w:val="0"/>
        <w:widowControl w:val="0"/>
        <w:kinsoku/>
        <w:wordWrap/>
        <w:overflowPunct/>
        <w:topLinePunct w:val="0"/>
        <w:autoSpaceDE/>
        <w:autoSpaceDN/>
        <w:bidi w:val="0"/>
        <w:adjustRightInd/>
        <w:snapToGrid/>
        <w:spacing w:line="460" w:lineRule="exact"/>
        <w:ind w:left="0" w:right="0" w:firstLine="464"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pacing w:val="-4"/>
          <w:sz w:val="24"/>
          <w:szCs w:val="24"/>
        </w:rPr>
        <w:t>（4）加强安全管理，防止安全事故和治安事件的发生。因管理</w:t>
      </w:r>
      <w:r>
        <w:rPr>
          <w:rFonts w:hint="default" w:ascii="Times New Roman" w:hAnsi="Times New Roman" w:eastAsia="宋体" w:cs="Times New Roman"/>
          <w:b w:val="0"/>
          <w:bCs w:val="0"/>
          <w:color w:val="auto"/>
          <w:spacing w:val="-3"/>
          <w:sz w:val="24"/>
          <w:szCs w:val="24"/>
        </w:rPr>
        <w:t>不善造成安全事故，除承担一切经济损失外，并处以罚款1000</w:t>
      </w:r>
      <w:r>
        <w:rPr>
          <w:rFonts w:hint="default" w:ascii="Times New Roman" w:hAnsi="Times New Roman" w:eastAsia="宋体" w:cs="Times New Roman"/>
          <w:b w:val="0"/>
          <w:bCs w:val="0"/>
          <w:color w:val="auto"/>
          <w:spacing w:val="-48"/>
          <w:sz w:val="24"/>
          <w:szCs w:val="24"/>
        </w:rPr>
        <w:t xml:space="preserve"> </w:t>
      </w:r>
      <w:r>
        <w:rPr>
          <w:rFonts w:hint="default" w:ascii="Times New Roman" w:hAnsi="Times New Roman" w:eastAsia="宋体" w:cs="Times New Roman"/>
          <w:b w:val="0"/>
          <w:bCs w:val="0"/>
          <w:color w:val="auto"/>
          <w:spacing w:val="-3"/>
          <w:sz w:val="24"/>
          <w:szCs w:val="24"/>
        </w:rPr>
        <w:t>元。</w:t>
      </w:r>
    </w:p>
    <w:p w14:paraId="6A27036C">
      <w:pPr>
        <w:pStyle w:val="17"/>
        <w:keepNext w:val="0"/>
        <w:keepLines w:val="0"/>
        <w:pageBreakBefore w:val="0"/>
        <w:widowControl w:val="0"/>
        <w:kinsoku/>
        <w:wordWrap/>
        <w:overflowPunct/>
        <w:topLinePunct w:val="0"/>
        <w:autoSpaceDE/>
        <w:autoSpaceDN/>
        <w:bidi w:val="0"/>
        <w:adjustRightInd/>
        <w:snapToGrid/>
        <w:spacing w:line="460" w:lineRule="exact"/>
        <w:ind w:left="0" w:right="0" w:firstLine="42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pacing w:val="-15"/>
          <w:sz w:val="24"/>
          <w:szCs w:val="24"/>
        </w:rPr>
        <w:t>（5）巡查检修不到位，造成公共区域“跑、冒、滴、漏”和</w:t>
      </w:r>
      <w:r>
        <w:rPr>
          <w:rFonts w:hint="default" w:ascii="Times New Roman" w:hAnsi="Times New Roman" w:eastAsia="宋体" w:cs="Times New Roman"/>
          <w:b w:val="0"/>
          <w:bCs w:val="0"/>
          <w:color w:val="auto"/>
          <w:spacing w:val="-16"/>
          <w:sz w:val="24"/>
          <w:szCs w:val="24"/>
        </w:rPr>
        <w:t>长明</w:t>
      </w:r>
      <w:r>
        <w:rPr>
          <w:rFonts w:hint="default" w:ascii="Times New Roman" w:hAnsi="Times New Roman" w:eastAsia="宋体" w:cs="Times New Roman"/>
          <w:b w:val="0"/>
          <w:bCs w:val="0"/>
          <w:color w:val="auto"/>
          <w:spacing w:val="-4"/>
          <w:sz w:val="24"/>
          <w:szCs w:val="24"/>
        </w:rPr>
        <w:t>灯等现象，每发现一处扣除50元。</w:t>
      </w:r>
    </w:p>
    <w:p w14:paraId="75B152A9">
      <w:pPr>
        <w:pStyle w:val="17"/>
        <w:keepNext w:val="0"/>
        <w:keepLines w:val="0"/>
        <w:pageBreakBefore w:val="0"/>
        <w:widowControl w:val="0"/>
        <w:kinsoku/>
        <w:wordWrap/>
        <w:overflowPunct/>
        <w:topLinePunct w:val="0"/>
        <w:autoSpaceDE/>
        <w:autoSpaceDN/>
        <w:bidi w:val="0"/>
        <w:adjustRightInd/>
        <w:snapToGrid/>
        <w:spacing w:line="460" w:lineRule="exact"/>
        <w:ind w:left="0" w:right="0" w:firstLine="496" w:firstLineChars="20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pacing w:val="4"/>
          <w:sz w:val="24"/>
          <w:szCs w:val="24"/>
        </w:rPr>
        <w:t>4.考核结果使用：针对存在问题，一般问题通过下达《整改通</w:t>
      </w:r>
      <w:r>
        <w:rPr>
          <w:rFonts w:hint="default" w:ascii="Times New Roman" w:hAnsi="Times New Roman" w:eastAsia="宋体" w:cs="Times New Roman"/>
          <w:b w:val="0"/>
          <w:bCs w:val="0"/>
          <w:color w:val="auto"/>
          <w:spacing w:val="6"/>
          <w:sz w:val="24"/>
          <w:szCs w:val="24"/>
        </w:rPr>
        <w:t>知书》、《处罚决定书》的方式督促企业及</w:t>
      </w:r>
      <w:r>
        <w:rPr>
          <w:rFonts w:hint="default" w:ascii="Times New Roman" w:hAnsi="Times New Roman" w:eastAsia="宋体" w:cs="Times New Roman"/>
          <w:b w:val="0"/>
          <w:bCs w:val="0"/>
          <w:color w:val="auto"/>
          <w:spacing w:val="5"/>
          <w:sz w:val="24"/>
          <w:szCs w:val="24"/>
        </w:rPr>
        <w:t>时改进。重大问题及时</w:t>
      </w:r>
      <w:r>
        <w:rPr>
          <w:rFonts w:hint="default" w:ascii="Times New Roman" w:hAnsi="Times New Roman" w:eastAsia="宋体" w:cs="Times New Roman"/>
          <w:b w:val="0"/>
          <w:bCs w:val="0"/>
          <w:color w:val="auto"/>
          <w:spacing w:val="-4"/>
          <w:sz w:val="24"/>
          <w:szCs w:val="24"/>
        </w:rPr>
        <w:t>上报并计入月度考核。</w:t>
      </w:r>
    </w:p>
    <w:p w14:paraId="21C1EF8C">
      <w:pPr>
        <w:keepNext w:val="0"/>
        <w:keepLines w:val="0"/>
        <w:pageBreakBefore w:val="0"/>
        <w:widowControl w:val="0"/>
        <w:kinsoku/>
        <w:wordWrap/>
        <w:overflowPunct/>
        <w:topLinePunct w:val="0"/>
        <w:autoSpaceDE/>
        <w:autoSpaceDN/>
        <w:bidi w:val="0"/>
        <w:adjustRightInd/>
        <w:snapToGrid/>
        <w:spacing w:line="460" w:lineRule="exact"/>
        <w:ind w:left="0" w:right="0" w:firstLine="492"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pacing w:val="3"/>
          <w:sz w:val="24"/>
          <w:szCs w:val="24"/>
        </w:rPr>
        <w:t>（二）月度考核</w:t>
      </w:r>
    </w:p>
    <w:p w14:paraId="3F004BD0">
      <w:pPr>
        <w:pStyle w:val="17"/>
        <w:keepNext w:val="0"/>
        <w:keepLines w:val="0"/>
        <w:pageBreakBefore w:val="0"/>
        <w:widowControl w:val="0"/>
        <w:kinsoku/>
        <w:wordWrap/>
        <w:overflowPunct/>
        <w:topLinePunct w:val="0"/>
        <w:autoSpaceDE/>
        <w:autoSpaceDN/>
        <w:bidi w:val="0"/>
        <w:adjustRightInd/>
        <w:snapToGrid/>
        <w:spacing w:line="460" w:lineRule="exact"/>
        <w:ind w:left="0" w:right="0" w:firstLine="476" w:firstLineChars="200"/>
        <w:textAlignment w:val="auto"/>
        <w:rPr>
          <w:rFonts w:hint="default" w:ascii="Times New Roman" w:hAnsi="Times New Roman" w:eastAsia="宋体" w:cs="Times New Roman"/>
          <w:b w:val="0"/>
          <w:bCs w:val="0"/>
          <w:color w:val="auto"/>
          <w:sz w:val="24"/>
          <w:szCs w:val="24"/>
          <w:lang w:val="en-US"/>
        </w:rPr>
      </w:pPr>
      <w:r>
        <w:rPr>
          <w:rFonts w:hint="default" w:ascii="Times New Roman" w:hAnsi="Times New Roman" w:eastAsia="宋体" w:cs="Times New Roman"/>
          <w:b w:val="0"/>
          <w:bCs w:val="0"/>
          <w:color w:val="auto"/>
          <w:spacing w:val="-1"/>
          <w:sz w:val="24"/>
          <w:szCs w:val="24"/>
        </w:rPr>
        <w:t>1.考核负责人：</w:t>
      </w:r>
      <w:r>
        <w:rPr>
          <w:rFonts w:hint="default" w:ascii="Times New Roman" w:hAnsi="Times New Roman" w:eastAsia="宋体" w:cs="Times New Roman"/>
          <w:b w:val="0"/>
          <w:bCs w:val="0"/>
          <w:color w:val="auto"/>
          <w:spacing w:val="-1"/>
          <w:sz w:val="24"/>
          <w:szCs w:val="24"/>
          <w:lang w:val="en-US" w:eastAsia="zh-CN"/>
        </w:rPr>
        <w:t>学校资源保障中心组织校内相关责任部门。</w:t>
      </w:r>
    </w:p>
    <w:p w14:paraId="7A69F1AC">
      <w:pPr>
        <w:pStyle w:val="17"/>
        <w:keepNext w:val="0"/>
        <w:keepLines w:val="0"/>
        <w:pageBreakBefore w:val="0"/>
        <w:widowControl w:val="0"/>
        <w:kinsoku/>
        <w:wordWrap/>
        <w:overflowPunct/>
        <w:topLinePunct w:val="0"/>
        <w:autoSpaceDE/>
        <w:autoSpaceDN/>
        <w:bidi w:val="0"/>
        <w:adjustRightInd/>
        <w:snapToGrid/>
        <w:spacing w:line="460" w:lineRule="exact"/>
        <w:ind w:left="0" w:right="0" w:firstLine="52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pacing w:val="10"/>
          <w:sz w:val="24"/>
          <w:szCs w:val="24"/>
        </w:rPr>
        <w:t>2.考核内容：重点检查管理企业监管制度落实情况</w:t>
      </w:r>
      <w:r>
        <w:rPr>
          <w:rFonts w:hint="default" w:ascii="Times New Roman" w:hAnsi="Times New Roman" w:eastAsia="宋体" w:cs="Times New Roman"/>
          <w:b w:val="0"/>
          <w:bCs w:val="0"/>
          <w:color w:val="auto"/>
          <w:spacing w:val="-45"/>
          <w:sz w:val="24"/>
          <w:szCs w:val="24"/>
        </w:rPr>
        <w:t>，</w:t>
      </w:r>
      <w:r>
        <w:rPr>
          <w:rFonts w:hint="default" w:ascii="Times New Roman" w:hAnsi="Times New Roman" w:eastAsia="宋体" w:cs="Times New Roman"/>
          <w:b w:val="0"/>
          <w:bCs w:val="0"/>
          <w:color w:val="auto"/>
          <w:spacing w:val="-1"/>
          <w:sz w:val="24"/>
          <w:szCs w:val="24"/>
        </w:rPr>
        <w:t>（招标</w:t>
      </w:r>
      <w:r>
        <w:rPr>
          <w:rFonts w:hint="default" w:ascii="Times New Roman" w:hAnsi="Times New Roman" w:eastAsia="宋体" w:cs="Times New Roman"/>
          <w:b w:val="0"/>
          <w:bCs w:val="0"/>
          <w:color w:val="auto"/>
          <w:spacing w:val="10"/>
          <w:sz w:val="24"/>
          <w:szCs w:val="24"/>
        </w:rPr>
        <w:t>单</w:t>
      </w:r>
      <w:r>
        <w:rPr>
          <w:rFonts w:hint="default" w:ascii="Times New Roman" w:hAnsi="Times New Roman" w:eastAsia="宋体" w:cs="Times New Roman"/>
          <w:b w:val="0"/>
          <w:bCs w:val="0"/>
          <w:color w:val="auto"/>
          <w:sz w:val="24"/>
          <w:szCs w:val="24"/>
        </w:rPr>
        <w:t>位将根据招标文件、</w:t>
      </w:r>
      <w:r>
        <w:rPr>
          <w:rFonts w:hint="default" w:ascii="Times New Roman" w:hAnsi="Times New Roman" w:eastAsia="宋体" w:cs="Times New Roman"/>
          <w:b w:val="0"/>
          <w:bCs w:val="0"/>
          <w:color w:val="auto"/>
          <w:spacing w:val="-59"/>
          <w:sz w:val="24"/>
          <w:szCs w:val="24"/>
        </w:rPr>
        <w:t xml:space="preserve"> </w:t>
      </w:r>
      <w:r>
        <w:rPr>
          <w:rFonts w:hint="default" w:ascii="Times New Roman" w:hAnsi="Times New Roman" w:eastAsia="宋体" w:cs="Times New Roman"/>
          <w:b w:val="0"/>
          <w:bCs w:val="0"/>
          <w:color w:val="auto"/>
          <w:sz w:val="24"/>
          <w:szCs w:val="24"/>
        </w:rPr>
        <w:t>响应文件和服务合同的相关</w:t>
      </w:r>
      <w:r>
        <w:rPr>
          <w:rFonts w:hint="default" w:ascii="Times New Roman" w:hAnsi="Times New Roman" w:eastAsia="宋体" w:cs="Times New Roman"/>
          <w:b w:val="0"/>
          <w:bCs w:val="0"/>
          <w:color w:val="auto"/>
          <w:spacing w:val="-1"/>
          <w:sz w:val="24"/>
          <w:szCs w:val="24"/>
        </w:rPr>
        <w:t>内容确定）</w:t>
      </w:r>
    </w:p>
    <w:p w14:paraId="05D7B0A5">
      <w:pPr>
        <w:pStyle w:val="17"/>
        <w:keepNext w:val="0"/>
        <w:keepLines w:val="0"/>
        <w:pageBreakBefore w:val="0"/>
        <w:widowControl w:val="0"/>
        <w:kinsoku/>
        <w:wordWrap/>
        <w:overflowPunct/>
        <w:topLinePunct w:val="0"/>
        <w:autoSpaceDE/>
        <w:autoSpaceDN/>
        <w:bidi w:val="0"/>
        <w:adjustRightInd/>
        <w:snapToGrid/>
        <w:spacing w:line="460" w:lineRule="exact"/>
        <w:ind w:left="0" w:right="0" w:firstLine="496"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pacing w:val="4"/>
          <w:sz w:val="24"/>
          <w:szCs w:val="24"/>
        </w:rPr>
        <w:t>3.考核方式：通过现场抽查、检查表格并追溯的方式进行，一</w:t>
      </w:r>
      <w:r>
        <w:rPr>
          <w:rFonts w:hint="default" w:ascii="Times New Roman" w:hAnsi="Times New Roman" w:eastAsia="宋体" w:cs="Times New Roman"/>
          <w:b w:val="0"/>
          <w:bCs w:val="0"/>
          <w:color w:val="auto"/>
          <w:spacing w:val="-2"/>
          <w:sz w:val="24"/>
          <w:szCs w:val="24"/>
        </w:rPr>
        <w:t>月</w:t>
      </w:r>
      <w:r>
        <w:rPr>
          <w:rFonts w:hint="default" w:ascii="Times New Roman" w:hAnsi="Times New Roman" w:eastAsia="宋体" w:cs="Times New Roman"/>
          <w:b w:val="0"/>
          <w:bCs w:val="0"/>
          <w:color w:val="auto"/>
          <w:spacing w:val="-2"/>
          <w:sz w:val="24"/>
          <w:szCs w:val="24"/>
          <w:lang w:val="en-US" w:eastAsia="zh-CN"/>
        </w:rPr>
        <w:t>一</w:t>
      </w:r>
      <w:r>
        <w:rPr>
          <w:rFonts w:hint="default" w:ascii="Times New Roman" w:hAnsi="Times New Roman" w:eastAsia="宋体" w:cs="Times New Roman"/>
          <w:b w:val="0"/>
          <w:bCs w:val="0"/>
          <w:color w:val="auto"/>
          <w:spacing w:val="-2"/>
          <w:sz w:val="24"/>
          <w:szCs w:val="24"/>
        </w:rPr>
        <w:t>次由</w:t>
      </w:r>
      <w:r>
        <w:rPr>
          <w:rFonts w:hint="default" w:ascii="Times New Roman" w:hAnsi="Times New Roman" w:eastAsia="宋体" w:cs="Times New Roman"/>
          <w:b w:val="0"/>
          <w:bCs w:val="0"/>
          <w:color w:val="auto"/>
          <w:spacing w:val="-2"/>
          <w:sz w:val="24"/>
          <w:szCs w:val="24"/>
          <w:lang w:val="en-US" w:eastAsia="zh-CN"/>
        </w:rPr>
        <w:t>学校负责</w:t>
      </w:r>
      <w:r>
        <w:rPr>
          <w:rFonts w:hint="default" w:ascii="Times New Roman" w:hAnsi="Times New Roman" w:eastAsia="宋体" w:cs="Times New Roman"/>
          <w:b w:val="0"/>
          <w:bCs w:val="0"/>
          <w:color w:val="auto"/>
          <w:spacing w:val="-2"/>
          <w:sz w:val="24"/>
          <w:szCs w:val="24"/>
        </w:rPr>
        <w:t>管理员进行填表打分。</w:t>
      </w:r>
    </w:p>
    <w:p w14:paraId="2D0B0888">
      <w:pPr>
        <w:keepNext w:val="0"/>
        <w:keepLines w:val="0"/>
        <w:pageBreakBefore w:val="0"/>
        <w:widowControl w:val="0"/>
        <w:kinsoku/>
        <w:wordWrap/>
        <w:overflowPunct/>
        <w:topLinePunct w:val="0"/>
        <w:autoSpaceDE/>
        <w:autoSpaceDN/>
        <w:bidi w:val="0"/>
        <w:adjustRightInd/>
        <w:snapToGrid/>
        <w:spacing w:line="460" w:lineRule="exact"/>
        <w:ind w:left="0" w:right="0" w:firstLine="470"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pacing w:val="-3"/>
          <w:sz w:val="24"/>
          <w:szCs w:val="24"/>
        </w:rPr>
        <w:t>五、考核结果的运用</w:t>
      </w:r>
    </w:p>
    <w:p w14:paraId="2ACAE9F7">
      <w:pPr>
        <w:keepNext w:val="0"/>
        <w:keepLines w:val="0"/>
        <w:pageBreakBefore w:val="0"/>
        <w:widowControl w:val="0"/>
        <w:kinsoku/>
        <w:wordWrap/>
        <w:overflowPunct/>
        <w:topLinePunct w:val="0"/>
        <w:autoSpaceDE/>
        <w:autoSpaceDN/>
        <w:bidi w:val="0"/>
        <w:adjustRightInd/>
        <w:snapToGrid/>
        <w:spacing w:line="460" w:lineRule="exact"/>
        <w:ind w:left="0" w:right="0" w:firstLine="480" w:firstLineChars="200"/>
        <w:textAlignment w:val="auto"/>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（一）日常考核结果</w:t>
      </w:r>
    </w:p>
    <w:p w14:paraId="54D874F3">
      <w:pPr>
        <w:pStyle w:val="17"/>
        <w:keepNext w:val="0"/>
        <w:keepLines w:val="0"/>
        <w:pageBreakBefore w:val="0"/>
        <w:widowControl w:val="0"/>
        <w:kinsoku/>
        <w:wordWrap/>
        <w:overflowPunct/>
        <w:topLinePunct w:val="0"/>
        <w:autoSpaceDE/>
        <w:autoSpaceDN/>
        <w:bidi w:val="0"/>
        <w:adjustRightInd/>
        <w:snapToGrid/>
        <w:spacing w:line="460" w:lineRule="exact"/>
        <w:ind w:left="0" w:right="0" w:firstLine="480" w:firstLineChars="200"/>
        <w:textAlignment w:val="auto"/>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1.一般问题下达《整改通知单》，物业企业能在规定时间内，整改到位的，免于处罚；整改不符合要求的下达《处罚决定书》，按相关细则进行处罚罚款，并在月度考核中扣除3分。</w:t>
      </w:r>
    </w:p>
    <w:p w14:paraId="48B510A8">
      <w:pPr>
        <w:pStyle w:val="17"/>
        <w:keepNext w:val="0"/>
        <w:keepLines w:val="0"/>
        <w:pageBreakBefore w:val="0"/>
        <w:widowControl w:val="0"/>
        <w:kinsoku/>
        <w:wordWrap/>
        <w:overflowPunct/>
        <w:topLinePunct w:val="0"/>
        <w:autoSpaceDE/>
        <w:autoSpaceDN/>
        <w:bidi w:val="0"/>
        <w:adjustRightInd/>
        <w:snapToGrid/>
        <w:spacing w:line="460" w:lineRule="exact"/>
        <w:ind w:left="0" w:right="0" w:firstLine="480" w:firstLineChars="200"/>
        <w:textAlignment w:val="auto"/>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2.重大问题（师生反映强烈、影响公共安全的），下达《处罚决定书》，每次根据其影响程度给予1000-3000元罚款。在月度考核中扣2-5分。</w:t>
      </w:r>
    </w:p>
    <w:p w14:paraId="7081E86B">
      <w:pPr>
        <w:pStyle w:val="17"/>
        <w:keepNext w:val="0"/>
        <w:keepLines w:val="0"/>
        <w:pageBreakBefore w:val="0"/>
        <w:widowControl w:val="0"/>
        <w:kinsoku/>
        <w:wordWrap/>
        <w:overflowPunct/>
        <w:topLinePunct w:val="0"/>
        <w:autoSpaceDE/>
        <w:autoSpaceDN/>
        <w:bidi w:val="0"/>
        <w:adjustRightInd/>
        <w:snapToGrid/>
        <w:spacing w:line="460" w:lineRule="exact"/>
        <w:ind w:left="0" w:right="0" w:firstLine="476"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pacing w:val="-1"/>
          <w:sz w:val="24"/>
          <w:szCs w:val="24"/>
        </w:rPr>
        <w:t>3.师生投诉的事项，经查证属实的，依据上述规定处理。</w:t>
      </w:r>
    </w:p>
    <w:p w14:paraId="21A87259">
      <w:pPr>
        <w:keepNext w:val="0"/>
        <w:keepLines w:val="0"/>
        <w:pageBreakBefore w:val="0"/>
        <w:widowControl w:val="0"/>
        <w:kinsoku/>
        <w:wordWrap/>
        <w:overflowPunct/>
        <w:topLinePunct w:val="0"/>
        <w:autoSpaceDE/>
        <w:autoSpaceDN/>
        <w:bidi w:val="0"/>
        <w:adjustRightInd/>
        <w:snapToGrid/>
        <w:spacing w:line="460" w:lineRule="exact"/>
        <w:ind w:left="0" w:right="0" w:firstLine="492"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pacing w:val="3"/>
          <w:sz w:val="24"/>
          <w:szCs w:val="24"/>
        </w:rPr>
        <w:t>（二）月度考核结果</w:t>
      </w:r>
    </w:p>
    <w:p w14:paraId="2D4E2ED4">
      <w:pPr>
        <w:pStyle w:val="17"/>
        <w:keepNext w:val="0"/>
        <w:keepLines w:val="0"/>
        <w:pageBreakBefore w:val="0"/>
        <w:widowControl w:val="0"/>
        <w:kinsoku/>
        <w:wordWrap/>
        <w:overflowPunct/>
        <w:topLinePunct w:val="0"/>
        <w:autoSpaceDE/>
        <w:autoSpaceDN/>
        <w:bidi w:val="0"/>
        <w:adjustRightInd/>
        <w:snapToGrid/>
        <w:spacing w:line="460" w:lineRule="exact"/>
        <w:ind w:left="0" w:right="0" w:firstLine="472" w:firstLineChars="20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pacing w:val="-2"/>
          <w:sz w:val="24"/>
          <w:szCs w:val="24"/>
        </w:rPr>
        <w:t>月度考核得分90分</w:t>
      </w:r>
      <w:r>
        <w:rPr>
          <w:rFonts w:hint="default" w:ascii="Times New Roman" w:hAnsi="Times New Roman" w:eastAsia="宋体" w:cs="Times New Roman"/>
          <w:b w:val="0"/>
          <w:bCs w:val="0"/>
          <w:color w:val="auto"/>
          <w:spacing w:val="-2"/>
          <w:sz w:val="24"/>
          <w:szCs w:val="24"/>
          <w:lang w:eastAsia="zh-CN"/>
        </w:rPr>
        <w:t>以上</w:t>
      </w:r>
      <w:r>
        <w:rPr>
          <w:rFonts w:hint="default" w:ascii="Times New Roman" w:hAnsi="Times New Roman" w:eastAsia="宋体" w:cs="Times New Roman"/>
          <w:b w:val="0"/>
          <w:bCs w:val="0"/>
          <w:color w:val="auto"/>
          <w:spacing w:val="-2"/>
          <w:sz w:val="24"/>
          <w:szCs w:val="24"/>
        </w:rPr>
        <w:t>的为合格、80-89分的（含80分）为基本合格、60-79分（含60分）的为</w:t>
      </w:r>
      <w:r>
        <w:rPr>
          <w:rFonts w:hint="default" w:ascii="Times New Roman" w:hAnsi="Times New Roman" w:eastAsia="宋体" w:cs="Times New Roman"/>
          <w:b w:val="0"/>
          <w:bCs w:val="0"/>
          <w:color w:val="auto"/>
          <w:spacing w:val="-3"/>
          <w:sz w:val="24"/>
          <w:szCs w:val="24"/>
        </w:rPr>
        <w:t>不合格；60分以下的为严重</w:t>
      </w:r>
      <w:r>
        <w:rPr>
          <w:rFonts w:hint="default" w:ascii="Times New Roman" w:hAnsi="Times New Roman" w:eastAsia="宋体" w:cs="Times New Roman"/>
          <w:b w:val="0"/>
          <w:bCs w:val="0"/>
          <w:color w:val="auto"/>
          <w:spacing w:val="-10"/>
          <w:sz w:val="24"/>
          <w:szCs w:val="24"/>
        </w:rPr>
        <w:t>不合格。</w:t>
      </w:r>
    </w:p>
    <w:p w14:paraId="047867E3">
      <w:pPr>
        <w:pStyle w:val="17"/>
        <w:keepNext w:val="0"/>
        <w:keepLines w:val="0"/>
        <w:pageBreakBefore w:val="0"/>
        <w:widowControl w:val="0"/>
        <w:kinsoku/>
        <w:wordWrap/>
        <w:overflowPunct/>
        <w:topLinePunct w:val="0"/>
        <w:autoSpaceDE/>
        <w:autoSpaceDN/>
        <w:bidi w:val="0"/>
        <w:adjustRightInd/>
        <w:snapToGrid/>
        <w:spacing w:line="460" w:lineRule="exact"/>
        <w:ind w:left="0" w:right="0" w:firstLine="472"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pacing w:val="-2"/>
          <w:sz w:val="24"/>
          <w:szCs w:val="24"/>
        </w:rPr>
        <w:t>1.月度考核合格的，月度物业服务费足额拨付。</w:t>
      </w:r>
    </w:p>
    <w:p w14:paraId="13BB6998">
      <w:pPr>
        <w:pStyle w:val="17"/>
        <w:keepNext w:val="0"/>
        <w:keepLines w:val="0"/>
        <w:pageBreakBefore w:val="0"/>
        <w:widowControl w:val="0"/>
        <w:kinsoku/>
        <w:wordWrap/>
        <w:overflowPunct/>
        <w:topLinePunct w:val="0"/>
        <w:autoSpaceDE/>
        <w:autoSpaceDN/>
        <w:bidi w:val="0"/>
        <w:adjustRightInd/>
        <w:snapToGrid/>
        <w:spacing w:line="460" w:lineRule="exact"/>
        <w:ind w:left="0" w:right="0" w:firstLine="472"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pacing w:val="-2"/>
          <w:sz w:val="24"/>
          <w:szCs w:val="24"/>
        </w:rPr>
        <w:t>2.月度考核基本合格分数在80-89分</w:t>
      </w:r>
      <w:r>
        <w:rPr>
          <w:rFonts w:hint="default" w:ascii="Times New Roman" w:hAnsi="Times New Roman" w:eastAsia="宋体" w:cs="Times New Roman"/>
          <w:b w:val="0"/>
          <w:bCs w:val="0"/>
          <w:color w:val="auto"/>
          <w:spacing w:val="-3"/>
          <w:sz w:val="24"/>
          <w:szCs w:val="24"/>
        </w:rPr>
        <w:t>（含80分）的，扣拨月度</w:t>
      </w:r>
      <w:r>
        <w:rPr>
          <w:rFonts w:hint="default" w:ascii="Times New Roman" w:hAnsi="Times New Roman" w:eastAsia="宋体" w:cs="Times New Roman"/>
          <w:b w:val="0"/>
          <w:bCs w:val="0"/>
          <w:color w:val="auto"/>
          <w:spacing w:val="-4"/>
          <w:sz w:val="24"/>
          <w:szCs w:val="24"/>
        </w:rPr>
        <w:t>物业服务费的</w:t>
      </w:r>
      <w:r>
        <w:rPr>
          <w:rFonts w:hint="default" w:ascii="Times New Roman" w:hAnsi="Times New Roman" w:eastAsia="宋体" w:cs="Times New Roman"/>
          <w:b w:val="0"/>
          <w:bCs w:val="0"/>
          <w:color w:val="auto"/>
          <w:spacing w:val="6"/>
          <w:sz w:val="24"/>
          <w:szCs w:val="24"/>
        </w:rPr>
        <w:t>百分之</w:t>
      </w:r>
      <w:r>
        <w:rPr>
          <w:rFonts w:hint="eastAsia" w:ascii="Times New Roman" w:hAnsi="Times New Roman" w:eastAsia="宋体" w:cs="Times New Roman"/>
          <w:b w:val="0"/>
          <w:bCs w:val="0"/>
          <w:color w:val="auto"/>
          <w:spacing w:val="6"/>
          <w:sz w:val="24"/>
          <w:szCs w:val="24"/>
          <w:lang w:val="en-US" w:eastAsia="zh-CN"/>
        </w:rPr>
        <w:t>一</w:t>
      </w:r>
      <w:r>
        <w:rPr>
          <w:rFonts w:hint="default" w:ascii="Times New Roman" w:hAnsi="Times New Roman" w:eastAsia="宋体" w:cs="Times New Roman"/>
          <w:b w:val="0"/>
          <w:bCs w:val="0"/>
          <w:color w:val="auto"/>
          <w:spacing w:val="-4"/>
          <w:sz w:val="24"/>
          <w:szCs w:val="24"/>
        </w:rPr>
        <w:t>。</w:t>
      </w:r>
    </w:p>
    <w:p w14:paraId="0A213B4F">
      <w:pPr>
        <w:pStyle w:val="17"/>
        <w:keepNext w:val="0"/>
        <w:keepLines w:val="0"/>
        <w:pageBreakBefore w:val="0"/>
        <w:widowControl w:val="0"/>
        <w:kinsoku/>
        <w:wordWrap/>
        <w:overflowPunct/>
        <w:topLinePunct w:val="0"/>
        <w:autoSpaceDE/>
        <w:autoSpaceDN/>
        <w:bidi w:val="0"/>
        <w:adjustRightInd/>
        <w:snapToGrid/>
        <w:spacing w:line="460" w:lineRule="exact"/>
        <w:ind w:left="0" w:right="0" w:firstLine="468"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pacing w:val="-3"/>
          <w:sz w:val="24"/>
          <w:szCs w:val="24"/>
        </w:rPr>
        <w:t>3.月度考核不合格的分数在60-79分（含60分）的扣拨月度物</w:t>
      </w:r>
      <w:r>
        <w:rPr>
          <w:rFonts w:hint="default" w:ascii="Times New Roman" w:hAnsi="Times New Roman" w:eastAsia="宋体" w:cs="Times New Roman"/>
          <w:b w:val="0"/>
          <w:bCs w:val="0"/>
          <w:color w:val="auto"/>
          <w:spacing w:val="6"/>
          <w:sz w:val="24"/>
          <w:szCs w:val="24"/>
        </w:rPr>
        <w:t>业服务费的百分之五；连续三个月不合格的，学院有权解除物业服</w:t>
      </w:r>
      <w:r>
        <w:rPr>
          <w:rFonts w:hint="default" w:ascii="Times New Roman" w:hAnsi="Times New Roman" w:eastAsia="宋体" w:cs="Times New Roman"/>
          <w:b w:val="0"/>
          <w:bCs w:val="0"/>
          <w:color w:val="auto"/>
          <w:spacing w:val="-2"/>
          <w:sz w:val="24"/>
          <w:szCs w:val="24"/>
        </w:rPr>
        <w:t>务合同；并且扣罚最后一个月的物业服务费。</w:t>
      </w:r>
    </w:p>
    <w:p w14:paraId="748ECF38">
      <w:pPr>
        <w:pStyle w:val="17"/>
        <w:keepNext w:val="0"/>
        <w:keepLines w:val="0"/>
        <w:pageBreakBefore w:val="0"/>
        <w:widowControl w:val="0"/>
        <w:kinsoku/>
        <w:wordWrap/>
        <w:overflowPunct/>
        <w:topLinePunct w:val="0"/>
        <w:autoSpaceDE/>
        <w:autoSpaceDN/>
        <w:bidi w:val="0"/>
        <w:adjustRightInd/>
        <w:snapToGrid/>
        <w:spacing w:line="460" w:lineRule="exact"/>
        <w:ind w:left="0" w:right="0" w:firstLine="472" w:firstLineChars="200"/>
        <w:textAlignment w:val="auto"/>
        <w:rPr>
          <w:rFonts w:hint="default" w:ascii="Times New Roman" w:hAnsi="Times New Roman" w:eastAsia="宋体" w:cs="Times New Roman"/>
          <w:b w:val="0"/>
          <w:bCs w:val="0"/>
          <w:color w:val="auto"/>
          <w:spacing w:val="-16"/>
          <w:sz w:val="24"/>
          <w:szCs w:val="24"/>
        </w:rPr>
      </w:pPr>
      <w:r>
        <w:rPr>
          <w:rFonts w:hint="default" w:ascii="Times New Roman" w:hAnsi="Times New Roman" w:eastAsia="宋体" w:cs="Times New Roman"/>
          <w:b w:val="0"/>
          <w:bCs w:val="0"/>
          <w:color w:val="auto"/>
          <w:spacing w:val="-2"/>
          <w:sz w:val="24"/>
          <w:szCs w:val="24"/>
        </w:rPr>
        <w:t>4.月度考核严重不合格的（60分以下）扣拨月度物业服务费的</w:t>
      </w:r>
      <w:r>
        <w:rPr>
          <w:rFonts w:hint="default" w:ascii="Times New Roman" w:hAnsi="Times New Roman" w:eastAsia="宋体" w:cs="Times New Roman"/>
          <w:b w:val="0"/>
          <w:bCs w:val="0"/>
          <w:color w:val="auto"/>
          <w:spacing w:val="16"/>
          <w:sz w:val="24"/>
          <w:szCs w:val="24"/>
        </w:rPr>
        <w:t>百分之十；连续二个月严重不合格的，学院</w:t>
      </w:r>
      <w:r>
        <w:rPr>
          <w:rFonts w:hint="default" w:ascii="Times New Roman" w:hAnsi="Times New Roman" w:eastAsia="宋体" w:cs="Times New Roman"/>
          <w:b w:val="0"/>
          <w:bCs w:val="0"/>
          <w:color w:val="auto"/>
          <w:spacing w:val="15"/>
          <w:sz w:val="24"/>
          <w:szCs w:val="24"/>
        </w:rPr>
        <w:t>有权解除物业服务合</w:t>
      </w:r>
      <w:r>
        <w:rPr>
          <w:rFonts w:hint="default" w:ascii="Times New Roman" w:hAnsi="Times New Roman" w:eastAsia="宋体" w:cs="Times New Roman"/>
          <w:b w:val="0"/>
          <w:bCs w:val="0"/>
          <w:color w:val="auto"/>
          <w:spacing w:val="-16"/>
          <w:sz w:val="24"/>
          <w:szCs w:val="24"/>
        </w:rPr>
        <w:t>同。</w:t>
      </w:r>
    </w:p>
    <w:p w14:paraId="1A06A329">
      <w:pPr>
        <w:pStyle w:val="17"/>
        <w:keepNext w:val="0"/>
        <w:keepLines w:val="0"/>
        <w:pageBreakBefore w:val="0"/>
        <w:widowControl w:val="0"/>
        <w:kinsoku/>
        <w:wordWrap/>
        <w:overflowPunct/>
        <w:topLinePunct w:val="0"/>
        <w:autoSpaceDE/>
        <w:autoSpaceDN/>
        <w:bidi w:val="0"/>
        <w:adjustRightInd/>
        <w:snapToGrid/>
        <w:spacing w:line="460" w:lineRule="exact"/>
        <w:ind w:left="0" w:right="0" w:firstLine="472" w:firstLineChars="200"/>
        <w:textAlignment w:val="auto"/>
        <w:rPr>
          <w:rFonts w:hint="default" w:ascii="Times New Roman" w:hAnsi="Times New Roman" w:eastAsia="宋体" w:cs="Times New Roman"/>
          <w:b w:val="0"/>
          <w:bCs w:val="0"/>
          <w:color w:val="auto"/>
          <w:spacing w:val="-2"/>
          <w:sz w:val="24"/>
          <w:szCs w:val="24"/>
          <w:lang w:val="en-US" w:eastAsia="zh-CN"/>
        </w:rPr>
      </w:pPr>
      <w:r>
        <w:rPr>
          <w:rFonts w:hint="eastAsia" w:ascii="Times New Roman" w:hAnsi="Times New Roman" w:eastAsia="宋体" w:cs="Times New Roman"/>
          <w:b w:val="0"/>
          <w:bCs w:val="0"/>
          <w:color w:val="auto"/>
          <w:spacing w:val="-2"/>
          <w:sz w:val="24"/>
          <w:szCs w:val="24"/>
          <w:lang w:val="en-US" w:eastAsia="zh-CN"/>
        </w:rPr>
        <w:t>注：在物业服务合同执行期间内，若累计出现3次及以上考核结果为“基本合格”或“不合格”的情形，学院有权约谈承包方并要求其限期整改；如在任意连续12个月内，累计出现5次及以上考核结果为“不合格”或“严重不合格”的情形，学院有权单方面解除物业服务合同，并扣发最后一个月的物业服务费。</w:t>
      </w:r>
    </w:p>
    <w:bookmarkEnd w:id="638"/>
    <w:bookmarkEnd w:id="639"/>
    <w:bookmarkEnd w:id="640"/>
    <w:bookmarkEnd w:id="642"/>
    <w:bookmarkEnd w:id="643"/>
    <w:bookmarkEnd w:id="644"/>
    <w:p w14:paraId="13EEF5AE">
      <w:pPr>
        <w:pStyle w:val="2"/>
        <w:spacing w:before="0" w:after="0" w:line="360" w:lineRule="auto"/>
        <w:jc w:val="center"/>
        <w:rPr>
          <w:rFonts w:hint="default" w:ascii="Times New Roman" w:hAnsi="Times New Roman" w:eastAsia="仿宋_GB2312" w:cs="Times New Roman"/>
          <w:color w:val="auto"/>
          <w:sz w:val="32"/>
          <w:szCs w:val="32"/>
          <w:lang w:val="en-US" w:eastAsia="zh-CN"/>
        </w:rPr>
      </w:pPr>
      <w:bookmarkStart w:id="645" w:name="_Hlt75236193"/>
      <w:bookmarkEnd w:id="645"/>
      <w:bookmarkStart w:id="646" w:name="_Toc4348"/>
      <w:r>
        <w:rPr>
          <w:rFonts w:hint="default" w:ascii="Times New Roman" w:hAnsi="Times New Roman" w:eastAsia="仿宋_GB2312" w:cs="Times New Roman"/>
          <w:color w:val="auto"/>
          <w:sz w:val="32"/>
          <w:szCs w:val="32"/>
          <w:lang w:val="en-US" w:eastAsia="zh-CN"/>
        </w:rPr>
        <w:br w:type="page"/>
      </w:r>
      <w:r>
        <w:rPr>
          <w:rFonts w:hint="default" w:ascii="Times New Roman" w:hAnsi="Times New Roman" w:eastAsia="仿宋_GB2312" w:cs="Times New Roman"/>
          <w:color w:val="auto"/>
          <w:sz w:val="32"/>
          <w:szCs w:val="32"/>
          <w:lang w:val="en-US" w:eastAsia="zh-CN"/>
        </w:rPr>
        <w:t>第九章 附件</w:t>
      </w:r>
      <w:bookmarkEnd w:id="622"/>
      <w:bookmarkEnd w:id="623"/>
      <w:bookmarkEnd w:id="624"/>
      <w:bookmarkEnd w:id="625"/>
      <w:bookmarkEnd w:id="646"/>
    </w:p>
    <w:p w14:paraId="1AEFDF33">
      <w:pPr>
        <w:keepNext/>
        <w:keepLines/>
        <w:widowControl w:val="0"/>
        <w:autoSpaceDE w:val="0"/>
        <w:autoSpaceDN w:val="0"/>
        <w:adjustRightInd w:val="0"/>
        <w:spacing w:line="360" w:lineRule="auto"/>
        <w:outlineLvl w:val="1"/>
        <w:rPr>
          <w:rFonts w:hint="default" w:ascii="Times New Roman" w:hAnsi="Times New Roman" w:eastAsia="仿宋_GB2312" w:cs="Times New Roman"/>
          <w:bCs/>
          <w:color w:val="auto"/>
          <w:kern w:val="0"/>
          <w:sz w:val="28"/>
          <w:szCs w:val="28"/>
          <w:lang w:val="en-US" w:eastAsia="zh-CN"/>
        </w:rPr>
      </w:pPr>
      <w:bookmarkStart w:id="647" w:name="_Toc1681897155"/>
      <w:bookmarkStart w:id="648" w:name="_Toc1250555939_WPSOffice_Level1"/>
      <w:r>
        <w:rPr>
          <w:rFonts w:hint="default" w:ascii="Times New Roman" w:hAnsi="Times New Roman" w:eastAsia="仿宋_GB2312" w:cs="Times New Roman"/>
          <w:bCs/>
          <w:color w:val="auto"/>
          <w:kern w:val="0"/>
          <w:sz w:val="28"/>
          <w:szCs w:val="28"/>
          <w:lang w:val="en-US" w:eastAsia="zh-CN"/>
        </w:rPr>
        <w:t>附件1：河南省政府采购合同融资政策告知函</w:t>
      </w:r>
      <w:bookmarkEnd w:id="626"/>
      <w:bookmarkEnd w:id="627"/>
      <w:bookmarkEnd w:id="628"/>
      <w:bookmarkEnd w:id="629"/>
      <w:bookmarkEnd w:id="630"/>
      <w:bookmarkEnd w:id="631"/>
      <w:bookmarkEnd w:id="632"/>
      <w:bookmarkEnd w:id="633"/>
      <w:bookmarkEnd w:id="634"/>
      <w:bookmarkEnd w:id="635"/>
      <w:bookmarkEnd w:id="636"/>
      <w:bookmarkEnd w:id="637"/>
      <w:bookmarkEnd w:id="647"/>
      <w:bookmarkEnd w:id="648"/>
    </w:p>
    <w:p w14:paraId="41238ECE">
      <w:pPr>
        <w:widowControl w:val="0"/>
        <w:spacing w:line="360" w:lineRule="auto"/>
        <w:jc w:val="left"/>
        <w:rPr>
          <w:rFonts w:hint="default" w:ascii="Times New Roman" w:hAnsi="Times New Roman" w:eastAsia="仿宋_GB2312" w:cs="Times New Roman"/>
          <w:b/>
          <w:bCs/>
          <w:color w:val="auto"/>
          <w:sz w:val="28"/>
          <w:szCs w:val="28"/>
          <w:lang w:val="en-US" w:eastAsia="zh-CN"/>
        </w:rPr>
      </w:pPr>
    </w:p>
    <w:p w14:paraId="28CDA053">
      <w:pPr>
        <w:spacing w:line="360" w:lineRule="auto"/>
        <w:jc w:val="center"/>
        <w:rPr>
          <w:rFonts w:hint="default" w:ascii="Times New Roman" w:hAnsi="Times New Roman" w:eastAsia="仿宋_GB2312" w:cs="Times New Roman"/>
          <w:b/>
          <w:bCs/>
          <w:color w:val="auto"/>
          <w:sz w:val="28"/>
          <w:szCs w:val="28"/>
          <w:lang w:val="en-US" w:eastAsia="zh-CN"/>
        </w:rPr>
      </w:pPr>
      <w:bookmarkStart w:id="649" w:name="_Toc285380293_WPSOffice_Level1"/>
      <w:bookmarkStart w:id="650" w:name="_Toc495162933_WPSOffice_Level2"/>
      <w:bookmarkStart w:id="651" w:name="_Toc1775221587_WPSOffice_Level1"/>
      <w:bookmarkStart w:id="652" w:name="_Toc587059936_WPSOffice_Level2"/>
      <w:bookmarkStart w:id="653" w:name="_Toc1740618990_WPSOffice_Level1"/>
      <w:r>
        <w:rPr>
          <w:rFonts w:hint="default" w:ascii="Times New Roman" w:hAnsi="Times New Roman" w:eastAsia="仿宋_GB2312" w:cs="Times New Roman"/>
          <w:b/>
          <w:bCs/>
          <w:color w:val="auto"/>
          <w:sz w:val="28"/>
          <w:szCs w:val="28"/>
          <w:lang w:val="en-US" w:eastAsia="zh-CN"/>
        </w:rPr>
        <w:t>河南省政府采购合同融资政策告知函</w:t>
      </w:r>
      <w:bookmarkEnd w:id="649"/>
      <w:bookmarkEnd w:id="650"/>
      <w:bookmarkEnd w:id="651"/>
      <w:bookmarkEnd w:id="652"/>
      <w:bookmarkEnd w:id="653"/>
    </w:p>
    <w:p w14:paraId="60BDEC08">
      <w:pPr>
        <w:widowControl w:val="0"/>
        <w:spacing w:line="360" w:lineRule="auto"/>
        <w:rPr>
          <w:rFonts w:hint="default" w:ascii="Times New Roman" w:hAnsi="Times New Roman" w:eastAsia="仿宋_GB2312" w:cs="Times New Roman"/>
          <w:color w:val="auto"/>
          <w:sz w:val="28"/>
          <w:szCs w:val="28"/>
          <w:lang w:val="en-US" w:eastAsia="zh-CN"/>
        </w:rPr>
      </w:pPr>
    </w:p>
    <w:p w14:paraId="3BAC5B31">
      <w:pPr>
        <w:widowControl w:val="0"/>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各供应商：</w:t>
      </w:r>
    </w:p>
    <w:p w14:paraId="574AC238">
      <w:pPr>
        <w:widowControl w:val="0"/>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欢迎贵公司参与河南省政府采购活动！</w:t>
      </w:r>
    </w:p>
    <w:p w14:paraId="4BC92C95">
      <w:pPr>
        <w:widowControl w:val="0"/>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政府采购合同融资是河南省财政厅支持中小微企业发展，针对参与政府采购活动的投标人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65A2D3A4">
      <w:pPr>
        <w:pStyle w:val="46"/>
        <w:spacing w:line="48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贷款渠道和提供贷款的金融机构，可在河南省政府采购网“河南省政府采购合同融资平台”查询联系。</w:t>
      </w:r>
    </w:p>
    <w:p w14:paraId="6F20C5CA">
      <w:pPr>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sz w:val="28"/>
          <w:szCs w:val="28"/>
          <w:lang w:eastAsia="zh-CN"/>
        </w:rPr>
        <w:br w:type="page"/>
      </w:r>
    </w:p>
    <w:p w14:paraId="71095C90">
      <w:pPr>
        <w:jc w:val="center"/>
        <w:outlineLvl w:val="1"/>
        <w:rPr>
          <w:rFonts w:hint="default" w:ascii="Times New Roman" w:hAnsi="Times New Roman" w:cs="Times New Roman"/>
          <w:b/>
          <w:bCs/>
          <w:color w:val="auto"/>
          <w:sz w:val="32"/>
          <w:szCs w:val="32"/>
          <w:lang w:eastAsia="zh-CN"/>
        </w:rPr>
      </w:pPr>
      <w:r>
        <w:rPr>
          <w:rFonts w:hint="default" w:ascii="Times New Roman" w:hAnsi="Times New Roman" w:eastAsia="仿宋_GB2312" w:cs="Times New Roman"/>
          <w:bCs/>
          <w:color w:val="auto"/>
          <w:kern w:val="0"/>
          <w:sz w:val="28"/>
          <w:szCs w:val="28"/>
          <w:lang w:val="en-US" w:eastAsia="zh-CN"/>
        </w:rPr>
        <w:t>附件2：</w:t>
      </w:r>
      <w:bookmarkStart w:id="654" w:name="_Toc347624563"/>
      <w:bookmarkStart w:id="655" w:name="_Toc853194655"/>
      <w:bookmarkStart w:id="656" w:name="_Toc1587242122"/>
      <w:bookmarkStart w:id="657" w:name="_Toc658018444_WPSOffice_Level2"/>
      <w:r>
        <w:rPr>
          <w:rFonts w:hint="default" w:ascii="Times New Roman" w:hAnsi="Times New Roman" w:cs="Times New Roman"/>
          <w:b/>
          <w:bCs/>
          <w:color w:val="auto"/>
          <w:sz w:val="32"/>
          <w:szCs w:val="32"/>
          <w:lang w:eastAsia="zh-CN"/>
        </w:rPr>
        <w:t>关于印发中小企业划型标准规定的通知</w:t>
      </w:r>
      <w:bookmarkEnd w:id="654"/>
      <w:bookmarkEnd w:id="655"/>
      <w:bookmarkEnd w:id="656"/>
      <w:bookmarkEnd w:id="657"/>
    </w:p>
    <w:p w14:paraId="3EA4A30E">
      <w:pPr>
        <w:pStyle w:val="46"/>
        <w:spacing w:line="480" w:lineRule="exact"/>
        <w:jc w:val="center"/>
        <w:rPr>
          <w:rFonts w:hint="default" w:ascii="Times New Roman" w:hAnsi="Times New Roman" w:eastAsia="仿宋_GB2312" w:cs="Times New Roman"/>
          <w:color w:val="auto"/>
          <w:sz w:val="28"/>
          <w:szCs w:val="28"/>
        </w:rPr>
      </w:pPr>
      <w:bookmarkStart w:id="658" w:name="_Toc1413325678_WPSOffice_Level3"/>
      <w:r>
        <w:rPr>
          <w:rFonts w:hint="default" w:ascii="Times New Roman" w:hAnsi="Times New Roman" w:eastAsia="仿宋_GB2312" w:cs="Times New Roman"/>
          <w:color w:val="auto"/>
          <w:sz w:val="28"/>
          <w:szCs w:val="28"/>
        </w:rPr>
        <w:t>工信部联企业[2011]300号</w:t>
      </w:r>
      <w:bookmarkEnd w:id="658"/>
    </w:p>
    <w:p w14:paraId="031E2064">
      <w:pPr>
        <w:pStyle w:val="46"/>
        <w:spacing w:line="48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各省、自治区、直辖市人民政府，国务院各部委、各直属机构及有关单位：</w:t>
      </w:r>
    </w:p>
    <w:p w14:paraId="7FDD3728">
      <w:pPr>
        <w:pStyle w:val="46"/>
        <w:spacing w:line="48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662CDA72">
      <w:pPr>
        <w:pStyle w:val="46"/>
        <w:spacing w:line="480" w:lineRule="exact"/>
        <w:jc w:val="righ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工业和信息化部　国家统计局</w:t>
      </w:r>
    </w:p>
    <w:p w14:paraId="21D17F98">
      <w:pPr>
        <w:pStyle w:val="46"/>
        <w:spacing w:line="480" w:lineRule="exact"/>
        <w:jc w:val="righ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国家发展和改革委员会　财政部</w:t>
      </w:r>
    </w:p>
    <w:p w14:paraId="3A6846F0">
      <w:pPr>
        <w:pStyle w:val="46"/>
        <w:spacing w:line="480" w:lineRule="exact"/>
        <w:jc w:val="righ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二〇一一年六月十八日</w:t>
      </w:r>
    </w:p>
    <w:p w14:paraId="4FF0CB27">
      <w:pPr>
        <w:pStyle w:val="46"/>
        <w:spacing w:line="48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附件： </w:t>
      </w:r>
    </w:p>
    <w:p w14:paraId="3F54B68B">
      <w:pPr>
        <w:pStyle w:val="46"/>
        <w:spacing w:line="480" w:lineRule="exact"/>
        <w:jc w:val="center"/>
        <w:rPr>
          <w:rFonts w:hint="default" w:ascii="Times New Roman" w:hAnsi="Times New Roman" w:eastAsia="仿宋_GB2312" w:cs="Times New Roman"/>
          <w:color w:val="auto"/>
          <w:sz w:val="28"/>
          <w:szCs w:val="28"/>
        </w:rPr>
      </w:pPr>
      <w:bookmarkStart w:id="659" w:name="_Toc1817875417_WPSOffice_Level2"/>
      <w:r>
        <w:rPr>
          <w:rStyle w:val="55"/>
          <w:rFonts w:hint="default" w:ascii="Times New Roman" w:hAnsi="Times New Roman" w:eastAsia="仿宋_GB2312" w:cs="Times New Roman"/>
          <w:color w:val="auto"/>
          <w:sz w:val="28"/>
          <w:szCs w:val="28"/>
        </w:rPr>
        <w:t>中小企业划型标准规定</w:t>
      </w:r>
      <w:bookmarkEnd w:id="659"/>
    </w:p>
    <w:p w14:paraId="29F68CF2">
      <w:pPr>
        <w:pStyle w:val="46"/>
        <w:spacing w:line="48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xml:space="preserve">    一、根据《中华人民共和国中小企业促进法》和《国务院关于进一步促进中小企业发展的若干意见》(国发〔2009〕36号)，制定本规定。</w:t>
      </w:r>
    </w:p>
    <w:p w14:paraId="01855867">
      <w:pPr>
        <w:pStyle w:val="46"/>
        <w:spacing w:line="48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二、中小企业划分为中型、小型、微型三种类型，具体标准根据企业从业人员、营业收入、资产总额等指标，结合行业特点制定。</w:t>
      </w:r>
    </w:p>
    <w:p w14:paraId="69BB97EA">
      <w:pPr>
        <w:pStyle w:val="46"/>
        <w:spacing w:line="48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0202516F">
      <w:pPr>
        <w:pStyle w:val="46"/>
        <w:spacing w:line="48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四、各行业划型标准为：</w:t>
      </w:r>
    </w:p>
    <w:p w14:paraId="62D66D54">
      <w:pPr>
        <w:pStyle w:val="46"/>
        <w:spacing w:line="48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（一）农、林、牧、渔业。营业收入20000万元以下的为中小微型企业。其中，营业收入500万元及以上的为中型企业，营业收入50万元及以上的为小型企业，营业收入50万元以下的为微型企业。</w:t>
      </w:r>
    </w:p>
    <w:p w14:paraId="05EAE3EB">
      <w:pPr>
        <w:pStyle w:val="46"/>
        <w:spacing w:line="48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CEB7D18">
      <w:pPr>
        <w:pStyle w:val="46"/>
        <w:spacing w:line="48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AB78047">
      <w:pPr>
        <w:pStyle w:val="46"/>
        <w:spacing w:line="48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1779F533">
      <w:pPr>
        <w:pStyle w:val="46"/>
        <w:spacing w:line="48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5210004">
      <w:pPr>
        <w:pStyle w:val="46"/>
        <w:spacing w:line="48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530D3CC9">
      <w:pPr>
        <w:pStyle w:val="46"/>
        <w:spacing w:line="48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64DDB87E">
      <w:pPr>
        <w:pStyle w:val="46"/>
        <w:spacing w:line="48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D51E37B">
      <w:pPr>
        <w:pStyle w:val="46"/>
        <w:spacing w:line="48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28B77D7">
      <w:pPr>
        <w:pStyle w:val="46"/>
        <w:spacing w:line="48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4A8C0B3">
      <w:pPr>
        <w:pStyle w:val="46"/>
        <w:spacing w:line="48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0FC27A7C">
      <w:pPr>
        <w:pStyle w:val="46"/>
        <w:spacing w:line="48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ABDCADD">
      <w:pPr>
        <w:pStyle w:val="46"/>
        <w:spacing w:line="48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F11D9E4">
      <w:pPr>
        <w:pStyle w:val="46"/>
        <w:spacing w:line="48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08034A85">
      <w:pPr>
        <w:pStyle w:val="46"/>
        <w:spacing w:line="48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3BC9330F">
      <w:pPr>
        <w:pStyle w:val="46"/>
        <w:spacing w:line="48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（十六）其他未列明行业。从业人员300人以下的为中小微型企业。其中，从业人员100人及以上的为中型企业；从业人员10人及以上的为小型企业；从业人员10人以下的为微型企业。</w:t>
      </w:r>
    </w:p>
    <w:p w14:paraId="7FBB693D">
      <w:pPr>
        <w:pStyle w:val="46"/>
        <w:spacing w:line="48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五、企业类型的划分以统计部门的统计数据为依据。</w:t>
      </w:r>
    </w:p>
    <w:p w14:paraId="4A146A05">
      <w:pPr>
        <w:pStyle w:val="46"/>
        <w:spacing w:line="48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六、本规定适用于在中华人民共和国境内依法设立的各类所有制和各种组织形式的企业。个体工商户和本规定以外的行业，参照本规定进行划型。</w:t>
      </w:r>
    </w:p>
    <w:p w14:paraId="72289EA9">
      <w:pPr>
        <w:pStyle w:val="46"/>
        <w:spacing w:line="48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七、本规定的中型企业标准上限即为大型企业标准的下限，国家统计部门据此制定大中小微型企业的统计分类。国务院有关部门据此进行相关数据分析，不得制定与本规定不一致的企业划型标准。</w:t>
      </w:r>
    </w:p>
    <w:p w14:paraId="261C8E39">
      <w:pPr>
        <w:pStyle w:val="46"/>
        <w:spacing w:line="48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八、本规定由工业和信息化部、国家统计局会同有关部门根据《国民经济行业分类》修订情况和企业发展变化情况适时修订。</w:t>
      </w:r>
    </w:p>
    <w:p w14:paraId="61F74722">
      <w:pPr>
        <w:pStyle w:val="46"/>
        <w:spacing w:line="48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九、本规定由工业和信息化部、国家统计局会同有关部门负责解释。</w:t>
      </w:r>
    </w:p>
    <w:p w14:paraId="4E72A3F7">
      <w:pPr>
        <w:pStyle w:val="46"/>
        <w:spacing w:line="48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　　十、本规定自发布之日起执行，原国家经贸委、原国家计委、财政部和国家统计局2003年颁布的《中小企业标准暂行规定》同时废止。</w:t>
      </w:r>
    </w:p>
    <w:sectPr>
      <w:headerReference r:id="rId9" w:type="default"/>
      <w:footerReference r:id="rId10" w:type="default"/>
      <w:pgSz w:w="11900" w:h="16840"/>
      <w:pgMar w:top="1440" w:right="1797" w:bottom="1440" w:left="1797" w:header="851" w:footer="992"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5B009D3-9A9A-4CDC-A15C-66B3E64E721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panose1 w:val="020B0604020202020204"/>
    <w:charset w:val="86"/>
    <w:family w:val="roman"/>
    <w:pitch w:val="default"/>
    <w:sig w:usb0="FFFFFFFF" w:usb1="E9FFFFFF" w:usb2="0000003F" w:usb3="00000000" w:csb0="603F01FF" w:csb1="FFFF0000"/>
    <w:embedRegular r:id="rId2" w:fontKey="{FD9ABC2F-B77C-4A1F-A84A-8429D96BCE4A}"/>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FDD88015-8003-4FC9-AEE2-26DBE9FF83E9}"/>
  </w:font>
  <w:font w:name="楷体_GB2312">
    <w:altName w:val="楷体"/>
    <w:panose1 w:val="02010609030101010101"/>
    <w:charset w:val="00"/>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monospace">
    <w:altName w:val="华文仿宋"/>
    <w:panose1 w:val="00000000000000000000"/>
    <w:charset w:val="00"/>
    <w:family w:val="auto"/>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Helvetica Neue">
    <w:altName w:val="DejaVu Math TeX Gyre"/>
    <w:panose1 w:val="00000000000000000000"/>
    <w:charset w:val="00"/>
    <w:family w:val="auto"/>
    <w:pitch w:val="default"/>
    <w:sig w:usb0="00000000" w:usb1="00000000" w:usb2="00000010" w:usb3="00000000" w:csb0="00000000" w:csb1="00000000"/>
  </w:font>
  <w:font w:name="DejaVu Math TeX Gyre">
    <w:panose1 w:val="02000503000000000000"/>
    <w:charset w:val="00"/>
    <w:family w:val="auto"/>
    <w:pitch w:val="default"/>
    <w:sig w:usb0="A10000EF" w:usb1="4201F9EE" w:usb2="02000000" w:usb3="00000000" w:csb0="60000193" w:csb1="0DD4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4" w:fontKey="{792B2572-FEF1-4231-83AE-455D4CB13AD3}"/>
  </w:font>
  <w:font w:name="Microsoft YaHei UI">
    <w:panose1 w:val="020B0503020204020204"/>
    <w:charset w:val="86"/>
    <w:family w:val="swiss"/>
    <w:pitch w:val="default"/>
    <w:sig w:usb0="80000287" w:usb1="2ACF3C50" w:usb2="00000016" w:usb3="00000000" w:csb0="0004001F" w:csb1="00000000"/>
  </w:font>
  <w:font w:name="??">
    <w:altName w:val="DejaVu Math TeX Gyre"/>
    <w:panose1 w:val="00000000000000000000"/>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embedRegular r:id="rId5" w:fontKey="{798EDA08-CEE6-4DFF-846C-0FEDB01113AC}"/>
  </w:font>
  <w:font w:name="方正黑体_GBK">
    <w:altName w:val="微软雅黑"/>
    <w:panose1 w:val="02000000000000000000"/>
    <w:charset w:val="86"/>
    <w:family w:val="auto"/>
    <w:pitch w:val="default"/>
    <w:sig w:usb0="00000000" w:usb1="00000000" w:usb2="00000000" w:usb3="00000000" w:csb0="00040000" w:csb1="00000000"/>
    <w:embedRegular r:id="rId6" w:fontKey="{0617BD32-A2BB-4B0F-862D-5AE5F53E9FD4}"/>
  </w:font>
  <w:font w:name="方正小标宋_GBK">
    <w:altName w:val="微软雅黑"/>
    <w:panose1 w:val="02000000000000000000"/>
    <w:charset w:val="86"/>
    <w:family w:val="auto"/>
    <w:pitch w:val="default"/>
    <w:sig w:usb0="00000000" w:usb1="00000000" w:usb2="00000000" w:usb3="00000000" w:csb0="00040000" w:csb1="00000000"/>
    <w:embedRegular r:id="rId7" w:fontKey="{3490C9AA-E987-4707-9384-3FD8E5D7A5CA}"/>
  </w:font>
  <w:font w:name="PMingLiU">
    <w:altName w:val="Perpetua Titling MT"/>
    <w:panose1 w:val="02020500000000000000"/>
    <w:charset w:val="00"/>
    <w:family w:val="roman"/>
    <w:pitch w:val="default"/>
    <w:sig w:usb0="00000000" w:usb1="00000000" w:usb2="00000016" w:usb3="00000000" w:csb0="00100001" w:csb1="00000000"/>
    <w:embedRegular r:id="rId8" w:fontKey="{33E07A1C-EA03-4F6D-9A2B-FB5FEA8FB100}"/>
  </w:font>
  <w:font w:name="Perpetua Titling MT">
    <w:panose1 w:val="02020502060505020804"/>
    <w:charset w:val="00"/>
    <w:family w:val="auto"/>
    <w:pitch w:val="default"/>
    <w:sig w:usb0="00000003" w:usb1="00000000" w:usb2="00000000" w:usb3="00000000" w:csb0="20000001" w:csb1="00000000"/>
  </w:font>
  <w:font w:name="CESI楷体-GB2312">
    <w:altName w:val="宋体"/>
    <w:panose1 w:val="02000500000000000000"/>
    <w:charset w:val="86"/>
    <w:family w:val="auto"/>
    <w:pitch w:val="default"/>
    <w:sig w:usb0="00000000" w:usb1="00000000" w:usb2="00000012" w:usb3="00000000" w:csb0="0004000F" w:csb1="00000000"/>
    <w:embedRegular r:id="rId9" w:fontKey="{EB656B39-9655-455F-AC58-A97A5E6E2626}"/>
  </w:font>
  <w:font w:name="CESI仿宋-GB2312">
    <w:altName w:val="仿宋"/>
    <w:panose1 w:val="02000500000000000000"/>
    <w:charset w:val="86"/>
    <w:family w:val="auto"/>
    <w:pitch w:val="default"/>
    <w:sig w:usb0="00000000" w:usb1="00000000" w:usb2="00000010" w:usb3="00000000" w:csb0="0004000F" w:csb1="00000000"/>
    <w:embedRegular r:id="rId10" w:fontKey="{3098C54A-EF22-44FA-9D0E-CD1354634F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36183">
    <w:pPr>
      <w:pStyle w:val="28"/>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286385" cy="163195"/>
              <wp:effectExtent l="0" t="0" r="0" b="0"/>
              <wp:wrapNone/>
              <wp:docPr id="1905672669"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86385" cy="163195"/>
                      </a:xfrm>
                      <a:prstGeom prst="rect">
                        <a:avLst/>
                      </a:prstGeom>
                      <a:noFill/>
                      <a:ln>
                        <a:noFill/>
                      </a:ln>
                      <a:effectLst/>
                    </wps:spPr>
                    <wps:txbx>
                      <w:txbxContent>
                        <w:p w14:paraId="237B7CE5">
                          <w:pPr>
                            <w:pStyle w:val="28"/>
                            <w:rPr>
                              <w:rFonts w:hint="eastAsia"/>
                            </w:rPr>
                          </w:pPr>
                          <w:r>
                            <w:fldChar w:fldCharType="begin"/>
                          </w:r>
                          <w:r>
                            <w:instrText xml:space="preserve"> PAGE  \* MERGEFORMAT </w:instrText>
                          </w:r>
                          <w:r>
                            <w:fldChar w:fldCharType="separate"/>
                          </w:r>
                          <w:r>
                            <w:t>1</w:t>
                          </w:r>
                          <w:r>
                            <w:fldChar w:fldCharType="end"/>
                          </w:r>
                        </w:p>
                      </w:txbxContent>
                    </wps:txbx>
                    <wps:bodyPr rot="0" vert="horz" wrap="square" lIns="0" tIns="0" rIns="0" bIns="0" anchor="t" anchorCtr="0" upright="1">
                      <a:noAutofit/>
                    </wps:bodyPr>
                  </wps:wsp>
                </a:graphicData>
              </a:graphic>
            </wp:anchor>
          </w:drawing>
        </mc:Choice>
        <mc:Fallback>
          <w:pict>
            <v:shape id="文本框 1" o:spid="_x0000_s1026" o:spt="202" type="#_x0000_t202" style="position:absolute;left:0pt;margin-top:0pt;height:12.85pt;width:22.55pt;mso-position-horizontal:center;mso-position-horizontal-relative:margin;z-index:251661312;mso-width-relative:page;mso-height-relative:page;" filled="f" stroked="f" coordsize="21600,21600" o:gfxdata="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CBeKN1AAAAAMBAAAPAAAA&#10;AAAAAAEAIAAAACIAAABkcnMvZG93bnJldi54bWxQSwECFAAUAAAACACHTuJA/Mu1UxkCAAAbBAAA&#10;DgAAAAAAAAABACAAAAAjAQAAZHJzL2Uyb0RvYy54bWxQSwUGAAAAAAYABgBZAQAArgUAAAAA&#10;">
              <v:fill on="f" focussize="0,0"/>
              <v:stroke on="f"/>
              <v:imagedata o:title=""/>
              <o:lock v:ext="edit" aspectratio="f"/>
              <v:textbox inset="0mm,0mm,0mm,0mm">
                <w:txbxContent>
                  <w:p w14:paraId="237B7CE5">
                    <w:pPr>
                      <w:pStyle w:val="28"/>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12935">
    <w:pPr>
      <w:pStyle w:val="28"/>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47955"/>
              <wp:effectExtent l="0" t="0" r="0" b="0"/>
              <wp:wrapNone/>
              <wp:docPr id="192011403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a:effectLst/>
                    </wps:spPr>
                    <wps:txbx>
                      <w:txbxContent>
                        <w:p w14:paraId="39573289">
                          <w:pPr>
                            <w:pStyle w:val="28"/>
                            <w:rPr>
                              <w:rFonts w:hint="eastAsia"/>
                            </w:rPr>
                          </w:pPr>
                          <w:r>
                            <w:fldChar w:fldCharType="begin"/>
                          </w:r>
                          <w:r>
                            <w:instrText xml:space="preserve"> PAGE  \* MERGEFORMAT </w:instrText>
                          </w:r>
                          <w:r>
                            <w:fldChar w:fldCharType="separate"/>
                          </w:r>
                          <w:r>
                            <w:t>47</w:t>
                          </w:r>
                          <w:r>
                            <w:fldChar w:fldCharType="end"/>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1.65pt;width:9.05pt;mso-position-horizontal:center;mso-position-horizontal-relative:margin;mso-wrap-style:none;z-index:251659264;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ulvw/RAAAAAwEAAA8AAAAAAAAAAQAg&#10;AAAAIgAAAGRycy9kb3ducmV2LnhtbFBLAQIUABQAAAAIAIdO4kBYuHFvFQIAABkEAAAOAAAAAAAA&#10;AAEAIAAAACABAABkcnMvZTJvRG9jLnhtbFBLBQYAAAAABgAGAFkBAACnBQAAAAA=&#10;">
              <v:fill on="f" focussize="0,0"/>
              <v:stroke on="f"/>
              <v:imagedata o:title=""/>
              <o:lock v:ext="edit" aspectratio="f"/>
              <v:textbox inset="0mm,0mm,0mm,0mm" style="mso-fit-shape-to-text:t;">
                <w:txbxContent>
                  <w:p w14:paraId="39573289">
                    <w:pPr>
                      <w:pStyle w:val="28"/>
                      <w:rPr>
                        <w:rFonts w:hint="eastAsia"/>
                      </w:rPr>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63AEF">
    <w:pPr>
      <w:pStyle w:val="28"/>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47955"/>
              <wp:effectExtent l="0" t="0" r="0" b="0"/>
              <wp:wrapNone/>
              <wp:docPr id="564297008" name="文本框 7"/>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a:effectLst/>
                    </wps:spPr>
                    <wps:txbx>
                      <w:txbxContent>
                        <w:p w14:paraId="1D27E321">
                          <w:pPr>
                            <w:pStyle w:val="28"/>
                            <w:rPr>
                              <w:rFonts w:hint="eastAsia"/>
                            </w:rPr>
                          </w:pPr>
                          <w:r>
                            <w:fldChar w:fldCharType="begin"/>
                          </w:r>
                          <w:r>
                            <w:instrText xml:space="preserve"> PAGE  \* MERGEFORMAT </w:instrText>
                          </w:r>
                          <w:r>
                            <w:fldChar w:fldCharType="separate"/>
                          </w:r>
                          <w:r>
                            <w:t>51</w:t>
                          </w:r>
                          <w:r>
                            <w:fldChar w:fldCharType="end"/>
                          </w:r>
                        </w:p>
                      </w:txbxContent>
                    </wps:txbx>
                    <wps:bodyPr rot="0" vert="horz" wrap="none" lIns="0" tIns="0" rIns="0" bIns="0" anchor="t" anchorCtr="0" upright="1">
                      <a:spAutoFit/>
                    </wps:bodyPr>
                  </wps:wsp>
                </a:graphicData>
              </a:graphic>
            </wp:anchor>
          </w:drawing>
        </mc:Choice>
        <mc:Fallback>
          <w:pict>
            <v:shape id="文本框 7" o:spid="_x0000_s1026" o:spt="202" type="#_x0000_t202" style="position:absolute;left:0pt;margin-top:0pt;height:11.65pt;width:9.05pt;mso-position-horizontal:center;mso-position-horizontal-relative:margin;mso-wrap-style:none;z-index:251660288;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rpb8P0QAAAAMBAAAPAAAAAAAAAAEA&#10;IAAAACIAAABkcnMvZG93bnJldi54bWxQSwECFAAUAAAACACHTuJAnyEQhxYCAAAYBAAADgAAAAAA&#10;AAABACAAAAAgAQAAZHJzL2Uyb0RvYy54bWxQSwUGAAAAAAYABgBZAQAAqAUAAAAA&#10;">
              <v:fill on="f" focussize="0,0"/>
              <v:stroke on="f"/>
              <v:imagedata o:title=""/>
              <o:lock v:ext="edit" aspectratio="f"/>
              <v:textbox inset="0mm,0mm,0mm,0mm" style="mso-fit-shape-to-text:t;">
                <w:txbxContent>
                  <w:p w14:paraId="1D27E321">
                    <w:pPr>
                      <w:pStyle w:val="28"/>
                      <w:rPr>
                        <w:rFonts w:hint="eastAsia"/>
                      </w:rPr>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772AE">
    <w:pPr>
      <w:pStyle w:val="28"/>
      <w:ind w:right="360"/>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47955"/>
              <wp:effectExtent l="0" t="0" r="0" b="0"/>
              <wp:wrapNone/>
              <wp:docPr id="2853106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a:effectLst/>
                    </wps:spPr>
                    <wps:txbx>
                      <w:txbxContent>
                        <w:p w14:paraId="487D1657">
                          <w:pPr>
                            <w:pStyle w:val="28"/>
                            <w:rPr>
                              <w:rFonts w:hint="eastAsia"/>
                            </w:rPr>
                          </w:pPr>
                          <w:r>
                            <w:fldChar w:fldCharType="begin"/>
                          </w:r>
                          <w:r>
                            <w:instrText xml:space="preserve"> PAGE  \* MERGEFORMAT </w:instrText>
                          </w:r>
                          <w:r>
                            <w:fldChar w:fldCharType="separate"/>
                          </w:r>
                          <w:r>
                            <w:t>106</w:t>
                          </w:r>
                          <w:r>
                            <w:fldChar w:fldCharType="end"/>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1.65pt;width:9.05pt;mso-position-horizontal:center;mso-position-horizontal-relative:margin;mso-wrap-style:none;z-index:251662336;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rpb8P0QAAAAMBAAAPAAAAAAAAAAEA&#10;IAAAACIAAABkcnMvZG93bnJldi54bWxQSwECFAAUAAAACACHTuJA1X6GEBYCAAAXBAAADgAAAAAA&#10;AAABACAAAAAgAQAAZHJzL2Uyb0RvYy54bWxQSwUGAAAAAAYABgBZAQAAqAUAAAAA&#10;">
              <v:fill on="f" focussize="0,0"/>
              <v:stroke on="f"/>
              <v:imagedata o:title=""/>
              <o:lock v:ext="edit" aspectratio="f"/>
              <v:textbox inset="0mm,0mm,0mm,0mm" style="mso-fit-shape-to-text:t;">
                <w:txbxContent>
                  <w:p w14:paraId="487D1657">
                    <w:pPr>
                      <w:pStyle w:val="28"/>
                      <w:rPr>
                        <w:rFonts w:hint="eastAsia"/>
                      </w:rPr>
                    </w:pPr>
                    <w:r>
                      <w:fldChar w:fldCharType="begin"/>
                    </w:r>
                    <w:r>
                      <w:instrText xml:space="preserve"> PAGE  \* MERGEFORMAT </w:instrText>
                    </w:r>
                    <w:r>
                      <w:fldChar w:fldCharType="separate"/>
                    </w:r>
                    <w:r>
                      <w:t>106</w:t>
                    </w:r>
                    <w: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153035"/>
              <wp:effectExtent l="0" t="0" r="0" b="0"/>
              <wp:wrapNone/>
              <wp:docPr id="2051857185"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752E5126">
                          <w:pPr>
                            <w:rPr>
                              <w:rFonts w:hint="default"/>
                            </w:rPr>
                          </w:pP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2.05pt;width:9.05pt;mso-position-horizontal:center;mso-position-horizontal-relative:margin;mso-wrap-style:none;z-index:251663360;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JBU+a0AAAAAMBAAAPAAAAAAAAAAEAIAAA&#10;ACIAAABkcnMvZG93bnJldi54bWxQSwECFAAUAAAACACHTuJAtg7G9RQCAAAZBAAADgAAAAAAAAAB&#10;ACAAAAAfAQAAZHJzL2Uyb0RvYy54bWxQSwUGAAAAAAYABgBZAQAApQUAAAAA&#10;">
              <v:fill on="f" focussize="0,0"/>
              <v:stroke on="f"/>
              <v:imagedata o:title=""/>
              <o:lock v:ext="edit" aspectratio="f"/>
              <v:textbox inset="0mm,0mm,0mm,0mm" style="mso-fit-shape-to-text:t;">
                <w:txbxContent>
                  <w:p w14:paraId="752E5126">
                    <w:pPr>
                      <w:rPr>
                        <w:rFonts w:hint="default"/>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C7A3F">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4F6B5">
    <w:pPr>
      <w:pStyle w:val="18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A711A">
    <w:pPr>
      <w:pStyle w:val="18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08226">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B0EAF9"/>
    <w:multiLevelType w:val="singleLevel"/>
    <w:tmpl w:val="BFB0EAF9"/>
    <w:lvl w:ilvl="0" w:tentative="0">
      <w:start w:val="4"/>
      <w:numFmt w:val="chineseCounting"/>
      <w:suff w:val="nothing"/>
      <w:lvlText w:val="%1、"/>
      <w:lvlJc w:val="left"/>
      <w:rPr>
        <w:rFonts w:hint="eastAsia"/>
      </w:rPr>
    </w:lvl>
  </w:abstractNum>
  <w:abstractNum w:abstractNumId="1">
    <w:nsid w:val="3153D635"/>
    <w:multiLevelType w:val="singleLevel"/>
    <w:tmpl w:val="3153D635"/>
    <w:lvl w:ilvl="0" w:tentative="0">
      <w:start w:val="2"/>
      <w:numFmt w:val="decimal"/>
      <w:suff w:val="nothing"/>
      <w:lvlText w:val="（%1）"/>
      <w:lvlJc w:val="left"/>
      <w:pPr>
        <w:ind w:left="560" w:firstLine="0"/>
      </w:pPr>
    </w:lvl>
  </w:abstractNum>
  <w:abstractNum w:abstractNumId="2">
    <w:nsid w:val="62656752"/>
    <w:multiLevelType w:val="multilevel"/>
    <w:tmpl w:val="62656752"/>
    <w:lvl w:ilvl="0" w:tentative="0">
      <w:start w:val="11"/>
      <w:numFmt w:val="decimal"/>
      <w:suff w:val="nothing"/>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6E9A9296"/>
    <w:multiLevelType w:val="singleLevel"/>
    <w:tmpl w:val="6E9A9296"/>
    <w:lvl w:ilvl="0" w:tentative="0">
      <w:start w:val="2"/>
      <w:numFmt w:val="decimal"/>
      <w:lvlText w:val="%1."/>
      <w:lvlJc w:val="left"/>
      <w:pPr>
        <w:tabs>
          <w:tab w:val="left" w:pos="312"/>
        </w:tabs>
      </w:pPr>
    </w:lvl>
  </w:abstractNum>
  <w:abstractNum w:abstractNumId="4">
    <w:nsid w:val="7F7BE2C3"/>
    <w:multiLevelType w:val="singleLevel"/>
    <w:tmpl w:val="7F7BE2C3"/>
    <w:lvl w:ilvl="0" w:tentative="0">
      <w:start w:val="1"/>
      <w:numFmt w:val="chineseCounting"/>
      <w:suff w:val="space"/>
      <w:lvlText w:val="第%1章"/>
      <w:lvlJc w:val="left"/>
      <w:rPr>
        <w:rFonts w:hint="eastAsia"/>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1MzFhYzhmZjhiNDYxODI2ODA4MjU5OTdjNTI2NGIifQ=="/>
    <w:docVar w:name="KSO_WPS_MARK_KEY" w:val="3744f22e-c4fe-43f0-b56d-9a3c5376fde0"/>
  </w:docVars>
  <w:rsids>
    <w:rsidRoot w:val="00216A94"/>
    <w:rsid w:val="0000339B"/>
    <w:rsid w:val="00005D94"/>
    <w:rsid w:val="00013FA9"/>
    <w:rsid w:val="0002279F"/>
    <w:rsid w:val="00023995"/>
    <w:rsid w:val="000278F5"/>
    <w:rsid w:val="00030E2D"/>
    <w:rsid w:val="00032D59"/>
    <w:rsid w:val="000340B2"/>
    <w:rsid w:val="00040BA2"/>
    <w:rsid w:val="00040E52"/>
    <w:rsid w:val="00041A6C"/>
    <w:rsid w:val="00056878"/>
    <w:rsid w:val="00060BC3"/>
    <w:rsid w:val="00063FA1"/>
    <w:rsid w:val="00066EBC"/>
    <w:rsid w:val="000702AC"/>
    <w:rsid w:val="000708D6"/>
    <w:rsid w:val="00073941"/>
    <w:rsid w:val="000768FB"/>
    <w:rsid w:val="00080242"/>
    <w:rsid w:val="00083D5E"/>
    <w:rsid w:val="00086D49"/>
    <w:rsid w:val="00094ACC"/>
    <w:rsid w:val="000A0377"/>
    <w:rsid w:val="000A25C2"/>
    <w:rsid w:val="000A3106"/>
    <w:rsid w:val="000B0077"/>
    <w:rsid w:val="000B13BA"/>
    <w:rsid w:val="000B340A"/>
    <w:rsid w:val="000B69C5"/>
    <w:rsid w:val="000B7ED5"/>
    <w:rsid w:val="000C46FC"/>
    <w:rsid w:val="000D1261"/>
    <w:rsid w:val="000D5739"/>
    <w:rsid w:val="000D66F9"/>
    <w:rsid w:val="000E1629"/>
    <w:rsid w:val="000E3CD1"/>
    <w:rsid w:val="000F047E"/>
    <w:rsid w:val="000F48D2"/>
    <w:rsid w:val="000F5220"/>
    <w:rsid w:val="000F56A0"/>
    <w:rsid w:val="000F76A5"/>
    <w:rsid w:val="00100BFC"/>
    <w:rsid w:val="001028E5"/>
    <w:rsid w:val="00103728"/>
    <w:rsid w:val="00104FD4"/>
    <w:rsid w:val="0011787C"/>
    <w:rsid w:val="00131758"/>
    <w:rsid w:val="00133AC5"/>
    <w:rsid w:val="001341E0"/>
    <w:rsid w:val="001371D6"/>
    <w:rsid w:val="001435EA"/>
    <w:rsid w:val="00146A9F"/>
    <w:rsid w:val="00152BB5"/>
    <w:rsid w:val="00153C28"/>
    <w:rsid w:val="00163227"/>
    <w:rsid w:val="00165A43"/>
    <w:rsid w:val="00167E96"/>
    <w:rsid w:val="00174096"/>
    <w:rsid w:val="00175178"/>
    <w:rsid w:val="001811B2"/>
    <w:rsid w:val="001828B5"/>
    <w:rsid w:val="00196B51"/>
    <w:rsid w:val="001A0B0B"/>
    <w:rsid w:val="001A3C68"/>
    <w:rsid w:val="001A7E62"/>
    <w:rsid w:val="001C1447"/>
    <w:rsid w:val="001D16CC"/>
    <w:rsid w:val="001D1848"/>
    <w:rsid w:val="001D25F1"/>
    <w:rsid w:val="001D3EBB"/>
    <w:rsid w:val="001E0808"/>
    <w:rsid w:val="001E2BFA"/>
    <w:rsid w:val="001E2D18"/>
    <w:rsid w:val="001E78A9"/>
    <w:rsid w:val="001F1D9E"/>
    <w:rsid w:val="001F3AC0"/>
    <w:rsid w:val="001F68EC"/>
    <w:rsid w:val="00202E75"/>
    <w:rsid w:val="002044CB"/>
    <w:rsid w:val="0021412B"/>
    <w:rsid w:val="00216A94"/>
    <w:rsid w:val="00217F9F"/>
    <w:rsid w:val="00223B9E"/>
    <w:rsid w:val="002258F0"/>
    <w:rsid w:val="00230A77"/>
    <w:rsid w:val="00232D71"/>
    <w:rsid w:val="00234100"/>
    <w:rsid w:val="00236352"/>
    <w:rsid w:val="00245934"/>
    <w:rsid w:val="00246F78"/>
    <w:rsid w:val="00250D8F"/>
    <w:rsid w:val="00263DD7"/>
    <w:rsid w:val="00267021"/>
    <w:rsid w:val="00270F4D"/>
    <w:rsid w:val="00273B04"/>
    <w:rsid w:val="002740BF"/>
    <w:rsid w:val="00280746"/>
    <w:rsid w:val="002A05BB"/>
    <w:rsid w:val="002A5A62"/>
    <w:rsid w:val="002B0422"/>
    <w:rsid w:val="002B216E"/>
    <w:rsid w:val="002B6FB9"/>
    <w:rsid w:val="002B7307"/>
    <w:rsid w:val="002C1E69"/>
    <w:rsid w:val="002D1B9B"/>
    <w:rsid w:val="002E6413"/>
    <w:rsid w:val="00306509"/>
    <w:rsid w:val="00312F8B"/>
    <w:rsid w:val="003146DD"/>
    <w:rsid w:val="00317F86"/>
    <w:rsid w:val="0032097B"/>
    <w:rsid w:val="00352430"/>
    <w:rsid w:val="00354EBD"/>
    <w:rsid w:val="00364FA8"/>
    <w:rsid w:val="00365A07"/>
    <w:rsid w:val="00365D57"/>
    <w:rsid w:val="00372EE0"/>
    <w:rsid w:val="00374202"/>
    <w:rsid w:val="00380482"/>
    <w:rsid w:val="00390856"/>
    <w:rsid w:val="003920CD"/>
    <w:rsid w:val="0039526F"/>
    <w:rsid w:val="003B2B3C"/>
    <w:rsid w:val="003B407A"/>
    <w:rsid w:val="003B6D07"/>
    <w:rsid w:val="003D1FAE"/>
    <w:rsid w:val="003E26F2"/>
    <w:rsid w:val="003E5A26"/>
    <w:rsid w:val="003F0138"/>
    <w:rsid w:val="003F1F8D"/>
    <w:rsid w:val="003F78A5"/>
    <w:rsid w:val="00404BF9"/>
    <w:rsid w:val="00413EAF"/>
    <w:rsid w:val="004215D5"/>
    <w:rsid w:val="0042798D"/>
    <w:rsid w:val="00435C05"/>
    <w:rsid w:val="00442B80"/>
    <w:rsid w:val="00445E70"/>
    <w:rsid w:val="00450FFC"/>
    <w:rsid w:val="00452AC8"/>
    <w:rsid w:val="00462D9E"/>
    <w:rsid w:val="00463F76"/>
    <w:rsid w:val="00465593"/>
    <w:rsid w:val="00466704"/>
    <w:rsid w:val="004667CC"/>
    <w:rsid w:val="004670FA"/>
    <w:rsid w:val="004837B6"/>
    <w:rsid w:val="00484D54"/>
    <w:rsid w:val="004A0263"/>
    <w:rsid w:val="004A1FE2"/>
    <w:rsid w:val="004A40A8"/>
    <w:rsid w:val="004A700E"/>
    <w:rsid w:val="004A7684"/>
    <w:rsid w:val="004B5648"/>
    <w:rsid w:val="004B7B6A"/>
    <w:rsid w:val="004C1A1D"/>
    <w:rsid w:val="004C47F1"/>
    <w:rsid w:val="004C58BA"/>
    <w:rsid w:val="004D27C7"/>
    <w:rsid w:val="004F291E"/>
    <w:rsid w:val="004F480E"/>
    <w:rsid w:val="004F5D3B"/>
    <w:rsid w:val="004F64EF"/>
    <w:rsid w:val="00505367"/>
    <w:rsid w:val="0050673E"/>
    <w:rsid w:val="00506DA2"/>
    <w:rsid w:val="005160F8"/>
    <w:rsid w:val="00523698"/>
    <w:rsid w:val="00525434"/>
    <w:rsid w:val="00526B78"/>
    <w:rsid w:val="00527EC5"/>
    <w:rsid w:val="00546D18"/>
    <w:rsid w:val="00553CD8"/>
    <w:rsid w:val="00554586"/>
    <w:rsid w:val="005616CA"/>
    <w:rsid w:val="00561870"/>
    <w:rsid w:val="00563BD4"/>
    <w:rsid w:val="0058164E"/>
    <w:rsid w:val="00591976"/>
    <w:rsid w:val="00592788"/>
    <w:rsid w:val="00593D29"/>
    <w:rsid w:val="00595C0C"/>
    <w:rsid w:val="00597EFB"/>
    <w:rsid w:val="005A5982"/>
    <w:rsid w:val="005A7D1D"/>
    <w:rsid w:val="005B0A57"/>
    <w:rsid w:val="005B0A9E"/>
    <w:rsid w:val="005C0B69"/>
    <w:rsid w:val="005C2730"/>
    <w:rsid w:val="005C5058"/>
    <w:rsid w:val="005C6ADC"/>
    <w:rsid w:val="005D152F"/>
    <w:rsid w:val="005D6CC6"/>
    <w:rsid w:val="005E36FC"/>
    <w:rsid w:val="005E421E"/>
    <w:rsid w:val="005E46E0"/>
    <w:rsid w:val="005E7C1C"/>
    <w:rsid w:val="005F5F08"/>
    <w:rsid w:val="005F7E31"/>
    <w:rsid w:val="00611E75"/>
    <w:rsid w:val="00617818"/>
    <w:rsid w:val="00622A81"/>
    <w:rsid w:val="00623DC3"/>
    <w:rsid w:val="00632324"/>
    <w:rsid w:val="0063335D"/>
    <w:rsid w:val="006344AB"/>
    <w:rsid w:val="00640D49"/>
    <w:rsid w:val="0064505A"/>
    <w:rsid w:val="006458F4"/>
    <w:rsid w:val="0067435C"/>
    <w:rsid w:val="0068270E"/>
    <w:rsid w:val="00683499"/>
    <w:rsid w:val="006844D7"/>
    <w:rsid w:val="0069744B"/>
    <w:rsid w:val="006A3543"/>
    <w:rsid w:val="006A7A5C"/>
    <w:rsid w:val="006A7E0C"/>
    <w:rsid w:val="006C2008"/>
    <w:rsid w:val="006C56B8"/>
    <w:rsid w:val="006D00CC"/>
    <w:rsid w:val="006E5272"/>
    <w:rsid w:val="006E5586"/>
    <w:rsid w:val="006F19B5"/>
    <w:rsid w:val="006F1B7F"/>
    <w:rsid w:val="006F563B"/>
    <w:rsid w:val="006F68B9"/>
    <w:rsid w:val="007007DA"/>
    <w:rsid w:val="00704218"/>
    <w:rsid w:val="007077FF"/>
    <w:rsid w:val="00710FDA"/>
    <w:rsid w:val="00717BBE"/>
    <w:rsid w:val="00717C57"/>
    <w:rsid w:val="007320ED"/>
    <w:rsid w:val="00735205"/>
    <w:rsid w:val="007467AE"/>
    <w:rsid w:val="007578B3"/>
    <w:rsid w:val="007604C5"/>
    <w:rsid w:val="00762A9D"/>
    <w:rsid w:val="007759CC"/>
    <w:rsid w:val="0078132B"/>
    <w:rsid w:val="007815A4"/>
    <w:rsid w:val="007816D5"/>
    <w:rsid w:val="00783C90"/>
    <w:rsid w:val="00784AF2"/>
    <w:rsid w:val="007863FD"/>
    <w:rsid w:val="007942C6"/>
    <w:rsid w:val="007A2296"/>
    <w:rsid w:val="007A6C49"/>
    <w:rsid w:val="007A6EFF"/>
    <w:rsid w:val="007A6F63"/>
    <w:rsid w:val="007B1C3F"/>
    <w:rsid w:val="007C344B"/>
    <w:rsid w:val="007C5D46"/>
    <w:rsid w:val="007E0A39"/>
    <w:rsid w:val="007E2E71"/>
    <w:rsid w:val="007F0A1D"/>
    <w:rsid w:val="007F5B05"/>
    <w:rsid w:val="007F747E"/>
    <w:rsid w:val="00804611"/>
    <w:rsid w:val="00806264"/>
    <w:rsid w:val="00806DF9"/>
    <w:rsid w:val="008141DD"/>
    <w:rsid w:val="00814E5B"/>
    <w:rsid w:val="008160BF"/>
    <w:rsid w:val="00817729"/>
    <w:rsid w:val="008255D7"/>
    <w:rsid w:val="00841D4C"/>
    <w:rsid w:val="008428D3"/>
    <w:rsid w:val="00854338"/>
    <w:rsid w:val="00854BF6"/>
    <w:rsid w:val="00862CC4"/>
    <w:rsid w:val="00867FFD"/>
    <w:rsid w:val="008714C1"/>
    <w:rsid w:val="00871A0D"/>
    <w:rsid w:val="00884208"/>
    <w:rsid w:val="008864B2"/>
    <w:rsid w:val="008953F8"/>
    <w:rsid w:val="0089557C"/>
    <w:rsid w:val="008B02C5"/>
    <w:rsid w:val="008B19D6"/>
    <w:rsid w:val="008B5A35"/>
    <w:rsid w:val="008B6839"/>
    <w:rsid w:val="008B6D78"/>
    <w:rsid w:val="008C63A7"/>
    <w:rsid w:val="008D0AE3"/>
    <w:rsid w:val="0091007D"/>
    <w:rsid w:val="00912744"/>
    <w:rsid w:val="00921183"/>
    <w:rsid w:val="00923D5B"/>
    <w:rsid w:val="009350E8"/>
    <w:rsid w:val="00937F9C"/>
    <w:rsid w:val="00947B80"/>
    <w:rsid w:val="00947F0F"/>
    <w:rsid w:val="00952370"/>
    <w:rsid w:val="0096594C"/>
    <w:rsid w:val="00965D35"/>
    <w:rsid w:val="00967F69"/>
    <w:rsid w:val="00971476"/>
    <w:rsid w:val="00971821"/>
    <w:rsid w:val="00973331"/>
    <w:rsid w:val="00973A7E"/>
    <w:rsid w:val="009776C8"/>
    <w:rsid w:val="00980901"/>
    <w:rsid w:val="00981DD4"/>
    <w:rsid w:val="009839BF"/>
    <w:rsid w:val="00986DBD"/>
    <w:rsid w:val="009877E2"/>
    <w:rsid w:val="00991236"/>
    <w:rsid w:val="00993064"/>
    <w:rsid w:val="00993C0D"/>
    <w:rsid w:val="0099593B"/>
    <w:rsid w:val="00997B5E"/>
    <w:rsid w:val="009A098D"/>
    <w:rsid w:val="009A4615"/>
    <w:rsid w:val="009B0452"/>
    <w:rsid w:val="009B0C8C"/>
    <w:rsid w:val="009B2974"/>
    <w:rsid w:val="009B2E49"/>
    <w:rsid w:val="009B3F76"/>
    <w:rsid w:val="009B41D7"/>
    <w:rsid w:val="009B677A"/>
    <w:rsid w:val="009C0491"/>
    <w:rsid w:val="009C2A19"/>
    <w:rsid w:val="009C670D"/>
    <w:rsid w:val="009D6CEF"/>
    <w:rsid w:val="009E0464"/>
    <w:rsid w:val="009E3C95"/>
    <w:rsid w:val="009F4C1B"/>
    <w:rsid w:val="009F5748"/>
    <w:rsid w:val="00A00FF9"/>
    <w:rsid w:val="00A03327"/>
    <w:rsid w:val="00A12686"/>
    <w:rsid w:val="00A13447"/>
    <w:rsid w:val="00A235B8"/>
    <w:rsid w:val="00A259FC"/>
    <w:rsid w:val="00A30FB7"/>
    <w:rsid w:val="00A31225"/>
    <w:rsid w:val="00A336E6"/>
    <w:rsid w:val="00A404D9"/>
    <w:rsid w:val="00A45467"/>
    <w:rsid w:val="00A548B5"/>
    <w:rsid w:val="00A57E90"/>
    <w:rsid w:val="00A6042C"/>
    <w:rsid w:val="00A607EF"/>
    <w:rsid w:val="00A700B5"/>
    <w:rsid w:val="00A70566"/>
    <w:rsid w:val="00A70591"/>
    <w:rsid w:val="00A72455"/>
    <w:rsid w:val="00A804DF"/>
    <w:rsid w:val="00AA3E08"/>
    <w:rsid w:val="00AB6312"/>
    <w:rsid w:val="00AB7DF2"/>
    <w:rsid w:val="00AC03E3"/>
    <w:rsid w:val="00AC2742"/>
    <w:rsid w:val="00AC29D8"/>
    <w:rsid w:val="00AC2EBF"/>
    <w:rsid w:val="00AC4858"/>
    <w:rsid w:val="00AE2D12"/>
    <w:rsid w:val="00AE386D"/>
    <w:rsid w:val="00AE4366"/>
    <w:rsid w:val="00AE54B3"/>
    <w:rsid w:val="00B060B9"/>
    <w:rsid w:val="00B06449"/>
    <w:rsid w:val="00B0755B"/>
    <w:rsid w:val="00B21334"/>
    <w:rsid w:val="00B23D8E"/>
    <w:rsid w:val="00B240BB"/>
    <w:rsid w:val="00B31765"/>
    <w:rsid w:val="00B373C9"/>
    <w:rsid w:val="00B41DEB"/>
    <w:rsid w:val="00B44A87"/>
    <w:rsid w:val="00B460BC"/>
    <w:rsid w:val="00B47433"/>
    <w:rsid w:val="00B57782"/>
    <w:rsid w:val="00B610D7"/>
    <w:rsid w:val="00B803CA"/>
    <w:rsid w:val="00B85220"/>
    <w:rsid w:val="00B965D0"/>
    <w:rsid w:val="00BA3F9C"/>
    <w:rsid w:val="00BA7CA7"/>
    <w:rsid w:val="00BB0B0C"/>
    <w:rsid w:val="00BC1581"/>
    <w:rsid w:val="00BE04EF"/>
    <w:rsid w:val="00BE3D96"/>
    <w:rsid w:val="00BF53CA"/>
    <w:rsid w:val="00C00ECF"/>
    <w:rsid w:val="00C0368C"/>
    <w:rsid w:val="00C03EA8"/>
    <w:rsid w:val="00C044E9"/>
    <w:rsid w:val="00C05E41"/>
    <w:rsid w:val="00C12660"/>
    <w:rsid w:val="00C26BCD"/>
    <w:rsid w:val="00C304C7"/>
    <w:rsid w:val="00C406CD"/>
    <w:rsid w:val="00C5134B"/>
    <w:rsid w:val="00C53D3B"/>
    <w:rsid w:val="00C62A91"/>
    <w:rsid w:val="00C67CC4"/>
    <w:rsid w:val="00C72E01"/>
    <w:rsid w:val="00C83E23"/>
    <w:rsid w:val="00C86B65"/>
    <w:rsid w:val="00C92B0C"/>
    <w:rsid w:val="00CA3C79"/>
    <w:rsid w:val="00CB0DFF"/>
    <w:rsid w:val="00CB7E87"/>
    <w:rsid w:val="00CC07FD"/>
    <w:rsid w:val="00CD0BC1"/>
    <w:rsid w:val="00CD4FD7"/>
    <w:rsid w:val="00CE767E"/>
    <w:rsid w:val="00CF0993"/>
    <w:rsid w:val="00CF2378"/>
    <w:rsid w:val="00D004C5"/>
    <w:rsid w:val="00D007C0"/>
    <w:rsid w:val="00D143BF"/>
    <w:rsid w:val="00D205D3"/>
    <w:rsid w:val="00D206A7"/>
    <w:rsid w:val="00D3023B"/>
    <w:rsid w:val="00D37AD5"/>
    <w:rsid w:val="00D45983"/>
    <w:rsid w:val="00D5380E"/>
    <w:rsid w:val="00D5710B"/>
    <w:rsid w:val="00D61C43"/>
    <w:rsid w:val="00D64227"/>
    <w:rsid w:val="00D64BEB"/>
    <w:rsid w:val="00D65064"/>
    <w:rsid w:val="00D85E34"/>
    <w:rsid w:val="00D868C0"/>
    <w:rsid w:val="00D9156D"/>
    <w:rsid w:val="00D91ADB"/>
    <w:rsid w:val="00DA1491"/>
    <w:rsid w:val="00DA5973"/>
    <w:rsid w:val="00DB0C31"/>
    <w:rsid w:val="00DB20F7"/>
    <w:rsid w:val="00DC3330"/>
    <w:rsid w:val="00DC3360"/>
    <w:rsid w:val="00DC58DA"/>
    <w:rsid w:val="00DD1033"/>
    <w:rsid w:val="00DD398A"/>
    <w:rsid w:val="00DD76C1"/>
    <w:rsid w:val="00DE21A3"/>
    <w:rsid w:val="00DF029D"/>
    <w:rsid w:val="00DF08A9"/>
    <w:rsid w:val="00DF1720"/>
    <w:rsid w:val="00DF24B6"/>
    <w:rsid w:val="00E0413F"/>
    <w:rsid w:val="00E06D34"/>
    <w:rsid w:val="00E11685"/>
    <w:rsid w:val="00E11993"/>
    <w:rsid w:val="00E15234"/>
    <w:rsid w:val="00E20D6D"/>
    <w:rsid w:val="00E20F31"/>
    <w:rsid w:val="00E21D59"/>
    <w:rsid w:val="00E2466F"/>
    <w:rsid w:val="00E402FE"/>
    <w:rsid w:val="00E4451B"/>
    <w:rsid w:val="00E5428B"/>
    <w:rsid w:val="00E556C8"/>
    <w:rsid w:val="00E55879"/>
    <w:rsid w:val="00E57AC7"/>
    <w:rsid w:val="00E57D78"/>
    <w:rsid w:val="00E61395"/>
    <w:rsid w:val="00E645F8"/>
    <w:rsid w:val="00E65900"/>
    <w:rsid w:val="00E65A0F"/>
    <w:rsid w:val="00E67CC6"/>
    <w:rsid w:val="00E70889"/>
    <w:rsid w:val="00E74137"/>
    <w:rsid w:val="00E744E0"/>
    <w:rsid w:val="00E746F4"/>
    <w:rsid w:val="00E755D3"/>
    <w:rsid w:val="00E87C0A"/>
    <w:rsid w:val="00E90CCB"/>
    <w:rsid w:val="00E9125B"/>
    <w:rsid w:val="00E91DC0"/>
    <w:rsid w:val="00EA3E73"/>
    <w:rsid w:val="00EA4DF7"/>
    <w:rsid w:val="00EB1F43"/>
    <w:rsid w:val="00EB49CF"/>
    <w:rsid w:val="00EB5F95"/>
    <w:rsid w:val="00EB7982"/>
    <w:rsid w:val="00EC197E"/>
    <w:rsid w:val="00EC4044"/>
    <w:rsid w:val="00ED3C0D"/>
    <w:rsid w:val="00EE03E4"/>
    <w:rsid w:val="00EE0B2D"/>
    <w:rsid w:val="00EE575A"/>
    <w:rsid w:val="00EF0042"/>
    <w:rsid w:val="00EF152A"/>
    <w:rsid w:val="00F05477"/>
    <w:rsid w:val="00F12E9E"/>
    <w:rsid w:val="00F209D8"/>
    <w:rsid w:val="00F3532F"/>
    <w:rsid w:val="00F3632E"/>
    <w:rsid w:val="00F4212B"/>
    <w:rsid w:val="00F42205"/>
    <w:rsid w:val="00F45343"/>
    <w:rsid w:val="00F4702A"/>
    <w:rsid w:val="00F5036E"/>
    <w:rsid w:val="00F51BA2"/>
    <w:rsid w:val="00F5250D"/>
    <w:rsid w:val="00F529C6"/>
    <w:rsid w:val="00F57AAB"/>
    <w:rsid w:val="00F60BF6"/>
    <w:rsid w:val="00F60C68"/>
    <w:rsid w:val="00F60CB8"/>
    <w:rsid w:val="00F63432"/>
    <w:rsid w:val="00F64AC7"/>
    <w:rsid w:val="00F64C20"/>
    <w:rsid w:val="00F72952"/>
    <w:rsid w:val="00F731A0"/>
    <w:rsid w:val="00F748B5"/>
    <w:rsid w:val="00F74F9C"/>
    <w:rsid w:val="00F775A2"/>
    <w:rsid w:val="00F86757"/>
    <w:rsid w:val="00F909FF"/>
    <w:rsid w:val="00F90E6B"/>
    <w:rsid w:val="00FA164F"/>
    <w:rsid w:val="00FA1C87"/>
    <w:rsid w:val="00FA308C"/>
    <w:rsid w:val="00FA6D8A"/>
    <w:rsid w:val="00FA749C"/>
    <w:rsid w:val="00FB115A"/>
    <w:rsid w:val="00FB119A"/>
    <w:rsid w:val="00FC0CA8"/>
    <w:rsid w:val="00FC4DBD"/>
    <w:rsid w:val="00FC58E6"/>
    <w:rsid w:val="00FC5E21"/>
    <w:rsid w:val="00FC6488"/>
    <w:rsid w:val="00FD0750"/>
    <w:rsid w:val="00FD749F"/>
    <w:rsid w:val="00FE216B"/>
    <w:rsid w:val="00FE7F01"/>
    <w:rsid w:val="00FF0932"/>
    <w:rsid w:val="00FF151A"/>
    <w:rsid w:val="00FF568F"/>
    <w:rsid w:val="0100553C"/>
    <w:rsid w:val="01064C9A"/>
    <w:rsid w:val="010C47B7"/>
    <w:rsid w:val="0112363F"/>
    <w:rsid w:val="01193185"/>
    <w:rsid w:val="011A4D50"/>
    <w:rsid w:val="01206530"/>
    <w:rsid w:val="0127533C"/>
    <w:rsid w:val="0136557F"/>
    <w:rsid w:val="017A71FB"/>
    <w:rsid w:val="018A58CB"/>
    <w:rsid w:val="019B3634"/>
    <w:rsid w:val="019B6F64"/>
    <w:rsid w:val="01AC6828"/>
    <w:rsid w:val="01AE3368"/>
    <w:rsid w:val="01B46088"/>
    <w:rsid w:val="01BD17FD"/>
    <w:rsid w:val="01C043F1"/>
    <w:rsid w:val="01C725F7"/>
    <w:rsid w:val="01CA216C"/>
    <w:rsid w:val="01D775B9"/>
    <w:rsid w:val="01E31F82"/>
    <w:rsid w:val="01E7687A"/>
    <w:rsid w:val="01F66ABD"/>
    <w:rsid w:val="0204742C"/>
    <w:rsid w:val="02106709"/>
    <w:rsid w:val="0216715F"/>
    <w:rsid w:val="02176416"/>
    <w:rsid w:val="02242CC3"/>
    <w:rsid w:val="0224362A"/>
    <w:rsid w:val="022A6766"/>
    <w:rsid w:val="023A0DE1"/>
    <w:rsid w:val="023F0464"/>
    <w:rsid w:val="02497534"/>
    <w:rsid w:val="025319ED"/>
    <w:rsid w:val="02624152"/>
    <w:rsid w:val="02714395"/>
    <w:rsid w:val="02776049"/>
    <w:rsid w:val="02777366"/>
    <w:rsid w:val="027A5940"/>
    <w:rsid w:val="027C5C61"/>
    <w:rsid w:val="029A7D90"/>
    <w:rsid w:val="029D274E"/>
    <w:rsid w:val="02A66735"/>
    <w:rsid w:val="02AD361F"/>
    <w:rsid w:val="02B532B3"/>
    <w:rsid w:val="02BA5D3C"/>
    <w:rsid w:val="02C40969"/>
    <w:rsid w:val="02D36DFE"/>
    <w:rsid w:val="02DC2156"/>
    <w:rsid w:val="02DC3F04"/>
    <w:rsid w:val="02E84657"/>
    <w:rsid w:val="02EA2B78"/>
    <w:rsid w:val="02F76749"/>
    <w:rsid w:val="03060F81"/>
    <w:rsid w:val="03100052"/>
    <w:rsid w:val="0317318F"/>
    <w:rsid w:val="033C0E47"/>
    <w:rsid w:val="03546191"/>
    <w:rsid w:val="03575C81"/>
    <w:rsid w:val="03577A2F"/>
    <w:rsid w:val="03667C72"/>
    <w:rsid w:val="03685798"/>
    <w:rsid w:val="038A3960"/>
    <w:rsid w:val="03B22EB7"/>
    <w:rsid w:val="03C03826"/>
    <w:rsid w:val="03C5243A"/>
    <w:rsid w:val="03CE5F43"/>
    <w:rsid w:val="03DB41BC"/>
    <w:rsid w:val="03E05C76"/>
    <w:rsid w:val="03E07A24"/>
    <w:rsid w:val="03E20BAC"/>
    <w:rsid w:val="03E373E7"/>
    <w:rsid w:val="03F31CB7"/>
    <w:rsid w:val="04074FB1"/>
    <w:rsid w:val="0408709E"/>
    <w:rsid w:val="040E6340"/>
    <w:rsid w:val="0410030A"/>
    <w:rsid w:val="0414147C"/>
    <w:rsid w:val="041F2294"/>
    <w:rsid w:val="04206237"/>
    <w:rsid w:val="04224186"/>
    <w:rsid w:val="0433224A"/>
    <w:rsid w:val="043B2EAD"/>
    <w:rsid w:val="0442553D"/>
    <w:rsid w:val="04461E7D"/>
    <w:rsid w:val="04554655"/>
    <w:rsid w:val="045C2016"/>
    <w:rsid w:val="046579E7"/>
    <w:rsid w:val="0471630E"/>
    <w:rsid w:val="04784101"/>
    <w:rsid w:val="047B0D01"/>
    <w:rsid w:val="048760F2"/>
    <w:rsid w:val="04951B45"/>
    <w:rsid w:val="04963FC8"/>
    <w:rsid w:val="049F168E"/>
    <w:rsid w:val="04A36A89"/>
    <w:rsid w:val="04A951DB"/>
    <w:rsid w:val="04AC13D7"/>
    <w:rsid w:val="04B35139"/>
    <w:rsid w:val="04BD7D66"/>
    <w:rsid w:val="04C66C1A"/>
    <w:rsid w:val="04D31337"/>
    <w:rsid w:val="04EB4302"/>
    <w:rsid w:val="04FB71D2"/>
    <w:rsid w:val="04FC31FF"/>
    <w:rsid w:val="04FD0162"/>
    <w:rsid w:val="050447EE"/>
    <w:rsid w:val="050F05C1"/>
    <w:rsid w:val="05145BD8"/>
    <w:rsid w:val="0517381B"/>
    <w:rsid w:val="052027CE"/>
    <w:rsid w:val="05216546"/>
    <w:rsid w:val="0530678A"/>
    <w:rsid w:val="053E4A03"/>
    <w:rsid w:val="054412C6"/>
    <w:rsid w:val="05483AD3"/>
    <w:rsid w:val="055404AA"/>
    <w:rsid w:val="05663F59"/>
    <w:rsid w:val="05962D81"/>
    <w:rsid w:val="05A54A82"/>
    <w:rsid w:val="05B00048"/>
    <w:rsid w:val="05B917B9"/>
    <w:rsid w:val="05C173E2"/>
    <w:rsid w:val="05C70E9C"/>
    <w:rsid w:val="05CA44E8"/>
    <w:rsid w:val="05D84E57"/>
    <w:rsid w:val="05EF3192"/>
    <w:rsid w:val="05FB3F65"/>
    <w:rsid w:val="06093262"/>
    <w:rsid w:val="060C4DD3"/>
    <w:rsid w:val="061867CA"/>
    <w:rsid w:val="061B11E8"/>
    <w:rsid w:val="061F1414"/>
    <w:rsid w:val="062C6F51"/>
    <w:rsid w:val="06395792"/>
    <w:rsid w:val="063B5518"/>
    <w:rsid w:val="06417CA2"/>
    <w:rsid w:val="06456265"/>
    <w:rsid w:val="06500E91"/>
    <w:rsid w:val="06581AF4"/>
    <w:rsid w:val="066A6F86"/>
    <w:rsid w:val="069025ED"/>
    <w:rsid w:val="0691471E"/>
    <w:rsid w:val="06AB256C"/>
    <w:rsid w:val="06B238FA"/>
    <w:rsid w:val="06B72BC7"/>
    <w:rsid w:val="06DE46EF"/>
    <w:rsid w:val="06E7C2D2"/>
    <w:rsid w:val="06ED6FA7"/>
    <w:rsid w:val="06F35CC1"/>
    <w:rsid w:val="06F37A6F"/>
    <w:rsid w:val="07027CB2"/>
    <w:rsid w:val="07097292"/>
    <w:rsid w:val="07124399"/>
    <w:rsid w:val="071D4AEC"/>
    <w:rsid w:val="071F68B2"/>
    <w:rsid w:val="072B0FB7"/>
    <w:rsid w:val="073562D9"/>
    <w:rsid w:val="074D224E"/>
    <w:rsid w:val="075971C8"/>
    <w:rsid w:val="07630750"/>
    <w:rsid w:val="0764271A"/>
    <w:rsid w:val="076A5F83"/>
    <w:rsid w:val="076FAA59"/>
    <w:rsid w:val="077566D6"/>
    <w:rsid w:val="07794418"/>
    <w:rsid w:val="077F1302"/>
    <w:rsid w:val="07837045"/>
    <w:rsid w:val="07851913"/>
    <w:rsid w:val="079C0106"/>
    <w:rsid w:val="07AB5A00"/>
    <w:rsid w:val="07C03DF5"/>
    <w:rsid w:val="07D01B5E"/>
    <w:rsid w:val="07D63618"/>
    <w:rsid w:val="07DB2536"/>
    <w:rsid w:val="07DC0503"/>
    <w:rsid w:val="07E51AAD"/>
    <w:rsid w:val="07F27D26"/>
    <w:rsid w:val="07F817E1"/>
    <w:rsid w:val="07F95559"/>
    <w:rsid w:val="08002FFD"/>
    <w:rsid w:val="08003DC4"/>
    <w:rsid w:val="080C0DE8"/>
    <w:rsid w:val="08275DCF"/>
    <w:rsid w:val="082779D0"/>
    <w:rsid w:val="08316AA1"/>
    <w:rsid w:val="084C5688"/>
    <w:rsid w:val="0854278F"/>
    <w:rsid w:val="085E00A1"/>
    <w:rsid w:val="085F761F"/>
    <w:rsid w:val="086956BA"/>
    <w:rsid w:val="086A00E6"/>
    <w:rsid w:val="087D1CE6"/>
    <w:rsid w:val="08892439"/>
    <w:rsid w:val="08B33959"/>
    <w:rsid w:val="08B5322E"/>
    <w:rsid w:val="08BB636A"/>
    <w:rsid w:val="08CC4A1B"/>
    <w:rsid w:val="08D31906"/>
    <w:rsid w:val="08E93645"/>
    <w:rsid w:val="08F17FDE"/>
    <w:rsid w:val="08FF094D"/>
    <w:rsid w:val="08FF6B9F"/>
    <w:rsid w:val="09102B5A"/>
    <w:rsid w:val="09173EE8"/>
    <w:rsid w:val="091F4B4B"/>
    <w:rsid w:val="09226386"/>
    <w:rsid w:val="09271C52"/>
    <w:rsid w:val="092C1016"/>
    <w:rsid w:val="092E1232"/>
    <w:rsid w:val="09336848"/>
    <w:rsid w:val="093E2CBE"/>
    <w:rsid w:val="093F343F"/>
    <w:rsid w:val="094104C4"/>
    <w:rsid w:val="09412D13"/>
    <w:rsid w:val="094445B2"/>
    <w:rsid w:val="09475E50"/>
    <w:rsid w:val="09572F58"/>
    <w:rsid w:val="09581E0B"/>
    <w:rsid w:val="0960344D"/>
    <w:rsid w:val="09691028"/>
    <w:rsid w:val="0970184A"/>
    <w:rsid w:val="09736C45"/>
    <w:rsid w:val="097536D0"/>
    <w:rsid w:val="09AA0FEE"/>
    <w:rsid w:val="09AA4D5C"/>
    <w:rsid w:val="09AA7B54"/>
    <w:rsid w:val="09BB7DD7"/>
    <w:rsid w:val="09C676BC"/>
    <w:rsid w:val="09CD45A7"/>
    <w:rsid w:val="09CF6571"/>
    <w:rsid w:val="09D26108"/>
    <w:rsid w:val="09F63AFE"/>
    <w:rsid w:val="0A026946"/>
    <w:rsid w:val="0A1B3564"/>
    <w:rsid w:val="0A1B5312"/>
    <w:rsid w:val="0A252635"/>
    <w:rsid w:val="0A310FDA"/>
    <w:rsid w:val="0A314B36"/>
    <w:rsid w:val="0A3D287D"/>
    <w:rsid w:val="0A4A209B"/>
    <w:rsid w:val="0A4F6B43"/>
    <w:rsid w:val="0A53782A"/>
    <w:rsid w:val="0A540824"/>
    <w:rsid w:val="0A56459C"/>
    <w:rsid w:val="0A59408D"/>
    <w:rsid w:val="0A6273E5"/>
    <w:rsid w:val="0A71587A"/>
    <w:rsid w:val="0A726EFC"/>
    <w:rsid w:val="0A747118"/>
    <w:rsid w:val="0A7669ED"/>
    <w:rsid w:val="0A7705F9"/>
    <w:rsid w:val="0A9926DB"/>
    <w:rsid w:val="0A9E5F43"/>
    <w:rsid w:val="0AAD02CE"/>
    <w:rsid w:val="0ABB08A3"/>
    <w:rsid w:val="0ABD7054"/>
    <w:rsid w:val="0AC27C6A"/>
    <w:rsid w:val="0ACA278E"/>
    <w:rsid w:val="0ACE7E1A"/>
    <w:rsid w:val="0ACF434F"/>
    <w:rsid w:val="0AD00EBD"/>
    <w:rsid w:val="0AD11B2D"/>
    <w:rsid w:val="0AD57BB7"/>
    <w:rsid w:val="0AE85B89"/>
    <w:rsid w:val="0AF53DB5"/>
    <w:rsid w:val="0AF777D1"/>
    <w:rsid w:val="0AFB6780"/>
    <w:rsid w:val="0B05139F"/>
    <w:rsid w:val="0B1A3A0F"/>
    <w:rsid w:val="0B1F7084"/>
    <w:rsid w:val="0B217619"/>
    <w:rsid w:val="0B24468A"/>
    <w:rsid w:val="0B2E5519"/>
    <w:rsid w:val="0B372620"/>
    <w:rsid w:val="0B386ECE"/>
    <w:rsid w:val="0B3A2110"/>
    <w:rsid w:val="0B3F3282"/>
    <w:rsid w:val="0B48482D"/>
    <w:rsid w:val="0B505490"/>
    <w:rsid w:val="0B521208"/>
    <w:rsid w:val="0B534F80"/>
    <w:rsid w:val="0B5C05C3"/>
    <w:rsid w:val="0B5D195B"/>
    <w:rsid w:val="0B6131F9"/>
    <w:rsid w:val="0B6251C3"/>
    <w:rsid w:val="0B6947A3"/>
    <w:rsid w:val="0B786794"/>
    <w:rsid w:val="0B867103"/>
    <w:rsid w:val="0B8C27E0"/>
    <w:rsid w:val="0B952446"/>
    <w:rsid w:val="0B97475E"/>
    <w:rsid w:val="0BA033AB"/>
    <w:rsid w:val="0BA27BE5"/>
    <w:rsid w:val="0BA63302"/>
    <w:rsid w:val="0BB579E9"/>
    <w:rsid w:val="0BBFB1C5"/>
    <w:rsid w:val="0BC11EE9"/>
    <w:rsid w:val="0BCD2DCD"/>
    <w:rsid w:val="0BE32779"/>
    <w:rsid w:val="0BE36304"/>
    <w:rsid w:val="0C2C5C40"/>
    <w:rsid w:val="0C452F2C"/>
    <w:rsid w:val="0C460641"/>
    <w:rsid w:val="0C48541E"/>
    <w:rsid w:val="0C502A71"/>
    <w:rsid w:val="0C57284E"/>
    <w:rsid w:val="0C6112A5"/>
    <w:rsid w:val="0C6271A8"/>
    <w:rsid w:val="0C6A2581"/>
    <w:rsid w:val="0C6C454B"/>
    <w:rsid w:val="0C75623D"/>
    <w:rsid w:val="0C7C4062"/>
    <w:rsid w:val="0C886EAB"/>
    <w:rsid w:val="0CB3147A"/>
    <w:rsid w:val="0CBB453A"/>
    <w:rsid w:val="0CBE28CD"/>
    <w:rsid w:val="0CC07B24"/>
    <w:rsid w:val="0CD47E4D"/>
    <w:rsid w:val="0CD67C16"/>
    <w:rsid w:val="0CD8573D"/>
    <w:rsid w:val="0CD93263"/>
    <w:rsid w:val="0CE560AB"/>
    <w:rsid w:val="0CE57E5A"/>
    <w:rsid w:val="0CE9794A"/>
    <w:rsid w:val="0CF32F00"/>
    <w:rsid w:val="0CF44970"/>
    <w:rsid w:val="0CFC588E"/>
    <w:rsid w:val="0CFE6269"/>
    <w:rsid w:val="0D0522AA"/>
    <w:rsid w:val="0D152A80"/>
    <w:rsid w:val="0D1A3FA7"/>
    <w:rsid w:val="0D2A4946"/>
    <w:rsid w:val="0D2E35AF"/>
    <w:rsid w:val="0D334126"/>
    <w:rsid w:val="0D38442D"/>
    <w:rsid w:val="0D3E1A6A"/>
    <w:rsid w:val="0D400A33"/>
    <w:rsid w:val="0D4234FE"/>
    <w:rsid w:val="0D42705A"/>
    <w:rsid w:val="0D4E1EA3"/>
    <w:rsid w:val="0D553231"/>
    <w:rsid w:val="0D5B011C"/>
    <w:rsid w:val="0D611BD6"/>
    <w:rsid w:val="0D643474"/>
    <w:rsid w:val="0D690A8B"/>
    <w:rsid w:val="0D766D04"/>
    <w:rsid w:val="0D780CCE"/>
    <w:rsid w:val="0D8C6527"/>
    <w:rsid w:val="0D933D59"/>
    <w:rsid w:val="0D9F26FE"/>
    <w:rsid w:val="0DA8478E"/>
    <w:rsid w:val="0DA90E87"/>
    <w:rsid w:val="0DA9532B"/>
    <w:rsid w:val="0DB12B4A"/>
    <w:rsid w:val="0DB62EC2"/>
    <w:rsid w:val="0DB937C0"/>
    <w:rsid w:val="0DD00B0A"/>
    <w:rsid w:val="0DDA1988"/>
    <w:rsid w:val="0DDF58F2"/>
    <w:rsid w:val="0DE10621"/>
    <w:rsid w:val="0DED16BC"/>
    <w:rsid w:val="0DF465A6"/>
    <w:rsid w:val="0DF8477F"/>
    <w:rsid w:val="0DFD060A"/>
    <w:rsid w:val="0DFE7425"/>
    <w:rsid w:val="0E100F06"/>
    <w:rsid w:val="0E107158"/>
    <w:rsid w:val="0E1C7FA0"/>
    <w:rsid w:val="0E2F75DE"/>
    <w:rsid w:val="0E325320"/>
    <w:rsid w:val="0E35776B"/>
    <w:rsid w:val="0E357D86"/>
    <w:rsid w:val="0E383AA8"/>
    <w:rsid w:val="0E3E10C3"/>
    <w:rsid w:val="0E54415D"/>
    <w:rsid w:val="0E5A59BA"/>
    <w:rsid w:val="0E6A4ABA"/>
    <w:rsid w:val="0E770F85"/>
    <w:rsid w:val="0E820056"/>
    <w:rsid w:val="0E9E4764"/>
    <w:rsid w:val="0E9F3E75"/>
    <w:rsid w:val="0EAD49A7"/>
    <w:rsid w:val="0EBB70C4"/>
    <w:rsid w:val="0EBE5C1F"/>
    <w:rsid w:val="0EBF1EB8"/>
    <w:rsid w:val="0ECA37AB"/>
    <w:rsid w:val="0EDC7FE2"/>
    <w:rsid w:val="0EE52393"/>
    <w:rsid w:val="0F1467D4"/>
    <w:rsid w:val="0F1D7D7F"/>
    <w:rsid w:val="0F362BEE"/>
    <w:rsid w:val="0F384BB8"/>
    <w:rsid w:val="0F403A6D"/>
    <w:rsid w:val="0F476BAA"/>
    <w:rsid w:val="0F4C5F6E"/>
    <w:rsid w:val="0F5512C6"/>
    <w:rsid w:val="0F6459AD"/>
    <w:rsid w:val="0F6C5013"/>
    <w:rsid w:val="0F6C5FE1"/>
    <w:rsid w:val="0F8E2A2A"/>
    <w:rsid w:val="0F8E47D8"/>
    <w:rsid w:val="0F96368D"/>
    <w:rsid w:val="0FA364D6"/>
    <w:rsid w:val="0FA620EE"/>
    <w:rsid w:val="0FAD27A1"/>
    <w:rsid w:val="0FB57FB7"/>
    <w:rsid w:val="0FBC1223"/>
    <w:rsid w:val="0FC404B7"/>
    <w:rsid w:val="0FDA5C70"/>
    <w:rsid w:val="0FE05E95"/>
    <w:rsid w:val="0FE16FFE"/>
    <w:rsid w:val="0FE4264A"/>
    <w:rsid w:val="0FED7751"/>
    <w:rsid w:val="0FEE5277"/>
    <w:rsid w:val="0FFD240A"/>
    <w:rsid w:val="0FFE370C"/>
    <w:rsid w:val="10036F74"/>
    <w:rsid w:val="100B7BD7"/>
    <w:rsid w:val="1025513D"/>
    <w:rsid w:val="10264A11"/>
    <w:rsid w:val="1030349B"/>
    <w:rsid w:val="1033383A"/>
    <w:rsid w:val="10390BE8"/>
    <w:rsid w:val="104F3F68"/>
    <w:rsid w:val="10525806"/>
    <w:rsid w:val="10545A22"/>
    <w:rsid w:val="10580021"/>
    <w:rsid w:val="105F10EA"/>
    <w:rsid w:val="10685029"/>
    <w:rsid w:val="106F63B8"/>
    <w:rsid w:val="10967DE9"/>
    <w:rsid w:val="109776BD"/>
    <w:rsid w:val="10A60810"/>
    <w:rsid w:val="10A87B1C"/>
    <w:rsid w:val="10AA3894"/>
    <w:rsid w:val="10B85FB1"/>
    <w:rsid w:val="10CA5CE4"/>
    <w:rsid w:val="10E8616A"/>
    <w:rsid w:val="10F90377"/>
    <w:rsid w:val="111216DE"/>
    <w:rsid w:val="1125116C"/>
    <w:rsid w:val="11274EE5"/>
    <w:rsid w:val="112F5B47"/>
    <w:rsid w:val="1131366D"/>
    <w:rsid w:val="11334496"/>
    <w:rsid w:val="11370089"/>
    <w:rsid w:val="113C3A20"/>
    <w:rsid w:val="11494E5B"/>
    <w:rsid w:val="114A0BD3"/>
    <w:rsid w:val="11502559"/>
    <w:rsid w:val="115B06EA"/>
    <w:rsid w:val="1182211B"/>
    <w:rsid w:val="11867E5D"/>
    <w:rsid w:val="11B36778"/>
    <w:rsid w:val="11B40530"/>
    <w:rsid w:val="11B45ED9"/>
    <w:rsid w:val="11BD75F7"/>
    <w:rsid w:val="11DE279E"/>
    <w:rsid w:val="11DF36A1"/>
    <w:rsid w:val="11E35AA0"/>
    <w:rsid w:val="11E9219A"/>
    <w:rsid w:val="120668A8"/>
    <w:rsid w:val="12152F8F"/>
    <w:rsid w:val="12192A7F"/>
    <w:rsid w:val="121E62E8"/>
    <w:rsid w:val="122554C6"/>
    <w:rsid w:val="12323B41"/>
    <w:rsid w:val="12411FD6"/>
    <w:rsid w:val="124278A2"/>
    <w:rsid w:val="12437AFC"/>
    <w:rsid w:val="12614426"/>
    <w:rsid w:val="126227B4"/>
    <w:rsid w:val="126C7543"/>
    <w:rsid w:val="12745F08"/>
    <w:rsid w:val="12754F46"/>
    <w:rsid w:val="12847AFA"/>
    <w:rsid w:val="12863E8D"/>
    <w:rsid w:val="12A165D1"/>
    <w:rsid w:val="12A762DD"/>
    <w:rsid w:val="12AA1929"/>
    <w:rsid w:val="12AF1FE4"/>
    <w:rsid w:val="12B97DBE"/>
    <w:rsid w:val="12BB249D"/>
    <w:rsid w:val="12BB3B36"/>
    <w:rsid w:val="12DB7D35"/>
    <w:rsid w:val="12DE7825"/>
    <w:rsid w:val="12E55FEE"/>
    <w:rsid w:val="12F31522"/>
    <w:rsid w:val="1300779B"/>
    <w:rsid w:val="130D615E"/>
    <w:rsid w:val="131674A1"/>
    <w:rsid w:val="131D034D"/>
    <w:rsid w:val="13315BA7"/>
    <w:rsid w:val="13392358"/>
    <w:rsid w:val="133B07D3"/>
    <w:rsid w:val="13547AE7"/>
    <w:rsid w:val="135D699C"/>
    <w:rsid w:val="136B3218"/>
    <w:rsid w:val="136C3EED"/>
    <w:rsid w:val="137848F2"/>
    <w:rsid w:val="139236BB"/>
    <w:rsid w:val="139879D4"/>
    <w:rsid w:val="139F6FB4"/>
    <w:rsid w:val="13A26AA4"/>
    <w:rsid w:val="13A46379"/>
    <w:rsid w:val="13B642FE"/>
    <w:rsid w:val="13BB1914"/>
    <w:rsid w:val="13BB206E"/>
    <w:rsid w:val="13C94031"/>
    <w:rsid w:val="13D1738A"/>
    <w:rsid w:val="13D80718"/>
    <w:rsid w:val="13D950E1"/>
    <w:rsid w:val="13DC1FB6"/>
    <w:rsid w:val="13E15699"/>
    <w:rsid w:val="13EA1E74"/>
    <w:rsid w:val="13EF3E23"/>
    <w:rsid w:val="13FDE4E9"/>
    <w:rsid w:val="13FF5CA5"/>
    <w:rsid w:val="140B63F8"/>
    <w:rsid w:val="142851FC"/>
    <w:rsid w:val="143F42F3"/>
    <w:rsid w:val="1448764C"/>
    <w:rsid w:val="145853B5"/>
    <w:rsid w:val="146E2A11"/>
    <w:rsid w:val="146F37DC"/>
    <w:rsid w:val="14714425"/>
    <w:rsid w:val="14773A8D"/>
    <w:rsid w:val="14785E3A"/>
    <w:rsid w:val="147E5129"/>
    <w:rsid w:val="14812B5E"/>
    <w:rsid w:val="14830684"/>
    <w:rsid w:val="14870842"/>
    <w:rsid w:val="148A7C64"/>
    <w:rsid w:val="148E75B8"/>
    <w:rsid w:val="148F527B"/>
    <w:rsid w:val="149573A0"/>
    <w:rsid w:val="14972381"/>
    <w:rsid w:val="14A32AD4"/>
    <w:rsid w:val="14A34882"/>
    <w:rsid w:val="14A81E98"/>
    <w:rsid w:val="14AA0B53"/>
    <w:rsid w:val="14AD3953"/>
    <w:rsid w:val="14C17E60"/>
    <w:rsid w:val="14C36CD2"/>
    <w:rsid w:val="14CA6F83"/>
    <w:rsid w:val="14E05AD6"/>
    <w:rsid w:val="14E07884"/>
    <w:rsid w:val="14FB2910"/>
    <w:rsid w:val="15080B89"/>
    <w:rsid w:val="150C1BA5"/>
    <w:rsid w:val="15113EE2"/>
    <w:rsid w:val="151B4D60"/>
    <w:rsid w:val="152C3F68"/>
    <w:rsid w:val="1531670A"/>
    <w:rsid w:val="15524618"/>
    <w:rsid w:val="155E2E9F"/>
    <w:rsid w:val="155E4C4D"/>
    <w:rsid w:val="15602773"/>
    <w:rsid w:val="157B75AD"/>
    <w:rsid w:val="157E4255"/>
    <w:rsid w:val="157F52EF"/>
    <w:rsid w:val="15843123"/>
    <w:rsid w:val="15846453"/>
    <w:rsid w:val="158741A4"/>
    <w:rsid w:val="15877D00"/>
    <w:rsid w:val="15933204"/>
    <w:rsid w:val="15973CBB"/>
    <w:rsid w:val="159B421A"/>
    <w:rsid w:val="15AE4CA6"/>
    <w:rsid w:val="15BD5E17"/>
    <w:rsid w:val="15CA22E2"/>
    <w:rsid w:val="15CE200E"/>
    <w:rsid w:val="15D1541F"/>
    <w:rsid w:val="15E30B21"/>
    <w:rsid w:val="15E92769"/>
    <w:rsid w:val="15EA2C41"/>
    <w:rsid w:val="15EF3AF7"/>
    <w:rsid w:val="15F1161D"/>
    <w:rsid w:val="15F7693B"/>
    <w:rsid w:val="15F86E50"/>
    <w:rsid w:val="15FFD219"/>
    <w:rsid w:val="160B6B83"/>
    <w:rsid w:val="161B48EC"/>
    <w:rsid w:val="16221E64"/>
    <w:rsid w:val="16353C00"/>
    <w:rsid w:val="16491C86"/>
    <w:rsid w:val="16573B76"/>
    <w:rsid w:val="165C73DE"/>
    <w:rsid w:val="166743C0"/>
    <w:rsid w:val="16691AFB"/>
    <w:rsid w:val="166938A9"/>
    <w:rsid w:val="166A1D5B"/>
    <w:rsid w:val="16797F90"/>
    <w:rsid w:val="169923E1"/>
    <w:rsid w:val="16996F47"/>
    <w:rsid w:val="16A3500D"/>
    <w:rsid w:val="16AB5C70"/>
    <w:rsid w:val="16AD7C3A"/>
    <w:rsid w:val="16C27E45"/>
    <w:rsid w:val="16C810CC"/>
    <w:rsid w:val="16C83453"/>
    <w:rsid w:val="16DF3B6C"/>
    <w:rsid w:val="16E573D4"/>
    <w:rsid w:val="16EB0762"/>
    <w:rsid w:val="16ED6288"/>
    <w:rsid w:val="16EF0253"/>
    <w:rsid w:val="17017F86"/>
    <w:rsid w:val="17035AAC"/>
    <w:rsid w:val="17081314"/>
    <w:rsid w:val="17216BF1"/>
    <w:rsid w:val="17342109"/>
    <w:rsid w:val="173B5246"/>
    <w:rsid w:val="17430527"/>
    <w:rsid w:val="1743234C"/>
    <w:rsid w:val="174560AE"/>
    <w:rsid w:val="17465CF0"/>
    <w:rsid w:val="174A7237"/>
    <w:rsid w:val="176B686C"/>
    <w:rsid w:val="176C5189"/>
    <w:rsid w:val="17793522"/>
    <w:rsid w:val="178D35C8"/>
    <w:rsid w:val="1794305D"/>
    <w:rsid w:val="17AA1223"/>
    <w:rsid w:val="17AF79E2"/>
    <w:rsid w:val="17B84AE8"/>
    <w:rsid w:val="17C4348D"/>
    <w:rsid w:val="17CF3BE0"/>
    <w:rsid w:val="17D31922"/>
    <w:rsid w:val="17DF02C7"/>
    <w:rsid w:val="17E05DED"/>
    <w:rsid w:val="17E458DD"/>
    <w:rsid w:val="17EC6540"/>
    <w:rsid w:val="17F17FFA"/>
    <w:rsid w:val="17F90C5D"/>
    <w:rsid w:val="17FE0021"/>
    <w:rsid w:val="17FFF359"/>
    <w:rsid w:val="18117D55"/>
    <w:rsid w:val="18147EF7"/>
    <w:rsid w:val="1824217E"/>
    <w:rsid w:val="182C4B8E"/>
    <w:rsid w:val="1836143D"/>
    <w:rsid w:val="183F2B14"/>
    <w:rsid w:val="183F4A1B"/>
    <w:rsid w:val="18561D8C"/>
    <w:rsid w:val="18636858"/>
    <w:rsid w:val="186802BC"/>
    <w:rsid w:val="18692356"/>
    <w:rsid w:val="186C142F"/>
    <w:rsid w:val="18714C97"/>
    <w:rsid w:val="187327BD"/>
    <w:rsid w:val="18822A00"/>
    <w:rsid w:val="18893D8F"/>
    <w:rsid w:val="188A28AC"/>
    <w:rsid w:val="188C387F"/>
    <w:rsid w:val="18980476"/>
    <w:rsid w:val="18B51028"/>
    <w:rsid w:val="18B552A6"/>
    <w:rsid w:val="18B72FDA"/>
    <w:rsid w:val="18BA663E"/>
    <w:rsid w:val="18BD7EDC"/>
    <w:rsid w:val="18C354F3"/>
    <w:rsid w:val="18CB084B"/>
    <w:rsid w:val="18D21BDA"/>
    <w:rsid w:val="18EB6B88"/>
    <w:rsid w:val="190855FC"/>
    <w:rsid w:val="19292A5B"/>
    <w:rsid w:val="193B4FD0"/>
    <w:rsid w:val="1941466A"/>
    <w:rsid w:val="19483C4A"/>
    <w:rsid w:val="19614D0C"/>
    <w:rsid w:val="196675A6"/>
    <w:rsid w:val="196B6F5D"/>
    <w:rsid w:val="196C3C60"/>
    <w:rsid w:val="196E69FF"/>
    <w:rsid w:val="19826C1B"/>
    <w:rsid w:val="19834C82"/>
    <w:rsid w:val="199155F1"/>
    <w:rsid w:val="1997072D"/>
    <w:rsid w:val="199B4213"/>
    <w:rsid w:val="199D3F96"/>
    <w:rsid w:val="199E386A"/>
    <w:rsid w:val="19A30E80"/>
    <w:rsid w:val="19AA3D70"/>
    <w:rsid w:val="19B4188F"/>
    <w:rsid w:val="19C257AA"/>
    <w:rsid w:val="19F23D5E"/>
    <w:rsid w:val="19F441E8"/>
    <w:rsid w:val="19F50C03"/>
    <w:rsid w:val="19FA13E8"/>
    <w:rsid w:val="19FA57AF"/>
    <w:rsid w:val="19FB6F0E"/>
    <w:rsid w:val="19FD2C86"/>
    <w:rsid w:val="19FF69FF"/>
    <w:rsid w:val="1A1A55E6"/>
    <w:rsid w:val="1A1B135F"/>
    <w:rsid w:val="1A3146DE"/>
    <w:rsid w:val="1A3D3083"/>
    <w:rsid w:val="1A3F6DFB"/>
    <w:rsid w:val="1A402B73"/>
    <w:rsid w:val="1A4563DB"/>
    <w:rsid w:val="1A5E5585"/>
    <w:rsid w:val="1A772A39"/>
    <w:rsid w:val="1A7E085D"/>
    <w:rsid w:val="1A8C7B66"/>
    <w:rsid w:val="1A930EF5"/>
    <w:rsid w:val="1A9D1D74"/>
    <w:rsid w:val="1AB538EA"/>
    <w:rsid w:val="1AB64BE3"/>
    <w:rsid w:val="1AD559B1"/>
    <w:rsid w:val="1AE14356"/>
    <w:rsid w:val="1AF04599"/>
    <w:rsid w:val="1AF35E37"/>
    <w:rsid w:val="1AFB6815"/>
    <w:rsid w:val="1AFC6A9A"/>
    <w:rsid w:val="1AFED777"/>
    <w:rsid w:val="1B122762"/>
    <w:rsid w:val="1B18764C"/>
    <w:rsid w:val="1B1C6BDA"/>
    <w:rsid w:val="1B2304CB"/>
    <w:rsid w:val="1B247C49"/>
    <w:rsid w:val="1B324BB2"/>
    <w:rsid w:val="1B3F0D70"/>
    <w:rsid w:val="1B3F1135"/>
    <w:rsid w:val="1B487F31"/>
    <w:rsid w:val="1B670381"/>
    <w:rsid w:val="1B6B3C20"/>
    <w:rsid w:val="1B707488"/>
    <w:rsid w:val="1B772E08"/>
    <w:rsid w:val="1B852378"/>
    <w:rsid w:val="1B866CAC"/>
    <w:rsid w:val="1B8D003A"/>
    <w:rsid w:val="1BA21B7B"/>
    <w:rsid w:val="1BAB2470"/>
    <w:rsid w:val="1BAF1D5E"/>
    <w:rsid w:val="1BB67591"/>
    <w:rsid w:val="1BBF6939"/>
    <w:rsid w:val="1BCD48DA"/>
    <w:rsid w:val="1BD96DDB"/>
    <w:rsid w:val="1BDFC116"/>
    <w:rsid w:val="1BE4113E"/>
    <w:rsid w:val="1BE839E6"/>
    <w:rsid w:val="1BF656DF"/>
    <w:rsid w:val="1BF9B495"/>
    <w:rsid w:val="1BFCA88A"/>
    <w:rsid w:val="1BFE6842"/>
    <w:rsid w:val="1C00080C"/>
    <w:rsid w:val="1C093B64"/>
    <w:rsid w:val="1C183DA8"/>
    <w:rsid w:val="1C27223D"/>
    <w:rsid w:val="1C2C1601"/>
    <w:rsid w:val="1C2F2E9F"/>
    <w:rsid w:val="1C3B1844"/>
    <w:rsid w:val="1C4C1CA3"/>
    <w:rsid w:val="1C5172BA"/>
    <w:rsid w:val="1C5E5533"/>
    <w:rsid w:val="1C614B7E"/>
    <w:rsid w:val="1C626DD1"/>
    <w:rsid w:val="1C735482"/>
    <w:rsid w:val="1C752FA8"/>
    <w:rsid w:val="1C7A236C"/>
    <w:rsid w:val="1C8B5289"/>
    <w:rsid w:val="1C962F1E"/>
    <w:rsid w:val="1CA1156D"/>
    <w:rsid w:val="1CBA6C0D"/>
    <w:rsid w:val="1CD162D3"/>
    <w:rsid w:val="1CD71683"/>
    <w:rsid w:val="1CE1785A"/>
    <w:rsid w:val="1CE26164"/>
    <w:rsid w:val="1CF06AD2"/>
    <w:rsid w:val="1CF365C3"/>
    <w:rsid w:val="1CFA16FF"/>
    <w:rsid w:val="1CFC50D2"/>
    <w:rsid w:val="1CFF7FAA"/>
    <w:rsid w:val="1D036806"/>
    <w:rsid w:val="1D0D1432"/>
    <w:rsid w:val="1D1A3B4F"/>
    <w:rsid w:val="1D1F1166"/>
    <w:rsid w:val="1D3179E7"/>
    <w:rsid w:val="1D320E99"/>
    <w:rsid w:val="1D3C5874"/>
    <w:rsid w:val="1D540E0F"/>
    <w:rsid w:val="1D5BD51B"/>
    <w:rsid w:val="1D5D0FA4"/>
    <w:rsid w:val="1D5E1C8E"/>
    <w:rsid w:val="1D631052"/>
    <w:rsid w:val="1D6D3C7F"/>
    <w:rsid w:val="1D770853"/>
    <w:rsid w:val="1D8A5AE8"/>
    <w:rsid w:val="1D90508F"/>
    <w:rsid w:val="1D905BC0"/>
    <w:rsid w:val="1D9060FA"/>
    <w:rsid w:val="1D925CFF"/>
    <w:rsid w:val="1DB62BE7"/>
    <w:rsid w:val="1DBA6822"/>
    <w:rsid w:val="1DBFC4B2"/>
    <w:rsid w:val="1DCD471E"/>
    <w:rsid w:val="1DCF66E8"/>
    <w:rsid w:val="1DD41F50"/>
    <w:rsid w:val="1DD93CC7"/>
    <w:rsid w:val="1DDFF5FF"/>
    <w:rsid w:val="1DEB4A96"/>
    <w:rsid w:val="1DF3687A"/>
    <w:rsid w:val="1DFB572F"/>
    <w:rsid w:val="1E01086B"/>
    <w:rsid w:val="1E0B5246"/>
    <w:rsid w:val="1E18008F"/>
    <w:rsid w:val="1E237833"/>
    <w:rsid w:val="1E2527AC"/>
    <w:rsid w:val="1E2A6014"/>
    <w:rsid w:val="1E37603B"/>
    <w:rsid w:val="1E391DB3"/>
    <w:rsid w:val="1E3E386E"/>
    <w:rsid w:val="1E432C32"/>
    <w:rsid w:val="1E5310C7"/>
    <w:rsid w:val="1E6257AE"/>
    <w:rsid w:val="1E62755C"/>
    <w:rsid w:val="1E641526"/>
    <w:rsid w:val="1E74728F"/>
    <w:rsid w:val="1E7F289E"/>
    <w:rsid w:val="1E805C34"/>
    <w:rsid w:val="1E85324A"/>
    <w:rsid w:val="1E937715"/>
    <w:rsid w:val="1E9C4BD8"/>
    <w:rsid w:val="1EA35FEA"/>
    <w:rsid w:val="1EA41923"/>
    <w:rsid w:val="1EAE09F3"/>
    <w:rsid w:val="1EBA2EF4"/>
    <w:rsid w:val="1EC04596"/>
    <w:rsid w:val="1ED709CD"/>
    <w:rsid w:val="1EE05092"/>
    <w:rsid w:val="1EE2244B"/>
    <w:rsid w:val="1EE47F71"/>
    <w:rsid w:val="1EEB653C"/>
    <w:rsid w:val="1EEF9422"/>
    <w:rsid w:val="1EF47E7C"/>
    <w:rsid w:val="1EF81DD0"/>
    <w:rsid w:val="1F0C3495"/>
    <w:rsid w:val="1F0C74C8"/>
    <w:rsid w:val="1F0E3240"/>
    <w:rsid w:val="1F274302"/>
    <w:rsid w:val="1F2B2044"/>
    <w:rsid w:val="1F301408"/>
    <w:rsid w:val="1F430A42"/>
    <w:rsid w:val="1F4629DA"/>
    <w:rsid w:val="1F481CE3"/>
    <w:rsid w:val="1F5570C1"/>
    <w:rsid w:val="1F585875"/>
    <w:rsid w:val="1F6B41EE"/>
    <w:rsid w:val="1F6C3E87"/>
    <w:rsid w:val="1F705CA9"/>
    <w:rsid w:val="1F713C61"/>
    <w:rsid w:val="1F7421F4"/>
    <w:rsid w:val="1F7834B8"/>
    <w:rsid w:val="1F7C289F"/>
    <w:rsid w:val="1F7C464D"/>
    <w:rsid w:val="1F841754"/>
    <w:rsid w:val="1F8B663F"/>
    <w:rsid w:val="1F9279CD"/>
    <w:rsid w:val="1F9B6F21"/>
    <w:rsid w:val="1FA37E2C"/>
    <w:rsid w:val="1FB42039"/>
    <w:rsid w:val="1FBB9104"/>
    <w:rsid w:val="1FC35DD8"/>
    <w:rsid w:val="1FD53D5E"/>
    <w:rsid w:val="1FDA1374"/>
    <w:rsid w:val="1FF00B97"/>
    <w:rsid w:val="1FF1BAE6"/>
    <w:rsid w:val="1FF35968"/>
    <w:rsid w:val="1FF786E4"/>
    <w:rsid w:val="20032679"/>
    <w:rsid w:val="200C3C23"/>
    <w:rsid w:val="20162EA9"/>
    <w:rsid w:val="201C198C"/>
    <w:rsid w:val="20230F6D"/>
    <w:rsid w:val="203B510F"/>
    <w:rsid w:val="204834B8"/>
    <w:rsid w:val="20542ED4"/>
    <w:rsid w:val="20605D1D"/>
    <w:rsid w:val="20746E58"/>
    <w:rsid w:val="20825C93"/>
    <w:rsid w:val="20983709"/>
    <w:rsid w:val="20A16773"/>
    <w:rsid w:val="20A53730"/>
    <w:rsid w:val="20B00A53"/>
    <w:rsid w:val="20C20786"/>
    <w:rsid w:val="20DA787E"/>
    <w:rsid w:val="20E00C0C"/>
    <w:rsid w:val="20E017E3"/>
    <w:rsid w:val="20EF23DB"/>
    <w:rsid w:val="20FF4FC7"/>
    <w:rsid w:val="21081851"/>
    <w:rsid w:val="210C3853"/>
    <w:rsid w:val="211E20A8"/>
    <w:rsid w:val="21254871"/>
    <w:rsid w:val="2129610F"/>
    <w:rsid w:val="21393E89"/>
    <w:rsid w:val="214116AB"/>
    <w:rsid w:val="21486EDD"/>
    <w:rsid w:val="214C004F"/>
    <w:rsid w:val="2155189F"/>
    <w:rsid w:val="21556F04"/>
    <w:rsid w:val="21563120"/>
    <w:rsid w:val="21701F90"/>
    <w:rsid w:val="2170701E"/>
    <w:rsid w:val="2173382E"/>
    <w:rsid w:val="21784DC3"/>
    <w:rsid w:val="217D645B"/>
    <w:rsid w:val="2197576F"/>
    <w:rsid w:val="21C264D0"/>
    <w:rsid w:val="21C9556D"/>
    <w:rsid w:val="21CE6CB6"/>
    <w:rsid w:val="21D267A7"/>
    <w:rsid w:val="21F11323"/>
    <w:rsid w:val="21F66939"/>
    <w:rsid w:val="21FBEBEB"/>
    <w:rsid w:val="21FE759C"/>
    <w:rsid w:val="220152DE"/>
    <w:rsid w:val="221C3EC6"/>
    <w:rsid w:val="2221328A"/>
    <w:rsid w:val="22242C4B"/>
    <w:rsid w:val="222A213F"/>
    <w:rsid w:val="222C1C9F"/>
    <w:rsid w:val="222C3FA3"/>
    <w:rsid w:val="222E0711"/>
    <w:rsid w:val="22342FBD"/>
    <w:rsid w:val="223905D4"/>
    <w:rsid w:val="22400EBD"/>
    <w:rsid w:val="22446596"/>
    <w:rsid w:val="22477195"/>
    <w:rsid w:val="225F3691"/>
    <w:rsid w:val="22646256"/>
    <w:rsid w:val="226A69DF"/>
    <w:rsid w:val="227026FD"/>
    <w:rsid w:val="22771FA7"/>
    <w:rsid w:val="22791318"/>
    <w:rsid w:val="22853819"/>
    <w:rsid w:val="22856B8B"/>
    <w:rsid w:val="228757E3"/>
    <w:rsid w:val="22A939AB"/>
    <w:rsid w:val="22B1460E"/>
    <w:rsid w:val="22C67236"/>
    <w:rsid w:val="22CB4050"/>
    <w:rsid w:val="22CB59C2"/>
    <w:rsid w:val="22CC58EC"/>
    <w:rsid w:val="22D20787"/>
    <w:rsid w:val="22DC46F3"/>
    <w:rsid w:val="22E9024C"/>
    <w:rsid w:val="22F86E90"/>
    <w:rsid w:val="230C3F3A"/>
    <w:rsid w:val="232272BA"/>
    <w:rsid w:val="23243F69"/>
    <w:rsid w:val="232623FE"/>
    <w:rsid w:val="23264FFC"/>
    <w:rsid w:val="232A5278"/>
    <w:rsid w:val="232B1F13"/>
    <w:rsid w:val="232C1EE7"/>
    <w:rsid w:val="232F7A8C"/>
    <w:rsid w:val="23377209"/>
    <w:rsid w:val="233B3FF1"/>
    <w:rsid w:val="233D2346"/>
    <w:rsid w:val="23432A93"/>
    <w:rsid w:val="23447230"/>
    <w:rsid w:val="2346654E"/>
    <w:rsid w:val="234B4A63"/>
    <w:rsid w:val="2355768F"/>
    <w:rsid w:val="23623B5A"/>
    <w:rsid w:val="23627FFE"/>
    <w:rsid w:val="23647A3F"/>
    <w:rsid w:val="23696C97"/>
    <w:rsid w:val="23711FEF"/>
    <w:rsid w:val="23735D67"/>
    <w:rsid w:val="23791F56"/>
    <w:rsid w:val="237A6F80"/>
    <w:rsid w:val="237C6BC7"/>
    <w:rsid w:val="2388552B"/>
    <w:rsid w:val="239634D6"/>
    <w:rsid w:val="23A405B6"/>
    <w:rsid w:val="23A67EEB"/>
    <w:rsid w:val="23B14ACF"/>
    <w:rsid w:val="23B175F2"/>
    <w:rsid w:val="23B40F4C"/>
    <w:rsid w:val="23BF2D5B"/>
    <w:rsid w:val="23E80503"/>
    <w:rsid w:val="23FA0813"/>
    <w:rsid w:val="240370EB"/>
    <w:rsid w:val="24062738"/>
    <w:rsid w:val="240B5FA0"/>
    <w:rsid w:val="241237D2"/>
    <w:rsid w:val="24267432"/>
    <w:rsid w:val="242A28CA"/>
    <w:rsid w:val="24397F95"/>
    <w:rsid w:val="243B1825"/>
    <w:rsid w:val="246D6C5B"/>
    <w:rsid w:val="246F4781"/>
    <w:rsid w:val="24831FDA"/>
    <w:rsid w:val="24877D1C"/>
    <w:rsid w:val="249266C1"/>
    <w:rsid w:val="24945F95"/>
    <w:rsid w:val="24A51F50"/>
    <w:rsid w:val="24A77945"/>
    <w:rsid w:val="24AC1531"/>
    <w:rsid w:val="24AC1A70"/>
    <w:rsid w:val="24C34ACD"/>
    <w:rsid w:val="24CA7C09"/>
    <w:rsid w:val="24D9609E"/>
    <w:rsid w:val="24DE57D6"/>
    <w:rsid w:val="24DE5C24"/>
    <w:rsid w:val="24DF7B38"/>
    <w:rsid w:val="24EF141E"/>
    <w:rsid w:val="250B4B52"/>
    <w:rsid w:val="251D242F"/>
    <w:rsid w:val="25205A7B"/>
    <w:rsid w:val="2536704D"/>
    <w:rsid w:val="25381017"/>
    <w:rsid w:val="254E083A"/>
    <w:rsid w:val="25592D3B"/>
    <w:rsid w:val="2559439E"/>
    <w:rsid w:val="255C5828"/>
    <w:rsid w:val="256F255E"/>
    <w:rsid w:val="25710DD0"/>
    <w:rsid w:val="2572277A"/>
    <w:rsid w:val="25757B75"/>
    <w:rsid w:val="25950217"/>
    <w:rsid w:val="259C15A5"/>
    <w:rsid w:val="25AFFA62"/>
    <w:rsid w:val="25C428AA"/>
    <w:rsid w:val="25DF76E4"/>
    <w:rsid w:val="25E35426"/>
    <w:rsid w:val="25F0369F"/>
    <w:rsid w:val="25F56F08"/>
    <w:rsid w:val="25FE61D2"/>
    <w:rsid w:val="2601765A"/>
    <w:rsid w:val="26127ABA"/>
    <w:rsid w:val="26171E73"/>
    <w:rsid w:val="26337C4D"/>
    <w:rsid w:val="263C68E5"/>
    <w:rsid w:val="26512E37"/>
    <w:rsid w:val="26571970"/>
    <w:rsid w:val="265D380A"/>
    <w:rsid w:val="266320C3"/>
    <w:rsid w:val="266A16A4"/>
    <w:rsid w:val="266F2816"/>
    <w:rsid w:val="26793695"/>
    <w:rsid w:val="267A11BB"/>
    <w:rsid w:val="26802C75"/>
    <w:rsid w:val="2685203A"/>
    <w:rsid w:val="26856E3E"/>
    <w:rsid w:val="26932C8A"/>
    <w:rsid w:val="269C3827"/>
    <w:rsid w:val="269E134D"/>
    <w:rsid w:val="26AC3A6A"/>
    <w:rsid w:val="26AD333E"/>
    <w:rsid w:val="26C62652"/>
    <w:rsid w:val="26C80178"/>
    <w:rsid w:val="26CF7759"/>
    <w:rsid w:val="26E41767"/>
    <w:rsid w:val="26F92A28"/>
    <w:rsid w:val="27194E78"/>
    <w:rsid w:val="272950BB"/>
    <w:rsid w:val="2732271F"/>
    <w:rsid w:val="27343A60"/>
    <w:rsid w:val="27457128"/>
    <w:rsid w:val="27587B2E"/>
    <w:rsid w:val="275B1765"/>
    <w:rsid w:val="275B723E"/>
    <w:rsid w:val="27624129"/>
    <w:rsid w:val="27663AD0"/>
    <w:rsid w:val="27673E71"/>
    <w:rsid w:val="276854B7"/>
    <w:rsid w:val="27983FEE"/>
    <w:rsid w:val="279D7857"/>
    <w:rsid w:val="27A75FE0"/>
    <w:rsid w:val="27AF30E6"/>
    <w:rsid w:val="27BA3F65"/>
    <w:rsid w:val="27C76682"/>
    <w:rsid w:val="27CA519C"/>
    <w:rsid w:val="27D003F3"/>
    <w:rsid w:val="27D25752"/>
    <w:rsid w:val="27D75F18"/>
    <w:rsid w:val="27DE7FB7"/>
    <w:rsid w:val="27E962E8"/>
    <w:rsid w:val="27EE00B2"/>
    <w:rsid w:val="27EE2498"/>
    <w:rsid w:val="27F5CDC8"/>
    <w:rsid w:val="27F65B6B"/>
    <w:rsid w:val="27F82CDF"/>
    <w:rsid w:val="28001620"/>
    <w:rsid w:val="28043432"/>
    <w:rsid w:val="28081174"/>
    <w:rsid w:val="28094EEC"/>
    <w:rsid w:val="280E42B1"/>
    <w:rsid w:val="2810627B"/>
    <w:rsid w:val="28117E77"/>
    <w:rsid w:val="28180C8B"/>
    <w:rsid w:val="281C5B9F"/>
    <w:rsid w:val="281E1197"/>
    <w:rsid w:val="28221B0A"/>
    <w:rsid w:val="28277120"/>
    <w:rsid w:val="28335AC5"/>
    <w:rsid w:val="28461C9C"/>
    <w:rsid w:val="284E72DC"/>
    <w:rsid w:val="285F68BA"/>
    <w:rsid w:val="286669CD"/>
    <w:rsid w:val="286D547B"/>
    <w:rsid w:val="287A1946"/>
    <w:rsid w:val="28920A3E"/>
    <w:rsid w:val="28924EE2"/>
    <w:rsid w:val="289A2E5D"/>
    <w:rsid w:val="289A5B44"/>
    <w:rsid w:val="289F1401"/>
    <w:rsid w:val="28A54C15"/>
    <w:rsid w:val="28AD1D1C"/>
    <w:rsid w:val="28AF339E"/>
    <w:rsid w:val="28B704A4"/>
    <w:rsid w:val="28C17575"/>
    <w:rsid w:val="28C36E49"/>
    <w:rsid w:val="28D728F5"/>
    <w:rsid w:val="28D75265"/>
    <w:rsid w:val="28DE3C83"/>
    <w:rsid w:val="28F2772E"/>
    <w:rsid w:val="28F811E9"/>
    <w:rsid w:val="28F96D0F"/>
    <w:rsid w:val="28FE2577"/>
    <w:rsid w:val="28FE60D3"/>
    <w:rsid w:val="29020E0C"/>
    <w:rsid w:val="290302E2"/>
    <w:rsid w:val="290C4C94"/>
    <w:rsid w:val="2917536B"/>
    <w:rsid w:val="292813A2"/>
    <w:rsid w:val="29363ABF"/>
    <w:rsid w:val="2936586D"/>
    <w:rsid w:val="293C0117"/>
    <w:rsid w:val="29453058"/>
    <w:rsid w:val="29514455"/>
    <w:rsid w:val="29613FA7"/>
    <w:rsid w:val="296323DA"/>
    <w:rsid w:val="296B671C"/>
    <w:rsid w:val="296B9323"/>
    <w:rsid w:val="296D0004"/>
    <w:rsid w:val="297F5466"/>
    <w:rsid w:val="29842A7C"/>
    <w:rsid w:val="298C36DF"/>
    <w:rsid w:val="299260E1"/>
    <w:rsid w:val="29A547A1"/>
    <w:rsid w:val="29AA0009"/>
    <w:rsid w:val="29B570DA"/>
    <w:rsid w:val="29B844D4"/>
    <w:rsid w:val="29CC61D1"/>
    <w:rsid w:val="29E73757"/>
    <w:rsid w:val="29E928DF"/>
    <w:rsid w:val="29ED173B"/>
    <w:rsid w:val="2A04596B"/>
    <w:rsid w:val="2A267326"/>
    <w:rsid w:val="2A3C5105"/>
    <w:rsid w:val="2A481CFC"/>
    <w:rsid w:val="2A4F6D47"/>
    <w:rsid w:val="2A581813"/>
    <w:rsid w:val="2A704DAF"/>
    <w:rsid w:val="2A872B65"/>
    <w:rsid w:val="2AA36F32"/>
    <w:rsid w:val="2AAA6513"/>
    <w:rsid w:val="2AAE3CB0"/>
    <w:rsid w:val="2AB7478C"/>
    <w:rsid w:val="2AB972D5"/>
    <w:rsid w:val="2ABF1892"/>
    <w:rsid w:val="2AD03A9F"/>
    <w:rsid w:val="2AD510B6"/>
    <w:rsid w:val="2AE632C3"/>
    <w:rsid w:val="2AF27EBA"/>
    <w:rsid w:val="2AF61758"/>
    <w:rsid w:val="2AFA0B1C"/>
    <w:rsid w:val="2AFB4F49"/>
    <w:rsid w:val="2B105096"/>
    <w:rsid w:val="2B22345B"/>
    <w:rsid w:val="2B231E21"/>
    <w:rsid w:val="2B264111"/>
    <w:rsid w:val="2B2838DB"/>
    <w:rsid w:val="2B2D0EF2"/>
    <w:rsid w:val="2B30453E"/>
    <w:rsid w:val="2B317A55"/>
    <w:rsid w:val="2B33475A"/>
    <w:rsid w:val="2B381D70"/>
    <w:rsid w:val="2B3B7AFD"/>
    <w:rsid w:val="2B430715"/>
    <w:rsid w:val="2B4A1AA4"/>
    <w:rsid w:val="2B4C2E44"/>
    <w:rsid w:val="2B5054D5"/>
    <w:rsid w:val="2B507DFE"/>
    <w:rsid w:val="2B6D7540"/>
    <w:rsid w:val="2B7408CF"/>
    <w:rsid w:val="2B794137"/>
    <w:rsid w:val="2B7D59D5"/>
    <w:rsid w:val="2B89481A"/>
    <w:rsid w:val="2B8E3E48"/>
    <w:rsid w:val="2B8E7BE2"/>
    <w:rsid w:val="2B940F71"/>
    <w:rsid w:val="2B960845"/>
    <w:rsid w:val="2BA246DE"/>
    <w:rsid w:val="2BA47406"/>
    <w:rsid w:val="2BA80578"/>
    <w:rsid w:val="2BB138D1"/>
    <w:rsid w:val="2BB470B9"/>
    <w:rsid w:val="2BC00E57"/>
    <w:rsid w:val="2BC453B2"/>
    <w:rsid w:val="2BCC070B"/>
    <w:rsid w:val="2BCE5F4F"/>
    <w:rsid w:val="2BD20463"/>
    <w:rsid w:val="2BDDE61A"/>
    <w:rsid w:val="2BEFB4B2"/>
    <w:rsid w:val="2BFB307B"/>
    <w:rsid w:val="2BFB8CCA"/>
    <w:rsid w:val="2BFD08C4"/>
    <w:rsid w:val="2C077995"/>
    <w:rsid w:val="2C100EEC"/>
    <w:rsid w:val="2C106849"/>
    <w:rsid w:val="2C11436F"/>
    <w:rsid w:val="2C13380B"/>
    <w:rsid w:val="2C1856FE"/>
    <w:rsid w:val="2C206143"/>
    <w:rsid w:val="2C2C3157"/>
    <w:rsid w:val="2C2E7758"/>
    <w:rsid w:val="2C5A3F68"/>
    <w:rsid w:val="2C5A5D16"/>
    <w:rsid w:val="2C610E53"/>
    <w:rsid w:val="2C734E31"/>
    <w:rsid w:val="2C862667"/>
    <w:rsid w:val="2C8B4122"/>
    <w:rsid w:val="2C943475"/>
    <w:rsid w:val="2C98683F"/>
    <w:rsid w:val="2C9A7238"/>
    <w:rsid w:val="2CA04A4F"/>
    <w:rsid w:val="2CA376BD"/>
    <w:rsid w:val="2CAD3E75"/>
    <w:rsid w:val="2CB72057"/>
    <w:rsid w:val="2CBA67B5"/>
    <w:rsid w:val="2CBA9371"/>
    <w:rsid w:val="2CBD0053"/>
    <w:rsid w:val="2CBE62A5"/>
    <w:rsid w:val="2CBF3DCB"/>
    <w:rsid w:val="2CBF6E23"/>
    <w:rsid w:val="2CC43190"/>
    <w:rsid w:val="2CC55886"/>
    <w:rsid w:val="2CCF04B2"/>
    <w:rsid w:val="2CD63BB6"/>
    <w:rsid w:val="2CE3118E"/>
    <w:rsid w:val="2CE86C6F"/>
    <w:rsid w:val="2CE90E48"/>
    <w:rsid w:val="2CF75313"/>
    <w:rsid w:val="2CF972DD"/>
    <w:rsid w:val="2D013C8E"/>
    <w:rsid w:val="2D103148"/>
    <w:rsid w:val="2D151C3D"/>
    <w:rsid w:val="2D19172E"/>
    <w:rsid w:val="2D263E4A"/>
    <w:rsid w:val="2D265BF9"/>
    <w:rsid w:val="2D2A56E9"/>
    <w:rsid w:val="2D2D25FE"/>
    <w:rsid w:val="2D3447B9"/>
    <w:rsid w:val="2D377E06"/>
    <w:rsid w:val="2D3E1B7B"/>
    <w:rsid w:val="2D4542D1"/>
    <w:rsid w:val="2D510EC7"/>
    <w:rsid w:val="2DA03AA4"/>
    <w:rsid w:val="2DA57465"/>
    <w:rsid w:val="2DBB27E5"/>
    <w:rsid w:val="2DCD42C6"/>
    <w:rsid w:val="2DD37B2E"/>
    <w:rsid w:val="2DD62C52"/>
    <w:rsid w:val="2DDDF8D2"/>
    <w:rsid w:val="2DDF1017"/>
    <w:rsid w:val="2DE25133"/>
    <w:rsid w:val="2DE64648"/>
    <w:rsid w:val="2DF52218"/>
    <w:rsid w:val="2DF61A6F"/>
    <w:rsid w:val="2E0C3040"/>
    <w:rsid w:val="2E107C6F"/>
    <w:rsid w:val="2E1F0FC6"/>
    <w:rsid w:val="2E277E7A"/>
    <w:rsid w:val="2E291E44"/>
    <w:rsid w:val="2E39057F"/>
    <w:rsid w:val="2E3C1B78"/>
    <w:rsid w:val="2E3E05DE"/>
    <w:rsid w:val="2E432CE8"/>
    <w:rsid w:val="2E5067EC"/>
    <w:rsid w:val="2E513149"/>
    <w:rsid w:val="2E5A1FFE"/>
    <w:rsid w:val="2E5E6A04"/>
    <w:rsid w:val="2E6115DE"/>
    <w:rsid w:val="2E8452CD"/>
    <w:rsid w:val="2E84707B"/>
    <w:rsid w:val="2E851686"/>
    <w:rsid w:val="2E8E50A7"/>
    <w:rsid w:val="2E921798"/>
    <w:rsid w:val="2E9F3EB4"/>
    <w:rsid w:val="2EA414CB"/>
    <w:rsid w:val="2EAE40F8"/>
    <w:rsid w:val="2EB55684"/>
    <w:rsid w:val="2EBA2A9C"/>
    <w:rsid w:val="2EBC7D67"/>
    <w:rsid w:val="2EC15BD9"/>
    <w:rsid w:val="2EC41B6D"/>
    <w:rsid w:val="2ECB2EFB"/>
    <w:rsid w:val="2EE330A1"/>
    <w:rsid w:val="2EE45D6B"/>
    <w:rsid w:val="2EF05516"/>
    <w:rsid w:val="2EF7784D"/>
    <w:rsid w:val="2EFE0BDB"/>
    <w:rsid w:val="2F0F2DE8"/>
    <w:rsid w:val="2F155773"/>
    <w:rsid w:val="2F2820FC"/>
    <w:rsid w:val="2F28553F"/>
    <w:rsid w:val="2F34537F"/>
    <w:rsid w:val="2F3579AF"/>
    <w:rsid w:val="2F4259D2"/>
    <w:rsid w:val="2F511653"/>
    <w:rsid w:val="2F662C24"/>
    <w:rsid w:val="2F7D6357"/>
    <w:rsid w:val="2F856001"/>
    <w:rsid w:val="2F8F217B"/>
    <w:rsid w:val="2F9F5E0E"/>
    <w:rsid w:val="2FA63021"/>
    <w:rsid w:val="2FA9127F"/>
    <w:rsid w:val="2FAC6889"/>
    <w:rsid w:val="2FD45DE0"/>
    <w:rsid w:val="2FD99BD1"/>
    <w:rsid w:val="2FE32273"/>
    <w:rsid w:val="2FFB9719"/>
    <w:rsid w:val="2FFF3078"/>
    <w:rsid w:val="301405BF"/>
    <w:rsid w:val="301A386E"/>
    <w:rsid w:val="302208F9"/>
    <w:rsid w:val="30436BF9"/>
    <w:rsid w:val="30450A8C"/>
    <w:rsid w:val="305B5E34"/>
    <w:rsid w:val="30683C8B"/>
    <w:rsid w:val="307931FA"/>
    <w:rsid w:val="3082583C"/>
    <w:rsid w:val="30847806"/>
    <w:rsid w:val="30A734F4"/>
    <w:rsid w:val="30B023A9"/>
    <w:rsid w:val="30BA3228"/>
    <w:rsid w:val="30C23E8A"/>
    <w:rsid w:val="30CB044F"/>
    <w:rsid w:val="30D2231F"/>
    <w:rsid w:val="30D37306"/>
    <w:rsid w:val="30EC75C0"/>
    <w:rsid w:val="30F304E8"/>
    <w:rsid w:val="30F93D50"/>
    <w:rsid w:val="310261D1"/>
    <w:rsid w:val="310E5321"/>
    <w:rsid w:val="311346E6"/>
    <w:rsid w:val="311566B0"/>
    <w:rsid w:val="311A4951"/>
    <w:rsid w:val="31215667"/>
    <w:rsid w:val="31274127"/>
    <w:rsid w:val="31382DE1"/>
    <w:rsid w:val="313A7EC4"/>
    <w:rsid w:val="31436D79"/>
    <w:rsid w:val="314F1BC2"/>
    <w:rsid w:val="315C608D"/>
    <w:rsid w:val="31745184"/>
    <w:rsid w:val="317A6513"/>
    <w:rsid w:val="319C46DB"/>
    <w:rsid w:val="31A17801"/>
    <w:rsid w:val="31A6555A"/>
    <w:rsid w:val="31B22151"/>
    <w:rsid w:val="31C0329F"/>
    <w:rsid w:val="31C47AE2"/>
    <w:rsid w:val="31C51E84"/>
    <w:rsid w:val="31C81974"/>
    <w:rsid w:val="31E26DD0"/>
    <w:rsid w:val="31F25E95"/>
    <w:rsid w:val="31F34EE6"/>
    <w:rsid w:val="32075FF9"/>
    <w:rsid w:val="320C5601"/>
    <w:rsid w:val="320E382B"/>
    <w:rsid w:val="32130E41"/>
    <w:rsid w:val="323F60E0"/>
    <w:rsid w:val="324C3414"/>
    <w:rsid w:val="32570855"/>
    <w:rsid w:val="32585395"/>
    <w:rsid w:val="325D3E6B"/>
    <w:rsid w:val="32613717"/>
    <w:rsid w:val="326351F9"/>
    <w:rsid w:val="32754CF2"/>
    <w:rsid w:val="3287538B"/>
    <w:rsid w:val="32892EB1"/>
    <w:rsid w:val="329F26D5"/>
    <w:rsid w:val="32A61AD2"/>
    <w:rsid w:val="32A76766"/>
    <w:rsid w:val="32AF4A8A"/>
    <w:rsid w:val="32BB42A1"/>
    <w:rsid w:val="32BF2D77"/>
    <w:rsid w:val="32C47B0D"/>
    <w:rsid w:val="32D37A29"/>
    <w:rsid w:val="32E53E60"/>
    <w:rsid w:val="32E620B2"/>
    <w:rsid w:val="32EE0F67"/>
    <w:rsid w:val="3307371A"/>
    <w:rsid w:val="330E5059"/>
    <w:rsid w:val="331309CD"/>
    <w:rsid w:val="332323A0"/>
    <w:rsid w:val="33260700"/>
    <w:rsid w:val="33294694"/>
    <w:rsid w:val="332E3A59"/>
    <w:rsid w:val="3330157F"/>
    <w:rsid w:val="33370B5F"/>
    <w:rsid w:val="33415945"/>
    <w:rsid w:val="334F5387"/>
    <w:rsid w:val="33552D94"/>
    <w:rsid w:val="335A484E"/>
    <w:rsid w:val="335C69C9"/>
    <w:rsid w:val="33627A27"/>
    <w:rsid w:val="336B5F97"/>
    <w:rsid w:val="33791178"/>
    <w:rsid w:val="337A5FAB"/>
    <w:rsid w:val="33870CB2"/>
    <w:rsid w:val="338901E8"/>
    <w:rsid w:val="338D3F51"/>
    <w:rsid w:val="338E49F3"/>
    <w:rsid w:val="33947D60"/>
    <w:rsid w:val="33A71A8D"/>
    <w:rsid w:val="33AF4B9A"/>
    <w:rsid w:val="33B95A18"/>
    <w:rsid w:val="33CA3782"/>
    <w:rsid w:val="33D52499"/>
    <w:rsid w:val="33D64A34"/>
    <w:rsid w:val="33D94FDC"/>
    <w:rsid w:val="33EC2509"/>
    <w:rsid w:val="33F508A6"/>
    <w:rsid w:val="34014CC9"/>
    <w:rsid w:val="340A6274"/>
    <w:rsid w:val="341B3FDD"/>
    <w:rsid w:val="342122C0"/>
    <w:rsid w:val="342A1EC6"/>
    <w:rsid w:val="34384B8F"/>
    <w:rsid w:val="3448551B"/>
    <w:rsid w:val="345C0152"/>
    <w:rsid w:val="34602FDD"/>
    <w:rsid w:val="34610250"/>
    <w:rsid w:val="346516FC"/>
    <w:rsid w:val="346C793A"/>
    <w:rsid w:val="346D5909"/>
    <w:rsid w:val="347100A1"/>
    <w:rsid w:val="34763909"/>
    <w:rsid w:val="348422A0"/>
    <w:rsid w:val="34871673"/>
    <w:rsid w:val="34880F47"/>
    <w:rsid w:val="348E2A01"/>
    <w:rsid w:val="34A22009"/>
    <w:rsid w:val="34A715A5"/>
    <w:rsid w:val="34A72487"/>
    <w:rsid w:val="34AE5ED7"/>
    <w:rsid w:val="34B34216"/>
    <w:rsid w:val="34C93A39"/>
    <w:rsid w:val="34D348B8"/>
    <w:rsid w:val="34D66156"/>
    <w:rsid w:val="34DC452A"/>
    <w:rsid w:val="34DD1293"/>
    <w:rsid w:val="34FD7171"/>
    <w:rsid w:val="350A1334"/>
    <w:rsid w:val="350C1B78"/>
    <w:rsid w:val="350E3B42"/>
    <w:rsid w:val="3511718E"/>
    <w:rsid w:val="35131158"/>
    <w:rsid w:val="35137D80"/>
    <w:rsid w:val="35301D0A"/>
    <w:rsid w:val="35496928"/>
    <w:rsid w:val="355E3CBE"/>
    <w:rsid w:val="356279EA"/>
    <w:rsid w:val="356B689E"/>
    <w:rsid w:val="3575771D"/>
    <w:rsid w:val="35775243"/>
    <w:rsid w:val="357C75E6"/>
    <w:rsid w:val="35832375"/>
    <w:rsid w:val="358A316B"/>
    <w:rsid w:val="358F33FD"/>
    <w:rsid w:val="35901FE7"/>
    <w:rsid w:val="3590706C"/>
    <w:rsid w:val="35A46254"/>
    <w:rsid w:val="35A87AF3"/>
    <w:rsid w:val="35AE2C2F"/>
    <w:rsid w:val="35B20971"/>
    <w:rsid w:val="35BC274B"/>
    <w:rsid w:val="35C0308E"/>
    <w:rsid w:val="35C97A69"/>
    <w:rsid w:val="35D23C4B"/>
    <w:rsid w:val="35D94150"/>
    <w:rsid w:val="35DE31B8"/>
    <w:rsid w:val="35E07771"/>
    <w:rsid w:val="35E548A3"/>
    <w:rsid w:val="35F03248"/>
    <w:rsid w:val="35FD055A"/>
    <w:rsid w:val="35FFBC28"/>
    <w:rsid w:val="3600792F"/>
    <w:rsid w:val="3609071C"/>
    <w:rsid w:val="360A3AE4"/>
    <w:rsid w:val="361E6007"/>
    <w:rsid w:val="362A675A"/>
    <w:rsid w:val="362C50F3"/>
    <w:rsid w:val="363475D8"/>
    <w:rsid w:val="36372C24"/>
    <w:rsid w:val="36393C99"/>
    <w:rsid w:val="364D2448"/>
    <w:rsid w:val="365077E6"/>
    <w:rsid w:val="366923C4"/>
    <w:rsid w:val="36785717"/>
    <w:rsid w:val="36847069"/>
    <w:rsid w:val="369462C9"/>
    <w:rsid w:val="36B6623F"/>
    <w:rsid w:val="36BB5A02"/>
    <w:rsid w:val="36BD75CE"/>
    <w:rsid w:val="36BF44BC"/>
    <w:rsid w:val="36CD6E4D"/>
    <w:rsid w:val="36D668E1"/>
    <w:rsid w:val="36D84407"/>
    <w:rsid w:val="36DF8D7D"/>
    <w:rsid w:val="36E1693A"/>
    <w:rsid w:val="36E92171"/>
    <w:rsid w:val="36EE59D9"/>
    <w:rsid w:val="36F05718"/>
    <w:rsid w:val="36F16AE9"/>
    <w:rsid w:val="36F31241"/>
    <w:rsid w:val="36F9612C"/>
    <w:rsid w:val="36FB00F6"/>
    <w:rsid w:val="36FD1DF8"/>
    <w:rsid w:val="370F316F"/>
    <w:rsid w:val="37103BA1"/>
    <w:rsid w:val="37113475"/>
    <w:rsid w:val="37182A17"/>
    <w:rsid w:val="371A67CE"/>
    <w:rsid w:val="372702D2"/>
    <w:rsid w:val="373A6628"/>
    <w:rsid w:val="37571B2F"/>
    <w:rsid w:val="375A306E"/>
    <w:rsid w:val="375A4E1C"/>
    <w:rsid w:val="375C0B95"/>
    <w:rsid w:val="37620175"/>
    <w:rsid w:val="376D0FF4"/>
    <w:rsid w:val="377C4D93"/>
    <w:rsid w:val="377FBC6A"/>
    <w:rsid w:val="378325C5"/>
    <w:rsid w:val="37904CE2"/>
    <w:rsid w:val="3790548B"/>
    <w:rsid w:val="37926D8D"/>
    <w:rsid w:val="379E11AD"/>
    <w:rsid w:val="379E5D0E"/>
    <w:rsid w:val="379F5B99"/>
    <w:rsid w:val="37A458F7"/>
    <w:rsid w:val="37B26A07"/>
    <w:rsid w:val="37B7226F"/>
    <w:rsid w:val="37C249A0"/>
    <w:rsid w:val="37C91FA2"/>
    <w:rsid w:val="37D456E4"/>
    <w:rsid w:val="37D769AC"/>
    <w:rsid w:val="37DA5F5D"/>
    <w:rsid w:val="37DF20DE"/>
    <w:rsid w:val="37DF3574"/>
    <w:rsid w:val="37E727ED"/>
    <w:rsid w:val="37EB4955"/>
    <w:rsid w:val="37F25055"/>
    <w:rsid w:val="37F7266B"/>
    <w:rsid w:val="37FA215C"/>
    <w:rsid w:val="37FC5ED4"/>
    <w:rsid w:val="38190834"/>
    <w:rsid w:val="382471D8"/>
    <w:rsid w:val="382C22E7"/>
    <w:rsid w:val="382F62A9"/>
    <w:rsid w:val="38305B7D"/>
    <w:rsid w:val="383438BF"/>
    <w:rsid w:val="384635F3"/>
    <w:rsid w:val="385E6B8E"/>
    <w:rsid w:val="387737AC"/>
    <w:rsid w:val="38787347"/>
    <w:rsid w:val="387C7014"/>
    <w:rsid w:val="38921239"/>
    <w:rsid w:val="389F616B"/>
    <w:rsid w:val="38AA327E"/>
    <w:rsid w:val="38B33FC8"/>
    <w:rsid w:val="38B844F1"/>
    <w:rsid w:val="38B92017"/>
    <w:rsid w:val="38BE21D1"/>
    <w:rsid w:val="38C033A5"/>
    <w:rsid w:val="38C5276A"/>
    <w:rsid w:val="38CA494E"/>
    <w:rsid w:val="38E726E0"/>
    <w:rsid w:val="38EB7314"/>
    <w:rsid w:val="38F65019"/>
    <w:rsid w:val="38FE77AF"/>
    <w:rsid w:val="39052611"/>
    <w:rsid w:val="39061A6B"/>
    <w:rsid w:val="390E4110"/>
    <w:rsid w:val="39111E53"/>
    <w:rsid w:val="391A34DD"/>
    <w:rsid w:val="391B4A7F"/>
    <w:rsid w:val="391F631E"/>
    <w:rsid w:val="393D67A4"/>
    <w:rsid w:val="39427657"/>
    <w:rsid w:val="394C4C39"/>
    <w:rsid w:val="395F496C"/>
    <w:rsid w:val="39602492"/>
    <w:rsid w:val="396106E4"/>
    <w:rsid w:val="39677CC5"/>
    <w:rsid w:val="397A17A6"/>
    <w:rsid w:val="39C24EFB"/>
    <w:rsid w:val="39D215E2"/>
    <w:rsid w:val="39DC1F22"/>
    <w:rsid w:val="39E207FF"/>
    <w:rsid w:val="39E9692C"/>
    <w:rsid w:val="39ED1F78"/>
    <w:rsid w:val="39F50E2C"/>
    <w:rsid w:val="39F5444A"/>
    <w:rsid w:val="3A2611D5"/>
    <w:rsid w:val="3A437DEA"/>
    <w:rsid w:val="3A4A561C"/>
    <w:rsid w:val="3A4A73CA"/>
    <w:rsid w:val="3A543444"/>
    <w:rsid w:val="3A5468F0"/>
    <w:rsid w:val="3A565A92"/>
    <w:rsid w:val="3A6B26F1"/>
    <w:rsid w:val="3A6D130B"/>
    <w:rsid w:val="3A6D4E67"/>
    <w:rsid w:val="3A6F93E2"/>
    <w:rsid w:val="3A78307D"/>
    <w:rsid w:val="3A992100"/>
    <w:rsid w:val="3AA06FEA"/>
    <w:rsid w:val="3ABC194A"/>
    <w:rsid w:val="3ABDBD39"/>
    <w:rsid w:val="3AD244C6"/>
    <w:rsid w:val="3AE61666"/>
    <w:rsid w:val="3AE670D0"/>
    <w:rsid w:val="3AFA4E66"/>
    <w:rsid w:val="3B0E6D2D"/>
    <w:rsid w:val="3B2E76B7"/>
    <w:rsid w:val="3B497682"/>
    <w:rsid w:val="3B5C5D4C"/>
    <w:rsid w:val="3B6303AB"/>
    <w:rsid w:val="3B691AD2"/>
    <w:rsid w:val="3B6C3370"/>
    <w:rsid w:val="3B6E533A"/>
    <w:rsid w:val="3B714E2B"/>
    <w:rsid w:val="3B7D6A70"/>
    <w:rsid w:val="3B8C3A12"/>
    <w:rsid w:val="3B8F4245"/>
    <w:rsid w:val="3B9A7EDD"/>
    <w:rsid w:val="3B9F54F4"/>
    <w:rsid w:val="3BA725FA"/>
    <w:rsid w:val="3BAC527C"/>
    <w:rsid w:val="3BB03EA1"/>
    <w:rsid w:val="3BB56AC5"/>
    <w:rsid w:val="3BBF16F2"/>
    <w:rsid w:val="3BC136BC"/>
    <w:rsid w:val="3BC751DB"/>
    <w:rsid w:val="3BD01B51"/>
    <w:rsid w:val="3BD21844"/>
    <w:rsid w:val="3BDB4052"/>
    <w:rsid w:val="3BEF4334"/>
    <w:rsid w:val="3BF21AC7"/>
    <w:rsid w:val="3BF32D1F"/>
    <w:rsid w:val="3BF4434D"/>
    <w:rsid w:val="3BF9FF42"/>
    <w:rsid w:val="3BFF5005"/>
    <w:rsid w:val="3BFF9F95"/>
    <w:rsid w:val="3C132AA0"/>
    <w:rsid w:val="3C2D0D52"/>
    <w:rsid w:val="3C3976F6"/>
    <w:rsid w:val="3C3D6ABB"/>
    <w:rsid w:val="3C4050D6"/>
    <w:rsid w:val="3C420067"/>
    <w:rsid w:val="3C487939"/>
    <w:rsid w:val="3C4B0050"/>
    <w:rsid w:val="3C53062C"/>
    <w:rsid w:val="3C533473"/>
    <w:rsid w:val="3C597D99"/>
    <w:rsid w:val="3C5BB11A"/>
    <w:rsid w:val="3C611042"/>
    <w:rsid w:val="3C6D114E"/>
    <w:rsid w:val="3C6D55F2"/>
    <w:rsid w:val="3C770CC6"/>
    <w:rsid w:val="3C7F7112"/>
    <w:rsid w:val="3C834E15"/>
    <w:rsid w:val="3C8360C6"/>
    <w:rsid w:val="3C887370"/>
    <w:rsid w:val="3C8A1D00"/>
    <w:rsid w:val="3C9169E0"/>
    <w:rsid w:val="3C9B0273"/>
    <w:rsid w:val="3CA408E8"/>
    <w:rsid w:val="3CA51213"/>
    <w:rsid w:val="3CC81218"/>
    <w:rsid w:val="3CD31F26"/>
    <w:rsid w:val="3CD92C87"/>
    <w:rsid w:val="3CE33B06"/>
    <w:rsid w:val="3CE77152"/>
    <w:rsid w:val="3CED6733"/>
    <w:rsid w:val="3CF7E3B0"/>
    <w:rsid w:val="3CF96E86"/>
    <w:rsid w:val="3CFB0E50"/>
    <w:rsid w:val="3CFE5D89"/>
    <w:rsid w:val="3D0221DE"/>
    <w:rsid w:val="3D0715A3"/>
    <w:rsid w:val="3D0777F5"/>
    <w:rsid w:val="3D08531B"/>
    <w:rsid w:val="3D204412"/>
    <w:rsid w:val="3D213F3F"/>
    <w:rsid w:val="3D393726"/>
    <w:rsid w:val="3D3A716B"/>
    <w:rsid w:val="3D3F6F8E"/>
    <w:rsid w:val="3D4022A0"/>
    <w:rsid w:val="3D430101"/>
    <w:rsid w:val="3D486EDC"/>
    <w:rsid w:val="3D6C3AFB"/>
    <w:rsid w:val="3D7D4F5E"/>
    <w:rsid w:val="3D804EB1"/>
    <w:rsid w:val="3D8770A1"/>
    <w:rsid w:val="3D891FB8"/>
    <w:rsid w:val="3D9170BE"/>
    <w:rsid w:val="3D932E36"/>
    <w:rsid w:val="3D9F5C7F"/>
    <w:rsid w:val="3DA2751D"/>
    <w:rsid w:val="3DA70690"/>
    <w:rsid w:val="3DA72718"/>
    <w:rsid w:val="3DA908AC"/>
    <w:rsid w:val="3DBE0B4C"/>
    <w:rsid w:val="3DC54FBA"/>
    <w:rsid w:val="3DCE7D24"/>
    <w:rsid w:val="3DD205B0"/>
    <w:rsid w:val="3DD609B3"/>
    <w:rsid w:val="3DD846B7"/>
    <w:rsid w:val="3DDC47DD"/>
    <w:rsid w:val="3DE2791A"/>
    <w:rsid w:val="3DE713D4"/>
    <w:rsid w:val="3DEE2762"/>
    <w:rsid w:val="3DF1C583"/>
    <w:rsid w:val="3DF7F809"/>
    <w:rsid w:val="3DFD29A6"/>
    <w:rsid w:val="3DFD4754"/>
    <w:rsid w:val="3DFD81AF"/>
    <w:rsid w:val="3E0930F8"/>
    <w:rsid w:val="3E23065E"/>
    <w:rsid w:val="3E2919ED"/>
    <w:rsid w:val="3E2E0DB1"/>
    <w:rsid w:val="3E3143FD"/>
    <w:rsid w:val="3E4D300B"/>
    <w:rsid w:val="3E500D27"/>
    <w:rsid w:val="3E530817"/>
    <w:rsid w:val="3E541B20"/>
    <w:rsid w:val="3E5C2E71"/>
    <w:rsid w:val="3E6807DB"/>
    <w:rsid w:val="3E6F4B9A"/>
    <w:rsid w:val="3E7F33BB"/>
    <w:rsid w:val="3E834880"/>
    <w:rsid w:val="3E853C97"/>
    <w:rsid w:val="3E921340"/>
    <w:rsid w:val="3E9450B8"/>
    <w:rsid w:val="3EA356B3"/>
    <w:rsid w:val="3EBBE5D2"/>
    <w:rsid w:val="3EBD31E5"/>
    <w:rsid w:val="3EC866B9"/>
    <w:rsid w:val="3ED87E4C"/>
    <w:rsid w:val="3EDE27D7"/>
    <w:rsid w:val="3EE651E8"/>
    <w:rsid w:val="3EEA4CD8"/>
    <w:rsid w:val="3EFB2499"/>
    <w:rsid w:val="3EFE614D"/>
    <w:rsid w:val="3EFEF4BD"/>
    <w:rsid w:val="3F010273"/>
    <w:rsid w:val="3F0563ED"/>
    <w:rsid w:val="3F063730"/>
    <w:rsid w:val="3F0833B0"/>
    <w:rsid w:val="3F220916"/>
    <w:rsid w:val="3F243ABF"/>
    <w:rsid w:val="3F2A77CA"/>
    <w:rsid w:val="3F2D72BA"/>
    <w:rsid w:val="3F373C95"/>
    <w:rsid w:val="3F376A69"/>
    <w:rsid w:val="3F392CE3"/>
    <w:rsid w:val="3F3E3276"/>
    <w:rsid w:val="3F3EC4AF"/>
    <w:rsid w:val="3F4A7E6C"/>
    <w:rsid w:val="3F4E607F"/>
    <w:rsid w:val="3F4E6449"/>
    <w:rsid w:val="3F4F0FDF"/>
    <w:rsid w:val="3F4F42A7"/>
    <w:rsid w:val="3F520ACF"/>
    <w:rsid w:val="3F5A4F0B"/>
    <w:rsid w:val="3F685733"/>
    <w:rsid w:val="3F6A5E19"/>
    <w:rsid w:val="3F6A7BC7"/>
    <w:rsid w:val="3F6C7DE3"/>
    <w:rsid w:val="3F779E02"/>
    <w:rsid w:val="3F79605C"/>
    <w:rsid w:val="3F7F9605"/>
    <w:rsid w:val="3F870779"/>
    <w:rsid w:val="3F8769CB"/>
    <w:rsid w:val="3F9904AC"/>
    <w:rsid w:val="3F9A4950"/>
    <w:rsid w:val="3FA330D9"/>
    <w:rsid w:val="3FA57874"/>
    <w:rsid w:val="3FAC01DF"/>
    <w:rsid w:val="3FAE03FB"/>
    <w:rsid w:val="3FB457A2"/>
    <w:rsid w:val="3FB53538"/>
    <w:rsid w:val="3FB7E63A"/>
    <w:rsid w:val="3FBBDF25"/>
    <w:rsid w:val="3FC512A1"/>
    <w:rsid w:val="3FC65745"/>
    <w:rsid w:val="3FCDC299"/>
    <w:rsid w:val="3FCEED26"/>
    <w:rsid w:val="3FCFD775"/>
    <w:rsid w:val="3FD66133"/>
    <w:rsid w:val="3FDA11F0"/>
    <w:rsid w:val="3FDD65EB"/>
    <w:rsid w:val="3FDE10EE"/>
    <w:rsid w:val="3FDE717E"/>
    <w:rsid w:val="3FDF239A"/>
    <w:rsid w:val="3FDFFAB3"/>
    <w:rsid w:val="3FE78F4C"/>
    <w:rsid w:val="3FECD332"/>
    <w:rsid w:val="3FED0E5F"/>
    <w:rsid w:val="3FEFFACE"/>
    <w:rsid w:val="3FF2FAA3"/>
    <w:rsid w:val="3FF74CD3"/>
    <w:rsid w:val="3FFE71BE"/>
    <w:rsid w:val="3FFF61E2"/>
    <w:rsid w:val="3FFF9C09"/>
    <w:rsid w:val="3FFFCE42"/>
    <w:rsid w:val="400B13AA"/>
    <w:rsid w:val="400B75FC"/>
    <w:rsid w:val="400C5122"/>
    <w:rsid w:val="400E49F6"/>
    <w:rsid w:val="40104C12"/>
    <w:rsid w:val="40155D85"/>
    <w:rsid w:val="40307062"/>
    <w:rsid w:val="40387CC5"/>
    <w:rsid w:val="40464190"/>
    <w:rsid w:val="40491ED2"/>
    <w:rsid w:val="406010FB"/>
    <w:rsid w:val="4061721C"/>
    <w:rsid w:val="40644F5E"/>
    <w:rsid w:val="40692574"/>
    <w:rsid w:val="4081341A"/>
    <w:rsid w:val="409749EB"/>
    <w:rsid w:val="40A16878"/>
    <w:rsid w:val="40A23390"/>
    <w:rsid w:val="40A35A86"/>
    <w:rsid w:val="40A43FE1"/>
    <w:rsid w:val="40BF3F42"/>
    <w:rsid w:val="40C17CBA"/>
    <w:rsid w:val="40CD253B"/>
    <w:rsid w:val="40E554A4"/>
    <w:rsid w:val="410302D3"/>
    <w:rsid w:val="412B3925"/>
    <w:rsid w:val="41384420"/>
    <w:rsid w:val="41391F47"/>
    <w:rsid w:val="413C37E5"/>
    <w:rsid w:val="413D1A37"/>
    <w:rsid w:val="41434B73"/>
    <w:rsid w:val="41452699"/>
    <w:rsid w:val="414669EE"/>
    <w:rsid w:val="414F176A"/>
    <w:rsid w:val="415154E2"/>
    <w:rsid w:val="41522A5D"/>
    <w:rsid w:val="41523008"/>
    <w:rsid w:val="41727207"/>
    <w:rsid w:val="417B430D"/>
    <w:rsid w:val="41801923"/>
    <w:rsid w:val="41A05B22"/>
    <w:rsid w:val="41A25D3E"/>
    <w:rsid w:val="41A978DB"/>
    <w:rsid w:val="41AE46E3"/>
    <w:rsid w:val="41B4781F"/>
    <w:rsid w:val="41C37A62"/>
    <w:rsid w:val="41CA7043"/>
    <w:rsid w:val="41CF23CD"/>
    <w:rsid w:val="41D103D1"/>
    <w:rsid w:val="41E06866"/>
    <w:rsid w:val="41E80D5B"/>
    <w:rsid w:val="41F06E09"/>
    <w:rsid w:val="41FB36A0"/>
    <w:rsid w:val="42010CB6"/>
    <w:rsid w:val="421E5C40"/>
    <w:rsid w:val="423E37F0"/>
    <w:rsid w:val="423F17DF"/>
    <w:rsid w:val="4251506E"/>
    <w:rsid w:val="425A0F71"/>
    <w:rsid w:val="425F03A7"/>
    <w:rsid w:val="42613AF4"/>
    <w:rsid w:val="42664FBD"/>
    <w:rsid w:val="426B25D4"/>
    <w:rsid w:val="42785676"/>
    <w:rsid w:val="42864D18"/>
    <w:rsid w:val="4286740D"/>
    <w:rsid w:val="4292190E"/>
    <w:rsid w:val="429F402B"/>
    <w:rsid w:val="42A258CA"/>
    <w:rsid w:val="42A31D6D"/>
    <w:rsid w:val="42B1052C"/>
    <w:rsid w:val="42CD2946"/>
    <w:rsid w:val="42D75573"/>
    <w:rsid w:val="42F02E93"/>
    <w:rsid w:val="42F563BE"/>
    <w:rsid w:val="43012E27"/>
    <w:rsid w:val="431C567C"/>
    <w:rsid w:val="432D197A"/>
    <w:rsid w:val="432F53AF"/>
    <w:rsid w:val="43326C4D"/>
    <w:rsid w:val="434A3F97"/>
    <w:rsid w:val="435B2648"/>
    <w:rsid w:val="43617533"/>
    <w:rsid w:val="4374370A"/>
    <w:rsid w:val="4376F5CB"/>
    <w:rsid w:val="437D25BE"/>
    <w:rsid w:val="43882D11"/>
    <w:rsid w:val="43A1468D"/>
    <w:rsid w:val="43A708F0"/>
    <w:rsid w:val="43B35F95"/>
    <w:rsid w:val="43BE25BE"/>
    <w:rsid w:val="43BE4985"/>
    <w:rsid w:val="43C006FD"/>
    <w:rsid w:val="43C123FB"/>
    <w:rsid w:val="43C81360"/>
    <w:rsid w:val="43CE4CBB"/>
    <w:rsid w:val="43D16466"/>
    <w:rsid w:val="43D877F5"/>
    <w:rsid w:val="43EA577A"/>
    <w:rsid w:val="4416253F"/>
    <w:rsid w:val="44217FF5"/>
    <w:rsid w:val="442C7B41"/>
    <w:rsid w:val="443D58AA"/>
    <w:rsid w:val="443F7874"/>
    <w:rsid w:val="444078CC"/>
    <w:rsid w:val="445A645C"/>
    <w:rsid w:val="44626CE7"/>
    <w:rsid w:val="446A7138"/>
    <w:rsid w:val="44775260"/>
    <w:rsid w:val="447A6AFE"/>
    <w:rsid w:val="447B4624"/>
    <w:rsid w:val="447F2366"/>
    <w:rsid w:val="449C4CC6"/>
    <w:rsid w:val="44A616A1"/>
    <w:rsid w:val="44B430F4"/>
    <w:rsid w:val="44B87626"/>
    <w:rsid w:val="44D8710E"/>
    <w:rsid w:val="44DD5C75"/>
    <w:rsid w:val="44DE708D"/>
    <w:rsid w:val="44E4041B"/>
    <w:rsid w:val="44F97EC4"/>
    <w:rsid w:val="44FE760D"/>
    <w:rsid w:val="450268CE"/>
    <w:rsid w:val="450D7972"/>
    <w:rsid w:val="452151CC"/>
    <w:rsid w:val="452829E7"/>
    <w:rsid w:val="45285204"/>
    <w:rsid w:val="45401AF6"/>
    <w:rsid w:val="45480448"/>
    <w:rsid w:val="454809AA"/>
    <w:rsid w:val="454F3AE7"/>
    <w:rsid w:val="4550160D"/>
    <w:rsid w:val="455C4456"/>
    <w:rsid w:val="457F1844"/>
    <w:rsid w:val="45815C6A"/>
    <w:rsid w:val="458E4348"/>
    <w:rsid w:val="45950612"/>
    <w:rsid w:val="459C013A"/>
    <w:rsid w:val="45A1630C"/>
    <w:rsid w:val="45AA6F6F"/>
    <w:rsid w:val="45BB73CE"/>
    <w:rsid w:val="45BD3146"/>
    <w:rsid w:val="45CC5137"/>
    <w:rsid w:val="45CE588F"/>
    <w:rsid w:val="45D109A0"/>
    <w:rsid w:val="45D93CF8"/>
    <w:rsid w:val="45DC5246"/>
    <w:rsid w:val="45ED50AE"/>
    <w:rsid w:val="45EE1552"/>
    <w:rsid w:val="45F55910"/>
    <w:rsid w:val="45FB3C6E"/>
    <w:rsid w:val="460055F1"/>
    <w:rsid w:val="460103E6"/>
    <w:rsid w:val="46032E8D"/>
    <w:rsid w:val="46071FD6"/>
    <w:rsid w:val="46164604"/>
    <w:rsid w:val="46244F73"/>
    <w:rsid w:val="462F148B"/>
    <w:rsid w:val="464A2500"/>
    <w:rsid w:val="4651154E"/>
    <w:rsid w:val="46603AD2"/>
    <w:rsid w:val="466B2BA2"/>
    <w:rsid w:val="466E4440"/>
    <w:rsid w:val="46737CA9"/>
    <w:rsid w:val="467C4DAF"/>
    <w:rsid w:val="46965745"/>
    <w:rsid w:val="46A55352"/>
    <w:rsid w:val="46A56CC0"/>
    <w:rsid w:val="46B06893"/>
    <w:rsid w:val="46BA7686"/>
    <w:rsid w:val="46D00C57"/>
    <w:rsid w:val="46E44703"/>
    <w:rsid w:val="46EC2FAB"/>
    <w:rsid w:val="46FA2178"/>
    <w:rsid w:val="46FA5CD4"/>
    <w:rsid w:val="47086643"/>
    <w:rsid w:val="47135EB8"/>
    <w:rsid w:val="4729480B"/>
    <w:rsid w:val="473F5DDD"/>
    <w:rsid w:val="47451645"/>
    <w:rsid w:val="474E7DCE"/>
    <w:rsid w:val="47637D1D"/>
    <w:rsid w:val="477517FF"/>
    <w:rsid w:val="47867568"/>
    <w:rsid w:val="47876F78"/>
    <w:rsid w:val="478E5712"/>
    <w:rsid w:val="47961EA1"/>
    <w:rsid w:val="479D1AB0"/>
    <w:rsid w:val="479E0D55"/>
    <w:rsid w:val="47AB6FCE"/>
    <w:rsid w:val="47AD0F98"/>
    <w:rsid w:val="47AF2F63"/>
    <w:rsid w:val="47C47D13"/>
    <w:rsid w:val="47D46525"/>
    <w:rsid w:val="47D65A37"/>
    <w:rsid w:val="47DE73A4"/>
    <w:rsid w:val="47DE7EE8"/>
    <w:rsid w:val="47DF88D5"/>
    <w:rsid w:val="47E30789"/>
    <w:rsid w:val="47ED2D5B"/>
    <w:rsid w:val="47F72214"/>
    <w:rsid w:val="47FFB856"/>
    <w:rsid w:val="4803505C"/>
    <w:rsid w:val="480706A9"/>
    <w:rsid w:val="480865AC"/>
    <w:rsid w:val="481A184C"/>
    <w:rsid w:val="481B05F8"/>
    <w:rsid w:val="481D7ECC"/>
    <w:rsid w:val="48217291"/>
    <w:rsid w:val="48270D4B"/>
    <w:rsid w:val="482E3254"/>
    <w:rsid w:val="483515BE"/>
    <w:rsid w:val="48376AB4"/>
    <w:rsid w:val="48564021"/>
    <w:rsid w:val="485853A8"/>
    <w:rsid w:val="486F4A8D"/>
    <w:rsid w:val="486FB1D0"/>
    <w:rsid w:val="487F78EF"/>
    <w:rsid w:val="48895562"/>
    <w:rsid w:val="488E2B78"/>
    <w:rsid w:val="48900864"/>
    <w:rsid w:val="489A776F"/>
    <w:rsid w:val="489D74E4"/>
    <w:rsid w:val="48A51C70"/>
    <w:rsid w:val="48B545A9"/>
    <w:rsid w:val="48BD345D"/>
    <w:rsid w:val="48C26CC5"/>
    <w:rsid w:val="48CF7385"/>
    <w:rsid w:val="48D013E2"/>
    <w:rsid w:val="48D16F09"/>
    <w:rsid w:val="48D2515B"/>
    <w:rsid w:val="48D367DD"/>
    <w:rsid w:val="48DF9B51"/>
    <w:rsid w:val="48E24C72"/>
    <w:rsid w:val="48E72288"/>
    <w:rsid w:val="48EE3617"/>
    <w:rsid w:val="48FA020D"/>
    <w:rsid w:val="48FF54C6"/>
    <w:rsid w:val="49137521"/>
    <w:rsid w:val="4916491B"/>
    <w:rsid w:val="491C794F"/>
    <w:rsid w:val="491D0E0D"/>
    <w:rsid w:val="492359B6"/>
    <w:rsid w:val="49247038"/>
    <w:rsid w:val="49396F88"/>
    <w:rsid w:val="493C4382"/>
    <w:rsid w:val="493D634C"/>
    <w:rsid w:val="493F3E72"/>
    <w:rsid w:val="49402A04"/>
    <w:rsid w:val="49535B70"/>
    <w:rsid w:val="496078E9"/>
    <w:rsid w:val="49675177"/>
    <w:rsid w:val="49747FC0"/>
    <w:rsid w:val="497A528F"/>
    <w:rsid w:val="498D2E30"/>
    <w:rsid w:val="49975BCE"/>
    <w:rsid w:val="499A16F3"/>
    <w:rsid w:val="499E503D"/>
    <w:rsid w:val="49A14B2D"/>
    <w:rsid w:val="49B22896"/>
    <w:rsid w:val="49B74350"/>
    <w:rsid w:val="49D93CFA"/>
    <w:rsid w:val="49D95ED1"/>
    <w:rsid w:val="49DC5B65"/>
    <w:rsid w:val="49EA64D4"/>
    <w:rsid w:val="49F17862"/>
    <w:rsid w:val="49F36F4F"/>
    <w:rsid w:val="49F71731"/>
    <w:rsid w:val="4A082D0D"/>
    <w:rsid w:val="4A0C0D60"/>
    <w:rsid w:val="4A1277D9"/>
    <w:rsid w:val="4A137725"/>
    <w:rsid w:val="4A192915"/>
    <w:rsid w:val="4A2117CA"/>
    <w:rsid w:val="4A2319E6"/>
    <w:rsid w:val="4A253F1B"/>
    <w:rsid w:val="4A273284"/>
    <w:rsid w:val="4A2D3872"/>
    <w:rsid w:val="4A343701"/>
    <w:rsid w:val="4A3B288C"/>
    <w:rsid w:val="4A463ED2"/>
    <w:rsid w:val="4A5C6177"/>
    <w:rsid w:val="4A6A13C3"/>
    <w:rsid w:val="4A6C513B"/>
    <w:rsid w:val="4A742241"/>
    <w:rsid w:val="4A752C5B"/>
    <w:rsid w:val="4A7933B4"/>
    <w:rsid w:val="4A8561FD"/>
    <w:rsid w:val="4A98521F"/>
    <w:rsid w:val="4A9E2E1A"/>
    <w:rsid w:val="4AA20B5D"/>
    <w:rsid w:val="4AA76173"/>
    <w:rsid w:val="4AAC19DB"/>
    <w:rsid w:val="4AB02606"/>
    <w:rsid w:val="4AB5384C"/>
    <w:rsid w:val="4AB70571"/>
    <w:rsid w:val="4ADF3CAD"/>
    <w:rsid w:val="4AE21DF9"/>
    <w:rsid w:val="4AE50A49"/>
    <w:rsid w:val="4AE7656F"/>
    <w:rsid w:val="4AE802F1"/>
    <w:rsid w:val="4AF62C56"/>
    <w:rsid w:val="4AFD2237"/>
    <w:rsid w:val="4B082FDE"/>
    <w:rsid w:val="4B3043BA"/>
    <w:rsid w:val="4B335C59"/>
    <w:rsid w:val="4B3774F7"/>
    <w:rsid w:val="4B3C2D5F"/>
    <w:rsid w:val="4B44381C"/>
    <w:rsid w:val="4B4D6D1A"/>
    <w:rsid w:val="4B524331"/>
    <w:rsid w:val="4B5A1437"/>
    <w:rsid w:val="4B663938"/>
    <w:rsid w:val="4B8464B4"/>
    <w:rsid w:val="4B8D612B"/>
    <w:rsid w:val="4B8D7117"/>
    <w:rsid w:val="4B8F7333"/>
    <w:rsid w:val="4B9A1834"/>
    <w:rsid w:val="4BB85BF2"/>
    <w:rsid w:val="4BCF3BD3"/>
    <w:rsid w:val="4BD27220"/>
    <w:rsid w:val="4BD7D080"/>
    <w:rsid w:val="4BDC009E"/>
    <w:rsid w:val="4BDC3BFA"/>
    <w:rsid w:val="4BDE49F2"/>
    <w:rsid w:val="4BE43C24"/>
    <w:rsid w:val="4BE635E4"/>
    <w:rsid w:val="4BF70A34"/>
    <w:rsid w:val="4BF74ED8"/>
    <w:rsid w:val="4BFBF060"/>
    <w:rsid w:val="4BFECABF"/>
    <w:rsid w:val="4BFFF18B"/>
    <w:rsid w:val="4C013661"/>
    <w:rsid w:val="4C261064"/>
    <w:rsid w:val="4C327580"/>
    <w:rsid w:val="4C37699C"/>
    <w:rsid w:val="4C3B3017"/>
    <w:rsid w:val="4C3E2FE0"/>
    <w:rsid w:val="4C431939"/>
    <w:rsid w:val="4C4579F1"/>
    <w:rsid w:val="4C5916EF"/>
    <w:rsid w:val="4C5D11DF"/>
    <w:rsid w:val="4C6523CA"/>
    <w:rsid w:val="4C6835B8"/>
    <w:rsid w:val="4C714C8A"/>
    <w:rsid w:val="4C721842"/>
    <w:rsid w:val="4C724422"/>
    <w:rsid w:val="4C7B1665"/>
    <w:rsid w:val="4C7C718B"/>
    <w:rsid w:val="4CA95B79"/>
    <w:rsid w:val="4CB42DC9"/>
    <w:rsid w:val="4CC0176E"/>
    <w:rsid w:val="4CC90D88"/>
    <w:rsid w:val="4CCF19B1"/>
    <w:rsid w:val="4CF338F1"/>
    <w:rsid w:val="4CFB27A6"/>
    <w:rsid w:val="4D054A99"/>
    <w:rsid w:val="4D0E1E95"/>
    <w:rsid w:val="4D106251"/>
    <w:rsid w:val="4D135D42"/>
    <w:rsid w:val="4D27359B"/>
    <w:rsid w:val="4D2F4299"/>
    <w:rsid w:val="4D355CB8"/>
    <w:rsid w:val="4D445EFB"/>
    <w:rsid w:val="4D4B1038"/>
    <w:rsid w:val="4D4E1E90"/>
    <w:rsid w:val="4D5819A6"/>
    <w:rsid w:val="4D693BB4"/>
    <w:rsid w:val="4D6B3488"/>
    <w:rsid w:val="4D7020FE"/>
    <w:rsid w:val="4D7E0DAB"/>
    <w:rsid w:val="4D7E3785"/>
    <w:rsid w:val="4D8409ED"/>
    <w:rsid w:val="4DA92202"/>
    <w:rsid w:val="4DAE26E6"/>
    <w:rsid w:val="4DAE5A6A"/>
    <w:rsid w:val="4DB03590"/>
    <w:rsid w:val="4DBD7A5B"/>
    <w:rsid w:val="4DC64B62"/>
    <w:rsid w:val="4DD43C4A"/>
    <w:rsid w:val="4DE76116"/>
    <w:rsid w:val="4DEF230B"/>
    <w:rsid w:val="4DF53699"/>
    <w:rsid w:val="4DF72F6D"/>
    <w:rsid w:val="4DFD5221"/>
    <w:rsid w:val="4E035DB6"/>
    <w:rsid w:val="4E0A1F86"/>
    <w:rsid w:val="4E0F475B"/>
    <w:rsid w:val="4E2B0E69"/>
    <w:rsid w:val="4E320449"/>
    <w:rsid w:val="4E3715BC"/>
    <w:rsid w:val="4E3B5550"/>
    <w:rsid w:val="4E402B66"/>
    <w:rsid w:val="4E5151A3"/>
    <w:rsid w:val="4E52289A"/>
    <w:rsid w:val="4E5376DC"/>
    <w:rsid w:val="4E6F6FA8"/>
    <w:rsid w:val="4E7CBBA0"/>
    <w:rsid w:val="4E8441C7"/>
    <w:rsid w:val="4E964534"/>
    <w:rsid w:val="4E9C58C3"/>
    <w:rsid w:val="4E9D5F4E"/>
    <w:rsid w:val="4EA12ED9"/>
    <w:rsid w:val="4EA34EA3"/>
    <w:rsid w:val="4EAF6D04"/>
    <w:rsid w:val="4EB62E28"/>
    <w:rsid w:val="4EB64BD7"/>
    <w:rsid w:val="4EC46BBF"/>
    <w:rsid w:val="4EC5306C"/>
    <w:rsid w:val="4EC77901"/>
    <w:rsid w:val="4ECE0172"/>
    <w:rsid w:val="4ED212E5"/>
    <w:rsid w:val="4EEB7DA1"/>
    <w:rsid w:val="4EEF633A"/>
    <w:rsid w:val="4EEF78F4"/>
    <w:rsid w:val="4F0254F1"/>
    <w:rsid w:val="4F082F58"/>
    <w:rsid w:val="4F136E84"/>
    <w:rsid w:val="4F22226C"/>
    <w:rsid w:val="4F2A713D"/>
    <w:rsid w:val="4F2C4E99"/>
    <w:rsid w:val="4F320C85"/>
    <w:rsid w:val="4F6E725F"/>
    <w:rsid w:val="4F760C0C"/>
    <w:rsid w:val="4F905428"/>
    <w:rsid w:val="4F912F4E"/>
    <w:rsid w:val="4F974A08"/>
    <w:rsid w:val="4F9A46E8"/>
    <w:rsid w:val="4F9D31CA"/>
    <w:rsid w:val="4FA27A1E"/>
    <w:rsid w:val="4FAE1D52"/>
    <w:rsid w:val="4FBC446F"/>
    <w:rsid w:val="4FBD1F95"/>
    <w:rsid w:val="4FBF886D"/>
    <w:rsid w:val="4FCB2904"/>
    <w:rsid w:val="4FCC21D8"/>
    <w:rsid w:val="4FD80B7D"/>
    <w:rsid w:val="4FDBE75C"/>
    <w:rsid w:val="4FDC066D"/>
    <w:rsid w:val="4FF21AA7"/>
    <w:rsid w:val="4FF27E90"/>
    <w:rsid w:val="4FF72B12"/>
    <w:rsid w:val="4FFBB516"/>
    <w:rsid w:val="4FFF25AD"/>
    <w:rsid w:val="4FFF27A4"/>
    <w:rsid w:val="4FFFF8EC"/>
    <w:rsid w:val="5003209D"/>
    <w:rsid w:val="5006393C"/>
    <w:rsid w:val="501F0559"/>
    <w:rsid w:val="502618E8"/>
    <w:rsid w:val="502C78BD"/>
    <w:rsid w:val="503B1837"/>
    <w:rsid w:val="50403624"/>
    <w:rsid w:val="504C1372"/>
    <w:rsid w:val="50544AFE"/>
    <w:rsid w:val="505E5A20"/>
    <w:rsid w:val="50812FC2"/>
    <w:rsid w:val="508B5BEF"/>
    <w:rsid w:val="509C604E"/>
    <w:rsid w:val="50A078EC"/>
    <w:rsid w:val="50A66D16"/>
    <w:rsid w:val="50D9042C"/>
    <w:rsid w:val="50DB26D2"/>
    <w:rsid w:val="50DF429E"/>
    <w:rsid w:val="50EE4E08"/>
    <w:rsid w:val="50FE2865"/>
    <w:rsid w:val="51121E6C"/>
    <w:rsid w:val="512F0C70"/>
    <w:rsid w:val="5139389D"/>
    <w:rsid w:val="514D5652"/>
    <w:rsid w:val="5150785C"/>
    <w:rsid w:val="51510BE7"/>
    <w:rsid w:val="515A41E2"/>
    <w:rsid w:val="5160707C"/>
    <w:rsid w:val="516721B8"/>
    <w:rsid w:val="51692B2E"/>
    <w:rsid w:val="517B5C63"/>
    <w:rsid w:val="517F39A6"/>
    <w:rsid w:val="51914954"/>
    <w:rsid w:val="51960CEF"/>
    <w:rsid w:val="519F5DF6"/>
    <w:rsid w:val="51A72EFC"/>
    <w:rsid w:val="51AD665B"/>
    <w:rsid w:val="51C4760A"/>
    <w:rsid w:val="51CF7F2C"/>
    <w:rsid w:val="51DE0059"/>
    <w:rsid w:val="51F2795F"/>
    <w:rsid w:val="51F31C9E"/>
    <w:rsid w:val="51F37EF0"/>
    <w:rsid w:val="51FA6C65"/>
    <w:rsid w:val="51FD48CA"/>
    <w:rsid w:val="520B3C6B"/>
    <w:rsid w:val="52110A39"/>
    <w:rsid w:val="521A1920"/>
    <w:rsid w:val="521D4F6D"/>
    <w:rsid w:val="52397095"/>
    <w:rsid w:val="52492E45"/>
    <w:rsid w:val="524D7600"/>
    <w:rsid w:val="5253273C"/>
    <w:rsid w:val="5257222D"/>
    <w:rsid w:val="52595FA5"/>
    <w:rsid w:val="525D691E"/>
    <w:rsid w:val="526130AB"/>
    <w:rsid w:val="52662470"/>
    <w:rsid w:val="526737EA"/>
    <w:rsid w:val="52756B57"/>
    <w:rsid w:val="527A1A88"/>
    <w:rsid w:val="528D5C4E"/>
    <w:rsid w:val="528F7C18"/>
    <w:rsid w:val="52926C9E"/>
    <w:rsid w:val="52A31916"/>
    <w:rsid w:val="52AA6800"/>
    <w:rsid w:val="52AB07CA"/>
    <w:rsid w:val="52CA0C50"/>
    <w:rsid w:val="52CD24EF"/>
    <w:rsid w:val="52D03D8D"/>
    <w:rsid w:val="52E07BC5"/>
    <w:rsid w:val="52E635B0"/>
    <w:rsid w:val="52E962D5"/>
    <w:rsid w:val="52F65EE9"/>
    <w:rsid w:val="52F82D3C"/>
    <w:rsid w:val="53004672"/>
    <w:rsid w:val="5311687F"/>
    <w:rsid w:val="53134EDD"/>
    <w:rsid w:val="531E7B67"/>
    <w:rsid w:val="53215D20"/>
    <w:rsid w:val="532306A7"/>
    <w:rsid w:val="5325368A"/>
    <w:rsid w:val="53275E79"/>
    <w:rsid w:val="533423A7"/>
    <w:rsid w:val="53394028"/>
    <w:rsid w:val="533B0363"/>
    <w:rsid w:val="533F1412"/>
    <w:rsid w:val="534349C0"/>
    <w:rsid w:val="534642A6"/>
    <w:rsid w:val="534A1D91"/>
    <w:rsid w:val="534A7FE3"/>
    <w:rsid w:val="534B71BB"/>
    <w:rsid w:val="534C2DE1"/>
    <w:rsid w:val="535449BE"/>
    <w:rsid w:val="5358625C"/>
    <w:rsid w:val="535D3873"/>
    <w:rsid w:val="53626B0C"/>
    <w:rsid w:val="536A5F90"/>
    <w:rsid w:val="5371731E"/>
    <w:rsid w:val="53764934"/>
    <w:rsid w:val="537B12B5"/>
    <w:rsid w:val="53807561"/>
    <w:rsid w:val="53856A26"/>
    <w:rsid w:val="53A45945"/>
    <w:rsid w:val="53A741DD"/>
    <w:rsid w:val="53AA2830"/>
    <w:rsid w:val="53ABD743"/>
    <w:rsid w:val="53BA6F17"/>
    <w:rsid w:val="53BC2B2A"/>
    <w:rsid w:val="53BD558C"/>
    <w:rsid w:val="53BF62DB"/>
    <w:rsid w:val="53C36A62"/>
    <w:rsid w:val="53C75B65"/>
    <w:rsid w:val="53CE4770"/>
    <w:rsid w:val="53D37FD9"/>
    <w:rsid w:val="53D6C66D"/>
    <w:rsid w:val="53E2021C"/>
    <w:rsid w:val="53E75832"/>
    <w:rsid w:val="53E94A32"/>
    <w:rsid w:val="53EE619C"/>
    <w:rsid w:val="53F049E9"/>
    <w:rsid w:val="53F20956"/>
    <w:rsid w:val="53FA5565"/>
    <w:rsid w:val="540208BE"/>
    <w:rsid w:val="541D3A51"/>
    <w:rsid w:val="542919A7"/>
    <w:rsid w:val="543640C4"/>
    <w:rsid w:val="547370C6"/>
    <w:rsid w:val="547F3CBD"/>
    <w:rsid w:val="5483555B"/>
    <w:rsid w:val="54880DC3"/>
    <w:rsid w:val="548A1708"/>
    <w:rsid w:val="54A454D1"/>
    <w:rsid w:val="54AC2F51"/>
    <w:rsid w:val="54AD4386"/>
    <w:rsid w:val="54B24092"/>
    <w:rsid w:val="54BE1A66"/>
    <w:rsid w:val="54BF230B"/>
    <w:rsid w:val="54C60002"/>
    <w:rsid w:val="54C618EB"/>
    <w:rsid w:val="54CF69F2"/>
    <w:rsid w:val="54D04518"/>
    <w:rsid w:val="54D062C6"/>
    <w:rsid w:val="54DE09E3"/>
    <w:rsid w:val="54E32728"/>
    <w:rsid w:val="54E66A4D"/>
    <w:rsid w:val="54F02663"/>
    <w:rsid w:val="54FE2E33"/>
    <w:rsid w:val="551D59AF"/>
    <w:rsid w:val="55200FFC"/>
    <w:rsid w:val="552705DC"/>
    <w:rsid w:val="55287EB0"/>
    <w:rsid w:val="553E73B3"/>
    <w:rsid w:val="55434CEA"/>
    <w:rsid w:val="55624EC3"/>
    <w:rsid w:val="556C5FEF"/>
    <w:rsid w:val="55787691"/>
    <w:rsid w:val="557B26D6"/>
    <w:rsid w:val="558275C0"/>
    <w:rsid w:val="55881E63"/>
    <w:rsid w:val="559A7000"/>
    <w:rsid w:val="559E0B25"/>
    <w:rsid w:val="55AF7BDE"/>
    <w:rsid w:val="55B044A8"/>
    <w:rsid w:val="55B7165E"/>
    <w:rsid w:val="55CD75A6"/>
    <w:rsid w:val="55F05BDE"/>
    <w:rsid w:val="55F935FB"/>
    <w:rsid w:val="5601759D"/>
    <w:rsid w:val="5613290E"/>
    <w:rsid w:val="56187F25"/>
    <w:rsid w:val="5621585F"/>
    <w:rsid w:val="562E599A"/>
    <w:rsid w:val="56301712"/>
    <w:rsid w:val="56384C51"/>
    <w:rsid w:val="563C024F"/>
    <w:rsid w:val="56440D1A"/>
    <w:rsid w:val="565328D9"/>
    <w:rsid w:val="565F7902"/>
    <w:rsid w:val="567A473C"/>
    <w:rsid w:val="569278FF"/>
    <w:rsid w:val="56B57E6A"/>
    <w:rsid w:val="56CC7222"/>
    <w:rsid w:val="56D025AE"/>
    <w:rsid w:val="56E04EE6"/>
    <w:rsid w:val="56F664B8"/>
    <w:rsid w:val="56F73FDE"/>
    <w:rsid w:val="56FB2517"/>
    <w:rsid w:val="57064221"/>
    <w:rsid w:val="57195870"/>
    <w:rsid w:val="572C7C98"/>
    <w:rsid w:val="5737262D"/>
    <w:rsid w:val="57392849"/>
    <w:rsid w:val="57413A35"/>
    <w:rsid w:val="574216FD"/>
    <w:rsid w:val="57770C7B"/>
    <w:rsid w:val="57776E1C"/>
    <w:rsid w:val="57794569"/>
    <w:rsid w:val="577DCD24"/>
    <w:rsid w:val="577F6616"/>
    <w:rsid w:val="578810DA"/>
    <w:rsid w:val="57925AB5"/>
    <w:rsid w:val="57A33EBB"/>
    <w:rsid w:val="57BE0CA6"/>
    <w:rsid w:val="57CD4D3F"/>
    <w:rsid w:val="57CE11E3"/>
    <w:rsid w:val="57CF603D"/>
    <w:rsid w:val="57D71812"/>
    <w:rsid w:val="57D9BFF8"/>
    <w:rsid w:val="57E739D3"/>
    <w:rsid w:val="57E74053"/>
    <w:rsid w:val="57EBC47B"/>
    <w:rsid w:val="57F74BE3"/>
    <w:rsid w:val="57F95B34"/>
    <w:rsid w:val="57FB0E67"/>
    <w:rsid w:val="57FC185D"/>
    <w:rsid w:val="57FE551C"/>
    <w:rsid w:val="57FF5DE3"/>
    <w:rsid w:val="580F4142"/>
    <w:rsid w:val="581110D0"/>
    <w:rsid w:val="581A7F84"/>
    <w:rsid w:val="582238BC"/>
    <w:rsid w:val="582708F3"/>
    <w:rsid w:val="582C5F09"/>
    <w:rsid w:val="583A6878"/>
    <w:rsid w:val="58403763"/>
    <w:rsid w:val="58405511"/>
    <w:rsid w:val="584F05EC"/>
    <w:rsid w:val="584F5203"/>
    <w:rsid w:val="58501BF8"/>
    <w:rsid w:val="58515970"/>
    <w:rsid w:val="5870318E"/>
    <w:rsid w:val="58733166"/>
    <w:rsid w:val="58734F65"/>
    <w:rsid w:val="587F8A93"/>
    <w:rsid w:val="58863015"/>
    <w:rsid w:val="589046EA"/>
    <w:rsid w:val="58937D37"/>
    <w:rsid w:val="58A86818"/>
    <w:rsid w:val="58AB32D2"/>
    <w:rsid w:val="58AD4249"/>
    <w:rsid w:val="58B06B3A"/>
    <w:rsid w:val="58B959EF"/>
    <w:rsid w:val="58D1441F"/>
    <w:rsid w:val="58D2085F"/>
    <w:rsid w:val="58D36385"/>
    <w:rsid w:val="58DA5965"/>
    <w:rsid w:val="58DC348C"/>
    <w:rsid w:val="58E442E2"/>
    <w:rsid w:val="58EB1921"/>
    <w:rsid w:val="58F20F01"/>
    <w:rsid w:val="59062983"/>
    <w:rsid w:val="59096FBD"/>
    <w:rsid w:val="590D5D3B"/>
    <w:rsid w:val="591770DF"/>
    <w:rsid w:val="591F6D94"/>
    <w:rsid w:val="5928106C"/>
    <w:rsid w:val="594352B9"/>
    <w:rsid w:val="5947124D"/>
    <w:rsid w:val="59576FB6"/>
    <w:rsid w:val="59590F80"/>
    <w:rsid w:val="59611BE3"/>
    <w:rsid w:val="59710078"/>
    <w:rsid w:val="597A3BB3"/>
    <w:rsid w:val="597DFBC3"/>
    <w:rsid w:val="597EB301"/>
    <w:rsid w:val="59914276"/>
    <w:rsid w:val="59927FEE"/>
    <w:rsid w:val="599B4757"/>
    <w:rsid w:val="599C0E6D"/>
    <w:rsid w:val="59A71CEC"/>
    <w:rsid w:val="59A860E0"/>
    <w:rsid w:val="59AD307A"/>
    <w:rsid w:val="59B56DA9"/>
    <w:rsid w:val="59B91A1F"/>
    <w:rsid w:val="59C77C98"/>
    <w:rsid w:val="59D2668C"/>
    <w:rsid w:val="59D522F0"/>
    <w:rsid w:val="59D5566C"/>
    <w:rsid w:val="59DD74BB"/>
    <w:rsid w:val="59DF315D"/>
    <w:rsid w:val="59F111B9"/>
    <w:rsid w:val="59F1740B"/>
    <w:rsid w:val="59F20A8D"/>
    <w:rsid w:val="59F32CC1"/>
    <w:rsid w:val="59FB3DE5"/>
    <w:rsid w:val="59FD7B5D"/>
    <w:rsid w:val="5A0802B0"/>
    <w:rsid w:val="5A0E58C7"/>
    <w:rsid w:val="5A144EA7"/>
    <w:rsid w:val="5A2570B4"/>
    <w:rsid w:val="5A272E2C"/>
    <w:rsid w:val="5A3A2B60"/>
    <w:rsid w:val="5A511C57"/>
    <w:rsid w:val="5A5B4B78"/>
    <w:rsid w:val="5A64198B"/>
    <w:rsid w:val="5A6454BF"/>
    <w:rsid w:val="5A6D9B03"/>
    <w:rsid w:val="5A7F4DC6"/>
    <w:rsid w:val="5A8913F1"/>
    <w:rsid w:val="5AA94C5A"/>
    <w:rsid w:val="5AAA9A9B"/>
    <w:rsid w:val="5AB67D0C"/>
    <w:rsid w:val="5AC642F3"/>
    <w:rsid w:val="5AC97A40"/>
    <w:rsid w:val="5AE12FDB"/>
    <w:rsid w:val="5AE32609"/>
    <w:rsid w:val="5AE65F83"/>
    <w:rsid w:val="5AE8436A"/>
    <w:rsid w:val="5AED71E7"/>
    <w:rsid w:val="5AF50835"/>
    <w:rsid w:val="5AF7DC83"/>
    <w:rsid w:val="5AFB3C0F"/>
    <w:rsid w:val="5AFD676A"/>
    <w:rsid w:val="5B2B4256"/>
    <w:rsid w:val="5B370E4D"/>
    <w:rsid w:val="5B3B6835"/>
    <w:rsid w:val="5B465534"/>
    <w:rsid w:val="5B4B45B5"/>
    <w:rsid w:val="5B5419FF"/>
    <w:rsid w:val="5B57329D"/>
    <w:rsid w:val="5B6360E6"/>
    <w:rsid w:val="5B637E94"/>
    <w:rsid w:val="5B7025B1"/>
    <w:rsid w:val="5B77749C"/>
    <w:rsid w:val="5B791466"/>
    <w:rsid w:val="5B7B51DE"/>
    <w:rsid w:val="5B7F01A8"/>
    <w:rsid w:val="5B8A3673"/>
    <w:rsid w:val="5B8F0C89"/>
    <w:rsid w:val="5B8F9460"/>
    <w:rsid w:val="5B9B762E"/>
    <w:rsid w:val="5BAD110F"/>
    <w:rsid w:val="5BB26D21"/>
    <w:rsid w:val="5BB57FC4"/>
    <w:rsid w:val="5BBD57F6"/>
    <w:rsid w:val="5BC56459"/>
    <w:rsid w:val="5BC788F6"/>
    <w:rsid w:val="5BD60666"/>
    <w:rsid w:val="5BD946E4"/>
    <w:rsid w:val="5BDC87FF"/>
    <w:rsid w:val="5BDFEF67"/>
    <w:rsid w:val="5BE34B31"/>
    <w:rsid w:val="5BE508A9"/>
    <w:rsid w:val="5BE54D4D"/>
    <w:rsid w:val="5BE79CB2"/>
    <w:rsid w:val="5BE7F760"/>
    <w:rsid w:val="5BEDA6DE"/>
    <w:rsid w:val="5BF67BFC"/>
    <w:rsid w:val="5BFFCE8C"/>
    <w:rsid w:val="5C160025"/>
    <w:rsid w:val="5C164F06"/>
    <w:rsid w:val="5C166CB5"/>
    <w:rsid w:val="5C1D44E7"/>
    <w:rsid w:val="5C1E08A9"/>
    <w:rsid w:val="5C2313D1"/>
    <w:rsid w:val="5C361105"/>
    <w:rsid w:val="5C3F445D"/>
    <w:rsid w:val="5C430E1A"/>
    <w:rsid w:val="5C4550CB"/>
    <w:rsid w:val="5C4A4997"/>
    <w:rsid w:val="5C4A6731"/>
    <w:rsid w:val="5C4E644E"/>
    <w:rsid w:val="5C5477DD"/>
    <w:rsid w:val="5C57753C"/>
    <w:rsid w:val="5C5B500F"/>
    <w:rsid w:val="5C5F68AD"/>
    <w:rsid w:val="5C7F0CFE"/>
    <w:rsid w:val="5C8D7BF5"/>
    <w:rsid w:val="5C9116E3"/>
    <w:rsid w:val="5C955DF5"/>
    <w:rsid w:val="5C9F6CAA"/>
    <w:rsid w:val="5CB63FF4"/>
    <w:rsid w:val="5CC11316"/>
    <w:rsid w:val="5CC91F79"/>
    <w:rsid w:val="5CD03307"/>
    <w:rsid w:val="5CDA23D8"/>
    <w:rsid w:val="5CDD5A24"/>
    <w:rsid w:val="5CE02B67"/>
    <w:rsid w:val="5CE328FF"/>
    <w:rsid w:val="5CED3EB9"/>
    <w:rsid w:val="5CEF74DD"/>
    <w:rsid w:val="5D072AA1"/>
    <w:rsid w:val="5D196598"/>
    <w:rsid w:val="5D215911"/>
    <w:rsid w:val="5D2732DD"/>
    <w:rsid w:val="5D487342"/>
    <w:rsid w:val="5D55B19E"/>
    <w:rsid w:val="5D5E4DB7"/>
    <w:rsid w:val="5D60062B"/>
    <w:rsid w:val="5D72616D"/>
    <w:rsid w:val="5D752101"/>
    <w:rsid w:val="5D7C348F"/>
    <w:rsid w:val="5D8827E5"/>
    <w:rsid w:val="5D883BE2"/>
    <w:rsid w:val="5D916F3A"/>
    <w:rsid w:val="5DA54794"/>
    <w:rsid w:val="5DA606AA"/>
    <w:rsid w:val="5DAE40EE"/>
    <w:rsid w:val="5DB03139"/>
    <w:rsid w:val="5DB06C95"/>
    <w:rsid w:val="5DB287E7"/>
    <w:rsid w:val="5DB54BAE"/>
    <w:rsid w:val="5DB72F61"/>
    <w:rsid w:val="5DBB178B"/>
    <w:rsid w:val="5DC7295C"/>
    <w:rsid w:val="5DC7C830"/>
    <w:rsid w:val="5DCC7F73"/>
    <w:rsid w:val="5DCF5080"/>
    <w:rsid w:val="5DD05BF9"/>
    <w:rsid w:val="5DE63AAD"/>
    <w:rsid w:val="5DED09C6"/>
    <w:rsid w:val="5DED7EE9"/>
    <w:rsid w:val="5DEF9A2A"/>
    <w:rsid w:val="5DF22D33"/>
    <w:rsid w:val="5DF64FF0"/>
    <w:rsid w:val="5DFB0654"/>
    <w:rsid w:val="5DFFD22B"/>
    <w:rsid w:val="5E0771FD"/>
    <w:rsid w:val="5E1358D5"/>
    <w:rsid w:val="5E1755D6"/>
    <w:rsid w:val="5E2002BE"/>
    <w:rsid w:val="5E20206C"/>
    <w:rsid w:val="5E241C39"/>
    <w:rsid w:val="5E2A4C99"/>
    <w:rsid w:val="5E2E29DB"/>
    <w:rsid w:val="5E3311D0"/>
    <w:rsid w:val="5E3B2A02"/>
    <w:rsid w:val="5E3FEC27"/>
    <w:rsid w:val="5E420235"/>
    <w:rsid w:val="5E5CE77E"/>
    <w:rsid w:val="5E6F08FE"/>
    <w:rsid w:val="5E734F09"/>
    <w:rsid w:val="5E8425FB"/>
    <w:rsid w:val="5E87CAFE"/>
    <w:rsid w:val="5E8A5738"/>
    <w:rsid w:val="5E8C6B7C"/>
    <w:rsid w:val="5E930A90"/>
    <w:rsid w:val="5E980234"/>
    <w:rsid w:val="5E987E55"/>
    <w:rsid w:val="5EAE5E8D"/>
    <w:rsid w:val="5EBA601D"/>
    <w:rsid w:val="5EBB25D9"/>
    <w:rsid w:val="5EC2182D"/>
    <w:rsid w:val="5EC92704"/>
    <w:rsid w:val="5ED167B4"/>
    <w:rsid w:val="5ED879CC"/>
    <w:rsid w:val="5EDC26B7"/>
    <w:rsid w:val="5EDC7A3D"/>
    <w:rsid w:val="5EDD9B78"/>
    <w:rsid w:val="5EE74938"/>
    <w:rsid w:val="5EEB267A"/>
    <w:rsid w:val="5EFA0B0F"/>
    <w:rsid w:val="5EFD85ED"/>
    <w:rsid w:val="5EFF2422"/>
    <w:rsid w:val="5EFF76E1"/>
    <w:rsid w:val="5F024BF3"/>
    <w:rsid w:val="5F08322C"/>
    <w:rsid w:val="5F0D7D2F"/>
    <w:rsid w:val="5F1119B5"/>
    <w:rsid w:val="5F1F018B"/>
    <w:rsid w:val="5F217E4A"/>
    <w:rsid w:val="5F21B230"/>
    <w:rsid w:val="5F2416E8"/>
    <w:rsid w:val="5F2747D5"/>
    <w:rsid w:val="5F4B3479"/>
    <w:rsid w:val="5F5314D3"/>
    <w:rsid w:val="5F5F0972"/>
    <w:rsid w:val="5F671FB6"/>
    <w:rsid w:val="5F6B3DD1"/>
    <w:rsid w:val="5F724B4A"/>
    <w:rsid w:val="5F7351A8"/>
    <w:rsid w:val="5F7F74E6"/>
    <w:rsid w:val="5F7F8424"/>
    <w:rsid w:val="5F857B8E"/>
    <w:rsid w:val="5F944AC0"/>
    <w:rsid w:val="5F9A6A4F"/>
    <w:rsid w:val="5F9D6D44"/>
    <w:rsid w:val="5F9E593F"/>
    <w:rsid w:val="5FA16CFD"/>
    <w:rsid w:val="5FA40A7B"/>
    <w:rsid w:val="5FA665A1"/>
    <w:rsid w:val="5FAE5456"/>
    <w:rsid w:val="5FAF18FA"/>
    <w:rsid w:val="5FBA204D"/>
    <w:rsid w:val="5FBB7063"/>
    <w:rsid w:val="5FBE5F8C"/>
    <w:rsid w:val="5FC3E0C2"/>
    <w:rsid w:val="5FCB425A"/>
    <w:rsid w:val="5FCD1D80"/>
    <w:rsid w:val="5FCF3D4A"/>
    <w:rsid w:val="5FD27396"/>
    <w:rsid w:val="5FDC1FC3"/>
    <w:rsid w:val="5FE70EFC"/>
    <w:rsid w:val="5FEF5AE3"/>
    <w:rsid w:val="5FEF9CDF"/>
    <w:rsid w:val="5FF98158"/>
    <w:rsid w:val="5FFE92A3"/>
    <w:rsid w:val="5FFF095F"/>
    <w:rsid w:val="5FFF8B6C"/>
    <w:rsid w:val="5FFF9503"/>
    <w:rsid w:val="5FFFB3F9"/>
    <w:rsid w:val="60010C0C"/>
    <w:rsid w:val="600449FA"/>
    <w:rsid w:val="60065292"/>
    <w:rsid w:val="600B4656"/>
    <w:rsid w:val="60206354"/>
    <w:rsid w:val="60261202"/>
    <w:rsid w:val="602A71D2"/>
    <w:rsid w:val="602C6438"/>
    <w:rsid w:val="605136F1"/>
    <w:rsid w:val="60641CD3"/>
    <w:rsid w:val="60664487"/>
    <w:rsid w:val="60695F4D"/>
    <w:rsid w:val="60697CFF"/>
    <w:rsid w:val="606A3A73"/>
    <w:rsid w:val="607641C6"/>
    <w:rsid w:val="6081108F"/>
    <w:rsid w:val="608D6D84"/>
    <w:rsid w:val="60911000"/>
    <w:rsid w:val="6098413C"/>
    <w:rsid w:val="60997EB4"/>
    <w:rsid w:val="609A4358"/>
    <w:rsid w:val="60A17884"/>
    <w:rsid w:val="60A800F7"/>
    <w:rsid w:val="60AA0313"/>
    <w:rsid w:val="60AC7BE7"/>
    <w:rsid w:val="60BA0556"/>
    <w:rsid w:val="60D66C58"/>
    <w:rsid w:val="60DA29A7"/>
    <w:rsid w:val="60E47381"/>
    <w:rsid w:val="60EC4488"/>
    <w:rsid w:val="60EF5D26"/>
    <w:rsid w:val="60F656FF"/>
    <w:rsid w:val="61053D09"/>
    <w:rsid w:val="61120392"/>
    <w:rsid w:val="61175E6E"/>
    <w:rsid w:val="612C0D28"/>
    <w:rsid w:val="613227E3"/>
    <w:rsid w:val="6142679E"/>
    <w:rsid w:val="61482866"/>
    <w:rsid w:val="61497B2C"/>
    <w:rsid w:val="61597B2B"/>
    <w:rsid w:val="615A1BEB"/>
    <w:rsid w:val="615C785F"/>
    <w:rsid w:val="61614E76"/>
    <w:rsid w:val="61642270"/>
    <w:rsid w:val="61643174"/>
    <w:rsid w:val="61783F6D"/>
    <w:rsid w:val="617F70AA"/>
    <w:rsid w:val="618172C6"/>
    <w:rsid w:val="618E3791"/>
    <w:rsid w:val="618F19E3"/>
    <w:rsid w:val="619146C6"/>
    <w:rsid w:val="619863BE"/>
    <w:rsid w:val="61A43424"/>
    <w:rsid w:val="61AE5BE1"/>
    <w:rsid w:val="61AF3E33"/>
    <w:rsid w:val="61B131F7"/>
    <w:rsid w:val="61B551C2"/>
    <w:rsid w:val="61B56055"/>
    <w:rsid w:val="61C40F61"/>
    <w:rsid w:val="61D05B58"/>
    <w:rsid w:val="61EB2991"/>
    <w:rsid w:val="61EB473F"/>
    <w:rsid w:val="61EF51BF"/>
    <w:rsid w:val="61F44573"/>
    <w:rsid w:val="61F45CEA"/>
    <w:rsid w:val="61FF7A18"/>
    <w:rsid w:val="620D46B6"/>
    <w:rsid w:val="620F54F9"/>
    <w:rsid w:val="621E68C3"/>
    <w:rsid w:val="62261C1B"/>
    <w:rsid w:val="62285994"/>
    <w:rsid w:val="622A170C"/>
    <w:rsid w:val="62311B55"/>
    <w:rsid w:val="62466788"/>
    <w:rsid w:val="62467BC8"/>
    <w:rsid w:val="62471074"/>
    <w:rsid w:val="624D3D9E"/>
    <w:rsid w:val="625BA384"/>
    <w:rsid w:val="62652744"/>
    <w:rsid w:val="62678645"/>
    <w:rsid w:val="6271733B"/>
    <w:rsid w:val="627273E6"/>
    <w:rsid w:val="62764951"/>
    <w:rsid w:val="628726BA"/>
    <w:rsid w:val="6291178B"/>
    <w:rsid w:val="62922E0D"/>
    <w:rsid w:val="62940F02"/>
    <w:rsid w:val="629833BF"/>
    <w:rsid w:val="62A25746"/>
    <w:rsid w:val="62A4530D"/>
    <w:rsid w:val="62B249B4"/>
    <w:rsid w:val="62C751AC"/>
    <w:rsid w:val="62D30729"/>
    <w:rsid w:val="62D701C0"/>
    <w:rsid w:val="62DB769D"/>
    <w:rsid w:val="62E505AE"/>
    <w:rsid w:val="62E50B4F"/>
    <w:rsid w:val="62E713AB"/>
    <w:rsid w:val="62F31F96"/>
    <w:rsid w:val="630E6937"/>
    <w:rsid w:val="63155F18"/>
    <w:rsid w:val="63161C90"/>
    <w:rsid w:val="63271E29"/>
    <w:rsid w:val="632B74E9"/>
    <w:rsid w:val="632C3261"/>
    <w:rsid w:val="633368CB"/>
    <w:rsid w:val="633D06B7"/>
    <w:rsid w:val="63413A85"/>
    <w:rsid w:val="63520F1A"/>
    <w:rsid w:val="635D78BF"/>
    <w:rsid w:val="6367429A"/>
    <w:rsid w:val="63676048"/>
    <w:rsid w:val="636B5B38"/>
    <w:rsid w:val="636F74B8"/>
    <w:rsid w:val="63716EC6"/>
    <w:rsid w:val="637D0D01"/>
    <w:rsid w:val="639130C5"/>
    <w:rsid w:val="639257BA"/>
    <w:rsid w:val="63936E3D"/>
    <w:rsid w:val="63971320"/>
    <w:rsid w:val="639808F7"/>
    <w:rsid w:val="63B03E93"/>
    <w:rsid w:val="63B7BAFE"/>
    <w:rsid w:val="63BE940E"/>
    <w:rsid w:val="63C118F1"/>
    <w:rsid w:val="63CB77EC"/>
    <w:rsid w:val="63D93361"/>
    <w:rsid w:val="63E47698"/>
    <w:rsid w:val="63F549F8"/>
    <w:rsid w:val="63F7ED2C"/>
    <w:rsid w:val="64030466"/>
    <w:rsid w:val="64141E2A"/>
    <w:rsid w:val="641B57B0"/>
    <w:rsid w:val="64206FFA"/>
    <w:rsid w:val="64267CB1"/>
    <w:rsid w:val="64274FE8"/>
    <w:rsid w:val="64281C7B"/>
    <w:rsid w:val="64326656"/>
    <w:rsid w:val="64356146"/>
    <w:rsid w:val="643862D7"/>
    <w:rsid w:val="643F437E"/>
    <w:rsid w:val="64475C36"/>
    <w:rsid w:val="645962D8"/>
    <w:rsid w:val="645E569D"/>
    <w:rsid w:val="64607054"/>
    <w:rsid w:val="647A2C46"/>
    <w:rsid w:val="647D66E8"/>
    <w:rsid w:val="647F14B7"/>
    <w:rsid w:val="64801AB7"/>
    <w:rsid w:val="64805613"/>
    <w:rsid w:val="6481656D"/>
    <w:rsid w:val="6486074F"/>
    <w:rsid w:val="648C045C"/>
    <w:rsid w:val="649015CE"/>
    <w:rsid w:val="649338E6"/>
    <w:rsid w:val="649410BE"/>
    <w:rsid w:val="64990483"/>
    <w:rsid w:val="649B0CC7"/>
    <w:rsid w:val="649C61C5"/>
    <w:rsid w:val="64A86918"/>
    <w:rsid w:val="64B85A8B"/>
    <w:rsid w:val="64BF3053"/>
    <w:rsid w:val="64C02ADC"/>
    <w:rsid w:val="64D9665F"/>
    <w:rsid w:val="64DD2A65"/>
    <w:rsid w:val="64F761F5"/>
    <w:rsid w:val="64FE7F1B"/>
    <w:rsid w:val="650A483D"/>
    <w:rsid w:val="65143FAD"/>
    <w:rsid w:val="651641C9"/>
    <w:rsid w:val="651D0A8E"/>
    <w:rsid w:val="651F4D8E"/>
    <w:rsid w:val="652E1513"/>
    <w:rsid w:val="6545060B"/>
    <w:rsid w:val="654B227B"/>
    <w:rsid w:val="65515201"/>
    <w:rsid w:val="65567E1B"/>
    <w:rsid w:val="655D3F95"/>
    <w:rsid w:val="656942F9"/>
    <w:rsid w:val="65764C68"/>
    <w:rsid w:val="657C502B"/>
    <w:rsid w:val="657FA36C"/>
    <w:rsid w:val="658F66C3"/>
    <w:rsid w:val="65907AD8"/>
    <w:rsid w:val="65A73073"/>
    <w:rsid w:val="65B337C6"/>
    <w:rsid w:val="65C23A09"/>
    <w:rsid w:val="65C34033"/>
    <w:rsid w:val="65DA51F7"/>
    <w:rsid w:val="65E07B22"/>
    <w:rsid w:val="65ED47D1"/>
    <w:rsid w:val="65F12C91"/>
    <w:rsid w:val="65FE7137"/>
    <w:rsid w:val="65FF9DC4"/>
    <w:rsid w:val="660109D5"/>
    <w:rsid w:val="66091638"/>
    <w:rsid w:val="660B1854"/>
    <w:rsid w:val="660B715E"/>
    <w:rsid w:val="66293A88"/>
    <w:rsid w:val="662F72F1"/>
    <w:rsid w:val="66344907"/>
    <w:rsid w:val="6635242D"/>
    <w:rsid w:val="66540C1F"/>
    <w:rsid w:val="6655424C"/>
    <w:rsid w:val="665B6338"/>
    <w:rsid w:val="665C5C0C"/>
    <w:rsid w:val="66680A54"/>
    <w:rsid w:val="668D2028"/>
    <w:rsid w:val="668E41E0"/>
    <w:rsid w:val="669C5E64"/>
    <w:rsid w:val="669F73A8"/>
    <w:rsid w:val="66A001EE"/>
    <w:rsid w:val="66A36A3E"/>
    <w:rsid w:val="66A63D1B"/>
    <w:rsid w:val="66AB0941"/>
    <w:rsid w:val="66B7E23A"/>
    <w:rsid w:val="66BE68C6"/>
    <w:rsid w:val="66C051B1"/>
    <w:rsid w:val="66C11F13"/>
    <w:rsid w:val="66CB4B3F"/>
    <w:rsid w:val="66D41C46"/>
    <w:rsid w:val="66EA092B"/>
    <w:rsid w:val="66EC3434"/>
    <w:rsid w:val="66F4ECCA"/>
    <w:rsid w:val="66F61BBC"/>
    <w:rsid w:val="66F94D4D"/>
    <w:rsid w:val="66FD73EF"/>
    <w:rsid w:val="670029FC"/>
    <w:rsid w:val="67217000"/>
    <w:rsid w:val="67281F92"/>
    <w:rsid w:val="672C4426"/>
    <w:rsid w:val="67362901"/>
    <w:rsid w:val="67380427"/>
    <w:rsid w:val="67386679"/>
    <w:rsid w:val="673B50C0"/>
    <w:rsid w:val="67470483"/>
    <w:rsid w:val="674F5770"/>
    <w:rsid w:val="67513297"/>
    <w:rsid w:val="67694A84"/>
    <w:rsid w:val="676A25AA"/>
    <w:rsid w:val="67A26C35"/>
    <w:rsid w:val="67C1041C"/>
    <w:rsid w:val="67E3F43C"/>
    <w:rsid w:val="67FF98FD"/>
    <w:rsid w:val="6805233D"/>
    <w:rsid w:val="68114FF5"/>
    <w:rsid w:val="68142C42"/>
    <w:rsid w:val="68144385"/>
    <w:rsid w:val="68172908"/>
    <w:rsid w:val="68213DB8"/>
    <w:rsid w:val="683E7CBF"/>
    <w:rsid w:val="68437083"/>
    <w:rsid w:val="68460921"/>
    <w:rsid w:val="684B418A"/>
    <w:rsid w:val="684D7F02"/>
    <w:rsid w:val="6855610D"/>
    <w:rsid w:val="685E210F"/>
    <w:rsid w:val="686314D3"/>
    <w:rsid w:val="6863405E"/>
    <w:rsid w:val="68727968"/>
    <w:rsid w:val="68790CF7"/>
    <w:rsid w:val="68792AA5"/>
    <w:rsid w:val="68866F70"/>
    <w:rsid w:val="688B4586"/>
    <w:rsid w:val="68906041"/>
    <w:rsid w:val="68986ABC"/>
    <w:rsid w:val="68993147"/>
    <w:rsid w:val="689B6EBF"/>
    <w:rsid w:val="68A5389A"/>
    <w:rsid w:val="68B21726"/>
    <w:rsid w:val="68BB30BE"/>
    <w:rsid w:val="68BE2BAE"/>
    <w:rsid w:val="68C56033"/>
    <w:rsid w:val="68CA77A4"/>
    <w:rsid w:val="68CD0CA0"/>
    <w:rsid w:val="68CF0917"/>
    <w:rsid w:val="68D723E3"/>
    <w:rsid w:val="68EA5954"/>
    <w:rsid w:val="68F65167"/>
    <w:rsid w:val="68FC5484"/>
    <w:rsid w:val="68FD817F"/>
    <w:rsid w:val="69004F52"/>
    <w:rsid w:val="69047BC8"/>
    <w:rsid w:val="690E58E3"/>
    <w:rsid w:val="6910780F"/>
    <w:rsid w:val="6919251C"/>
    <w:rsid w:val="691A3CCE"/>
    <w:rsid w:val="69235354"/>
    <w:rsid w:val="692A1FF1"/>
    <w:rsid w:val="693410C2"/>
    <w:rsid w:val="69470DF5"/>
    <w:rsid w:val="6958090C"/>
    <w:rsid w:val="695B21AB"/>
    <w:rsid w:val="6965626E"/>
    <w:rsid w:val="69667EC4"/>
    <w:rsid w:val="696F5C56"/>
    <w:rsid w:val="69713C44"/>
    <w:rsid w:val="697318C7"/>
    <w:rsid w:val="69777119"/>
    <w:rsid w:val="69780FAF"/>
    <w:rsid w:val="698C2294"/>
    <w:rsid w:val="698E5BE1"/>
    <w:rsid w:val="699D1C0D"/>
    <w:rsid w:val="699F653B"/>
    <w:rsid w:val="69A078C8"/>
    <w:rsid w:val="69A51678"/>
    <w:rsid w:val="69B31FE7"/>
    <w:rsid w:val="69DD222D"/>
    <w:rsid w:val="69FA563E"/>
    <w:rsid w:val="69FC6AC2"/>
    <w:rsid w:val="6A0D5B9B"/>
    <w:rsid w:val="6A152CA1"/>
    <w:rsid w:val="6A222CC8"/>
    <w:rsid w:val="6A294057"/>
    <w:rsid w:val="6A303637"/>
    <w:rsid w:val="6A5A4F50"/>
    <w:rsid w:val="6A617C95"/>
    <w:rsid w:val="6A620512"/>
    <w:rsid w:val="6A6D4E8D"/>
    <w:rsid w:val="6A75729C"/>
    <w:rsid w:val="6A7E59E9"/>
    <w:rsid w:val="6A843983"/>
    <w:rsid w:val="6A8A71EB"/>
    <w:rsid w:val="6A903C04"/>
    <w:rsid w:val="6AAF6C52"/>
    <w:rsid w:val="6ABA614D"/>
    <w:rsid w:val="6AC124E1"/>
    <w:rsid w:val="6ACB609A"/>
    <w:rsid w:val="6AE10DD5"/>
    <w:rsid w:val="6AE87ED9"/>
    <w:rsid w:val="6AFB1985"/>
    <w:rsid w:val="6AFE1AEC"/>
    <w:rsid w:val="6B016D82"/>
    <w:rsid w:val="6B076087"/>
    <w:rsid w:val="6B0845B4"/>
    <w:rsid w:val="6B0963DE"/>
    <w:rsid w:val="6B0B19AE"/>
    <w:rsid w:val="6B146AB5"/>
    <w:rsid w:val="6B23319C"/>
    <w:rsid w:val="6B292E9C"/>
    <w:rsid w:val="6B297183"/>
    <w:rsid w:val="6B2D1F37"/>
    <w:rsid w:val="6B362ECF"/>
    <w:rsid w:val="6B3709F5"/>
    <w:rsid w:val="6B5307C5"/>
    <w:rsid w:val="6B5475AB"/>
    <w:rsid w:val="6B560E7C"/>
    <w:rsid w:val="6B6537B4"/>
    <w:rsid w:val="6B6F50E4"/>
    <w:rsid w:val="6B7E88ED"/>
    <w:rsid w:val="6B880BEA"/>
    <w:rsid w:val="6B9F25B8"/>
    <w:rsid w:val="6BA0659B"/>
    <w:rsid w:val="6BA22313"/>
    <w:rsid w:val="6BA51E03"/>
    <w:rsid w:val="6BA73DCD"/>
    <w:rsid w:val="6BB7E2E0"/>
    <w:rsid w:val="6BBF1117"/>
    <w:rsid w:val="6BBF2EC5"/>
    <w:rsid w:val="6BD9470B"/>
    <w:rsid w:val="6BDC1E93"/>
    <w:rsid w:val="6BFB6C5B"/>
    <w:rsid w:val="6BFC1B57"/>
    <w:rsid w:val="6C0A6040"/>
    <w:rsid w:val="6C0D4ACE"/>
    <w:rsid w:val="6C135AD6"/>
    <w:rsid w:val="6C162BF8"/>
    <w:rsid w:val="6C2076DB"/>
    <w:rsid w:val="6C292A34"/>
    <w:rsid w:val="6C3FAB14"/>
    <w:rsid w:val="6C4360AC"/>
    <w:rsid w:val="6C4A2405"/>
    <w:rsid w:val="6C5C4BB7"/>
    <w:rsid w:val="6C621AA2"/>
    <w:rsid w:val="6C746900"/>
    <w:rsid w:val="6C8C6B1F"/>
    <w:rsid w:val="6C8E2897"/>
    <w:rsid w:val="6C9003BD"/>
    <w:rsid w:val="6C942417"/>
    <w:rsid w:val="6CAB5AAE"/>
    <w:rsid w:val="6CAE6FC4"/>
    <w:rsid w:val="6CB06CB1"/>
    <w:rsid w:val="6CB247D7"/>
    <w:rsid w:val="6CB71DEE"/>
    <w:rsid w:val="6CC62031"/>
    <w:rsid w:val="6CCD33BF"/>
    <w:rsid w:val="6CD21986"/>
    <w:rsid w:val="6CD72490"/>
    <w:rsid w:val="6CD96208"/>
    <w:rsid w:val="6CDA788A"/>
    <w:rsid w:val="6CE8644B"/>
    <w:rsid w:val="6CEB7CE9"/>
    <w:rsid w:val="6CED1CB3"/>
    <w:rsid w:val="6D013069"/>
    <w:rsid w:val="6D0A63C2"/>
    <w:rsid w:val="6D140FEE"/>
    <w:rsid w:val="6D1679A1"/>
    <w:rsid w:val="6D247BF4"/>
    <w:rsid w:val="6D286848"/>
    <w:rsid w:val="6D2A6A64"/>
    <w:rsid w:val="6D2D0302"/>
    <w:rsid w:val="6D31DCA6"/>
    <w:rsid w:val="6D321304"/>
    <w:rsid w:val="6D417909"/>
    <w:rsid w:val="6D464F20"/>
    <w:rsid w:val="6D535C01"/>
    <w:rsid w:val="6D57337A"/>
    <w:rsid w:val="6D5769BA"/>
    <w:rsid w:val="6D5E04BB"/>
    <w:rsid w:val="6D723F67"/>
    <w:rsid w:val="6D766A8D"/>
    <w:rsid w:val="6D8E6FF3"/>
    <w:rsid w:val="6D985DE1"/>
    <w:rsid w:val="6D9D07BB"/>
    <w:rsid w:val="6DB427D1"/>
    <w:rsid w:val="6DB96BBA"/>
    <w:rsid w:val="6DB97DE8"/>
    <w:rsid w:val="6DBE0F5A"/>
    <w:rsid w:val="6DBE53FE"/>
    <w:rsid w:val="6DBF47B2"/>
    <w:rsid w:val="6DC71477"/>
    <w:rsid w:val="6DC72505"/>
    <w:rsid w:val="6DED2A65"/>
    <w:rsid w:val="6DF1621C"/>
    <w:rsid w:val="6DF66475"/>
    <w:rsid w:val="6DF7A619"/>
    <w:rsid w:val="6DFBB71B"/>
    <w:rsid w:val="6E0146AF"/>
    <w:rsid w:val="6E0C7F17"/>
    <w:rsid w:val="6E182D60"/>
    <w:rsid w:val="6E184B0E"/>
    <w:rsid w:val="6E290AC9"/>
    <w:rsid w:val="6E3336CF"/>
    <w:rsid w:val="6E4027F5"/>
    <w:rsid w:val="6E4B4EE4"/>
    <w:rsid w:val="6E4C47B8"/>
    <w:rsid w:val="6E5518BE"/>
    <w:rsid w:val="6E5C0465"/>
    <w:rsid w:val="6E663ED3"/>
    <w:rsid w:val="6E66587A"/>
    <w:rsid w:val="6E805A0E"/>
    <w:rsid w:val="6E843F52"/>
    <w:rsid w:val="6E95615F"/>
    <w:rsid w:val="6E9A24DD"/>
    <w:rsid w:val="6E9B274D"/>
    <w:rsid w:val="6EA2262A"/>
    <w:rsid w:val="6EA42846"/>
    <w:rsid w:val="6EA6036C"/>
    <w:rsid w:val="6EAC7CF0"/>
    <w:rsid w:val="6EAE52B4"/>
    <w:rsid w:val="6EB14AA0"/>
    <w:rsid w:val="6EB34837"/>
    <w:rsid w:val="6EBC7B8F"/>
    <w:rsid w:val="6EBE56B6"/>
    <w:rsid w:val="6EBF4F8A"/>
    <w:rsid w:val="6EC425A0"/>
    <w:rsid w:val="6ECB392F"/>
    <w:rsid w:val="6ECD4683"/>
    <w:rsid w:val="6ED8429D"/>
    <w:rsid w:val="6EE011B1"/>
    <w:rsid w:val="6EE9778A"/>
    <w:rsid w:val="6EFC7F8C"/>
    <w:rsid w:val="6EFF5CCE"/>
    <w:rsid w:val="6EFFB21C"/>
    <w:rsid w:val="6F070DFD"/>
    <w:rsid w:val="6F085ACB"/>
    <w:rsid w:val="6F0D2199"/>
    <w:rsid w:val="6F1E43A6"/>
    <w:rsid w:val="6F1E7F02"/>
    <w:rsid w:val="6F2D45E9"/>
    <w:rsid w:val="6F2E3EBD"/>
    <w:rsid w:val="6F347726"/>
    <w:rsid w:val="6F370FC4"/>
    <w:rsid w:val="6F3E2CFE"/>
    <w:rsid w:val="6F4B8C15"/>
    <w:rsid w:val="6F4F5740"/>
    <w:rsid w:val="6F541B76"/>
    <w:rsid w:val="6F597AA1"/>
    <w:rsid w:val="6F5A5D94"/>
    <w:rsid w:val="6F64699B"/>
    <w:rsid w:val="6F6A5DDE"/>
    <w:rsid w:val="6F6C3363"/>
    <w:rsid w:val="6F8A0D93"/>
    <w:rsid w:val="6F8B3406"/>
    <w:rsid w:val="6F912DCA"/>
    <w:rsid w:val="6F9C52CB"/>
    <w:rsid w:val="6F9F7BFE"/>
    <w:rsid w:val="6FA0300D"/>
    <w:rsid w:val="6FA42E90"/>
    <w:rsid w:val="6FAC19B2"/>
    <w:rsid w:val="6FAD1286"/>
    <w:rsid w:val="6FAF3250"/>
    <w:rsid w:val="6FAFE9CC"/>
    <w:rsid w:val="6FB3C9A7"/>
    <w:rsid w:val="6FB97C2B"/>
    <w:rsid w:val="6FBB2814"/>
    <w:rsid w:val="6FBB4203"/>
    <w:rsid w:val="6FBBE756"/>
    <w:rsid w:val="6FBF4864"/>
    <w:rsid w:val="6FBFAA6A"/>
    <w:rsid w:val="6FCBF9CA"/>
    <w:rsid w:val="6FCE2AEF"/>
    <w:rsid w:val="6FD79E4B"/>
    <w:rsid w:val="6FDB02AB"/>
    <w:rsid w:val="6FDE6714"/>
    <w:rsid w:val="6FDE8880"/>
    <w:rsid w:val="6FDFA1C0"/>
    <w:rsid w:val="6FDFCCB1"/>
    <w:rsid w:val="6FE74798"/>
    <w:rsid w:val="6FEE4ACD"/>
    <w:rsid w:val="6FFBA2A1"/>
    <w:rsid w:val="6FFE06DC"/>
    <w:rsid w:val="6FFE2765"/>
    <w:rsid w:val="6FFE59A8"/>
    <w:rsid w:val="6FFF2E5A"/>
    <w:rsid w:val="6FFF61EB"/>
    <w:rsid w:val="6FFF93D2"/>
    <w:rsid w:val="70017C18"/>
    <w:rsid w:val="70081E06"/>
    <w:rsid w:val="700E45FE"/>
    <w:rsid w:val="701557A9"/>
    <w:rsid w:val="70187047"/>
    <w:rsid w:val="701B2694"/>
    <w:rsid w:val="701E26CF"/>
    <w:rsid w:val="70244EDC"/>
    <w:rsid w:val="70293181"/>
    <w:rsid w:val="702932C7"/>
    <w:rsid w:val="70313C65"/>
    <w:rsid w:val="70384FF4"/>
    <w:rsid w:val="703A5210"/>
    <w:rsid w:val="704A414F"/>
    <w:rsid w:val="704B11CB"/>
    <w:rsid w:val="705838E8"/>
    <w:rsid w:val="705D4A5A"/>
    <w:rsid w:val="7060279C"/>
    <w:rsid w:val="70651B61"/>
    <w:rsid w:val="70666005"/>
    <w:rsid w:val="70912956"/>
    <w:rsid w:val="70934920"/>
    <w:rsid w:val="70980188"/>
    <w:rsid w:val="70A053AB"/>
    <w:rsid w:val="70DC0075"/>
    <w:rsid w:val="70E62CA2"/>
    <w:rsid w:val="70ED2282"/>
    <w:rsid w:val="70F52EE5"/>
    <w:rsid w:val="70FE89A6"/>
    <w:rsid w:val="71015D2D"/>
    <w:rsid w:val="71025602"/>
    <w:rsid w:val="710E5D1A"/>
    <w:rsid w:val="7113780F"/>
    <w:rsid w:val="711772FF"/>
    <w:rsid w:val="71370EE9"/>
    <w:rsid w:val="713779A1"/>
    <w:rsid w:val="713C0B14"/>
    <w:rsid w:val="713C6D66"/>
    <w:rsid w:val="713D06B9"/>
    <w:rsid w:val="713E1D99"/>
    <w:rsid w:val="714944B3"/>
    <w:rsid w:val="71495B9C"/>
    <w:rsid w:val="71504A44"/>
    <w:rsid w:val="71535E5D"/>
    <w:rsid w:val="715615D1"/>
    <w:rsid w:val="715A71EC"/>
    <w:rsid w:val="71626982"/>
    <w:rsid w:val="71791D68"/>
    <w:rsid w:val="717B6A90"/>
    <w:rsid w:val="71836742"/>
    <w:rsid w:val="7189187F"/>
    <w:rsid w:val="718E152E"/>
    <w:rsid w:val="718F158B"/>
    <w:rsid w:val="71902C0D"/>
    <w:rsid w:val="719635EF"/>
    <w:rsid w:val="71A566B9"/>
    <w:rsid w:val="71ADBE7E"/>
    <w:rsid w:val="71BC7EA6"/>
    <w:rsid w:val="71BDE798"/>
    <w:rsid w:val="71C52A01"/>
    <w:rsid w:val="71CA25C3"/>
    <w:rsid w:val="71CD5C10"/>
    <w:rsid w:val="71D13952"/>
    <w:rsid w:val="71D27ECE"/>
    <w:rsid w:val="71D40D4C"/>
    <w:rsid w:val="71E05943"/>
    <w:rsid w:val="71E7F47A"/>
    <w:rsid w:val="71E83BF1"/>
    <w:rsid w:val="71ED0060"/>
    <w:rsid w:val="71F25676"/>
    <w:rsid w:val="71F413EE"/>
    <w:rsid w:val="71F72C8D"/>
    <w:rsid w:val="71FF0FA3"/>
    <w:rsid w:val="72067910"/>
    <w:rsid w:val="72086C48"/>
    <w:rsid w:val="72117BE8"/>
    <w:rsid w:val="721D6B97"/>
    <w:rsid w:val="721E646B"/>
    <w:rsid w:val="722738F3"/>
    <w:rsid w:val="72296778"/>
    <w:rsid w:val="723475DE"/>
    <w:rsid w:val="723D444A"/>
    <w:rsid w:val="724800A1"/>
    <w:rsid w:val="724C2FD8"/>
    <w:rsid w:val="724E2F8E"/>
    <w:rsid w:val="725105EF"/>
    <w:rsid w:val="725620A9"/>
    <w:rsid w:val="725B146D"/>
    <w:rsid w:val="726A16B0"/>
    <w:rsid w:val="727662A7"/>
    <w:rsid w:val="727E6F0A"/>
    <w:rsid w:val="727F03BC"/>
    <w:rsid w:val="72803F7F"/>
    <w:rsid w:val="72834520"/>
    <w:rsid w:val="729606F7"/>
    <w:rsid w:val="729624A5"/>
    <w:rsid w:val="729F63A4"/>
    <w:rsid w:val="72A13D86"/>
    <w:rsid w:val="72A5093A"/>
    <w:rsid w:val="72AC3A77"/>
    <w:rsid w:val="72B33057"/>
    <w:rsid w:val="72BB015E"/>
    <w:rsid w:val="72D54D7C"/>
    <w:rsid w:val="72D80D10"/>
    <w:rsid w:val="72E9ACF4"/>
    <w:rsid w:val="72F5541E"/>
    <w:rsid w:val="72F86CBC"/>
    <w:rsid w:val="731E7FAE"/>
    <w:rsid w:val="732301DD"/>
    <w:rsid w:val="73342AC6"/>
    <w:rsid w:val="733D0B73"/>
    <w:rsid w:val="734939BC"/>
    <w:rsid w:val="734C0DB6"/>
    <w:rsid w:val="735760D9"/>
    <w:rsid w:val="73577500"/>
    <w:rsid w:val="73683E42"/>
    <w:rsid w:val="73752023"/>
    <w:rsid w:val="737652F3"/>
    <w:rsid w:val="737E8ED2"/>
    <w:rsid w:val="738B054C"/>
    <w:rsid w:val="73927111"/>
    <w:rsid w:val="73A12E13"/>
    <w:rsid w:val="73AD3F4B"/>
    <w:rsid w:val="73B13A3B"/>
    <w:rsid w:val="73BE8A55"/>
    <w:rsid w:val="73C47F1D"/>
    <w:rsid w:val="73CA760A"/>
    <w:rsid w:val="73CC612C"/>
    <w:rsid w:val="73DB0AB8"/>
    <w:rsid w:val="73EB6ED7"/>
    <w:rsid w:val="73F751C6"/>
    <w:rsid w:val="73FE0302"/>
    <w:rsid w:val="73FF64A5"/>
    <w:rsid w:val="74065409"/>
    <w:rsid w:val="740A0116"/>
    <w:rsid w:val="742C1313"/>
    <w:rsid w:val="742D6E39"/>
    <w:rsid w:val="744C5512"/>
    <w:rsid w:val="74510D7A"/>
    <w:rsid w:val="74654825"/>
    <w:rsid w:val="746A5998"/>
    <w:rsid w:val="746D368D"/>
    <w:rsid w:val="74732A9E"/>
    <w:rsid w:val="74746816"/>
    <w:rsid w:val="74786307"/>
    <w:rsid w:val="747E61FB"/>
    <w:rsid w:val="7482035C"/>
    <w:rsid w:val="74850A24"/>
    <w:rsid w:val="748536C3"/>
    <w:rsid w:val="7496678D"/>
    <w:rsid w:val="749A6A33"/>
    <w:rsid w:val="749E5641"/>
    <w:rsid w:val="74AC7D5E"/>
    <w:rsid w:val="74B3733F"/>
    <w:rsid w:val="74B51309"/>
    <w:rsid w:val="74C94DB4"/>
    <w:rsid w:val="74CE23CA"/>
    <w:rsid w:val="74D379E1"/>
    <w:rsid w:val="75091655"/>
    <w:rsid w:val="75153B55"/>
    <w:rsid w:val="75220020"/>
    <w:rsid w:val="7534733C"/>
    <w:rsid w:val="753530F5"/>
    <w:rsid w:val="753C5F35"/>
    <w:rsid w:val="753D12FE"/>
    <w:rsid w:val="75641722"/>
    <w:rsid w:val="75736ACE"/>
    <w:rsid w:val="75750A98"/>
    <w:rsid w:val="75767ACF"/>
    <w:rsid w:val="7576F12E"/>
    <w:rsid w:val="757D16FB"/>
    <w:rsid w:val="75846F2D"/>
    <w:rsid w:val="75894543"/>
    <w:rsid w:val="758B49C4"/>
    <w:rsid w:val="7590142E"/>
    <w:rsid w:val="75903794"/>
    <w:rsid w:val="75932CCC"/>
    <w:rsid w:val="759C7DD3"/>
    <w:rsid w:val="75AA4844"/>
    <w:rsid w:val="75AB270C"/>
    <w:rsid w:val="75AB3F56"/>
    <w:rsid w:val="75B72A34"/>
    <w:rsid w:val="75BA46FD"/>
    <w:rsid w:val="75DA2F44"/>
    <w:rsid w:val="75DE663D"/>
    <w:rsid w:val="75E77B7B"/>
    <w:rsid w:val="75EA8B89"/>
    <w:rsid w:val="75EF43A6"/>
    <w:rsid w:val="75FA2D4B"/>
    <w:rsid w:val="76032A67"/>
    <w:rsid w:val="76085468"/>
    <w:rsid w:val="761C7166"/>
    <w:rsid w:val="762F11BB"/>
    <w:rsid w:val="76312C11"/>
    <w:rsid w:val="763E70DC"/>
    <w:rsid w:val="76516E0F"/>
    <w:rsid w:val="765608C9"/>
    <w:rsid w:val="765B3266"/>
    <w:rsid w:val="7662726E"/>
    <w:rsid w:val="766D176F"/>
    <w:rsid w:val="766F3739"/>
    <w:rsid w:val="766F54E7"/>
    <w:rsid w:val="76766876"/>
    <w:rsid w:val="768014A2"/>
    <w:rsid w:val="76850C08"/>
    <w:rsid w:val="768A0573"/>
    <w:rsid w:val="768F7938"/>
    <w:rsid w:val="769431A0"/>
    <w:rsid w:val="769D02A6"/>
    <w:rsid w:val="76AF3B36"/>
    <w:rsid w:val="76BB697E"/>
    <w:rsid w:val="76BD26F7"/>
    <w:rsid w:val="76BE2F82"/>
    <w:rsid w:val="76BEDC27"/>
    <w:rsid w:val="76C03F95"/>
    <w:rsid w:val="76C53359"/>
    <w:rsid w:val="76D4359C"/>
    <w:rsid w:val="76DD06A3"/>
    <w:rsid w:val="76E14113"/>
    <w:rsid w:val="76E82FD5"/>
    <w:rsid w:val="76EB7BDE"/>
    <w:rsid w:val="76ECDCB8"/>
    <w:rsid w:val="76FB16CC"/>
    <w:rsid w:val="76FF7C98"/>
    <w:rsid w:val="770519A8"/>
    <w:rsid w:val="7707CD8C"/>
    <w:rsid w:val="77145416"/>
    <w:rsid w:val="771B5D78"/>
    <w:rsid w:val="771C566F"/>
    <w:rsid w:val="77297D8C"/>
    <w:rsid w:val="772ECBE3"/>
    <w:rsid w:val="77316C41"/>
    <w:rsid w:val="773902A2"/>
    <w:rsid w:val="773A3D47"/>
    <w:rsid w:val="773A8178"/>
    <w:rsid w:val="773B8689"/>
    <w:rsid w:val="77407E24"/>
    <w:rsid w:val="774249AA"/>
    <w:rsid w:val="77473FC1"/>
    <w:rsid w:val="774921DC"/>
    <w:rsid w:val="77550B81"/>
    <w:rsid w:val="775A6197"/>
    <w:rsid w:val="775BC2E3"/>
    <w:rsid w:val="775D138B"/>
    <w:rsid w:val="7762504C"/>
    <w:rsid w:val="776507DE"/>
    <w:rsid w:val="77674B55"/>
    <w:rsid w:val="776E5142"/>
    <w:rsid w:val="776F86A9"/>
    <w:rsid w:val="77731007"/>
    <w:rsid w:val="777D8964"/>
    <w:rsid w:val="77A6B0EC"/>
    <w:rsid w:val="77A967D7"/>
    <w:rsid w:val="77AE203F"/>
    <w:rsid w:val="77AFDFAA"/>
    <w:rsid w:val="77B9B0C1"/>
    <w:rsid w:val="77E70017"/>
    <w:rsid w:val="77EF351B"/>
    <w:rsid w:val="77EFA6C6"/>
    <w:rsid w:val="77EFB7DB"/>
    <w:rsid w:val="77F24622"/>
    <w:rsid w:val="77F55BBB"/>
    <w:rsid w:val="77F71ABD"/>
    <w:rsid w:val="77FD261C"/>
    <w:rsid w:val="77FF2132"/>
    <w:rsid w:val="77FFA601"/>
    <w:rsid w:val="78056103"/>
    <w:rsid w:val="780D4FB8"/>
    <w:rsid w:val="78186E47"/>
    <w:rsid w:val="781E0F73"/>
    <w:rsid w:val="78253E41"/>
    <w:rsid w:val="782567A5"/>
    <w:rsid w:val="78324A1E"/>
    <w:rsid w:val="783A0370"/>
    <w:rsid w:val="784D7AAA"/>
    <w:rsid w:val="785931B9"/>
    <w:rsid w:val="786C6182"/>
    <w:rsid w:val="7876453C"/>
    <w:rsid w:val="787B0173"/>
    <w:rsid w:val="78857244"/>
    <w:rsid w:val="78872FBC"/>
    <w:rsid w:val="78916E6C"/>
    <w:rsid w:val="78931595"/>
    <w:rsid w:val="78970D25"/>
    <w:rsid w:val="78A23952"/>
    <w:rsid w:val="78A70F68"/>
    <w:rsid w:val="78A719AC"/>
    <w:rsid w:val="78B00E0E"/>
    <w:rsid w:val="78B42B53"/>
    <w:rsid w:val="78B43685"/>
    <w:rsid w:val="78C95383"/>
    <w:rsid w:val="78D01A6F"/>
    <w:rsid w:val="78D12489"/>
    <w:rsid w:val="78D22D18"/>
    <w:rsid w:val="78DE1E88"/>
    <w:rsid w:val="78E6015F"/>
    <w:rsid w:val="78F148D9"/>
    <w:rsid w:val="78F581DA"/>
    <w:rsid w:val="78F72F6D"/>
    <w:rsid w:val="78F95E1B"/>
    <w:rsid w:val="78FE7584"/>
    <w:rsid w:val="78FFD7C2"/>
    <w:rsid w:val="79077C59"/>
    <w:rsid w:val="79084F07"/>
    <w:rsid w:val="790C526F"/>
    <w:rsid w:val="79137033"/>
    <w:rsid w:val="791970D0"/>
    <w:rsid w:val="79202D63"/>
    <w:rsid w:val="79256331"/>
    <w:rsid w:val="792720A9"/>
    <w:rsid w:val="79294073"/>
    <w:rsid w:val="792B7DEB"/>
    <w:rsid w:val="793C6D38"/>
    <w:rsid w:val="79464C25"/>
    <w:rsid w:val="7954104A"/>
    <w:rsid w:val="795C61F7"/>
    <w:rsid w:val="79610FB0"/>
    <w:rsid w:val="796C62A2"/>
    <w:rsid w:val="796E1A86"/>
    <w:rsid w:val="797733A9"/>
    <w:rsid w:val="7984574E"/>
    <w:rsid w:val="7988058F"/>
    <w:rsid w:val="798B2AF3"/>
    <w:rsid w:val="798E3ED6"/>
    <w:rsid w:val="798F1AF1"/>
    <w:rsid w:val="79910FC0"/>
    <w:rsid w:val="79935991"/>
    <w:rsid w:val="79984D55"/>
    <w:rsid w:val="79ACD51A"/>
    <w:rsid w:val="79AE27CB"/>
    <w:rsid w:val="79B853F7"/>
    <w:rsid w:val="79BF71B9"/>
    <w:rsid w:val="79C01DAA"/>
    <w:rsid w:val="79C478F8"/>
    <w:rsid w:val="79D42231"/>
    <w:rsid w:val="79D96C01"/>
    <w:rsid w:val="79E415BB"/>
    <w:rsid w:val="79E955B1"/>
    <w:rsid w:val="79F20909"/>
    <w:rsid w:val="79F53F55"/>
    <w:rsid w:val="79FBE9F4"/>
    <w:rsid w:val="79FD51F1"/>
    <w:rsid w:val="7A0129A6"/>
    <w:rsid w:val="7A04063C"/>
    <w:rsid w:val="7A076BC6"/>
    <w:rsid w:val="7A0917AF"/>
    <w:rsid w:val="7A1669D2"/>
    <w:rsid w:val="7A1801E5"/>
    <w:rsid w:val="7A212F9C"/>
    <w:rsid w:val="7A256345"/>
    <w:rsid w:val="7A2B3E1B"/>
    <w:rsid w:val="7A48677B"/>
    <w:rsid w:val="7A4B626B"/>
    <w:rsid w:val="7A4D7EA7"/>
    <w:rsid w:val="7A5E5F9F"/>
    <w:rsid w:val="7A5E7D4D"/>
    <w:rsid w:val="7A5E7DB1"/>
    <w:rsid w:val="7A6B246A"/>
    <w:rsid w:val="7A6BC3FA"/>
    <w:rsid w:val="7A7632E8"/>
    <w:rsid w:val="7A770E0E"/>
    <w:rsid w:val="7A874E3E"/>
    <w:rsid w:val="7A9279F6"/>
    <w:rsid w:val="7A9E45ED"/>
    <w:rsid w:val="7A9E639B"/>
    <w:rsid w:val="7AA00365"/>
    <w:rsid w:val="7AA17C39"/>
    <w:rsid w:val="7AA86C83"/>
    <w:rsid w:val="7AAD6FF0"/>
    <w:rsid w:val="7AB120D5"/>
    <w:rsid w:val="7AB21E46"/>
    <w:rsid w:val="7AB9B43B"/>
    <w:rsid w:val="7ABC5759"/>
    <w:rsid w:val="7AD248B0"/>
    <w:rsid w:val="7AD370EC"/>
    <w:rsid w:val="7AD39BC2"/>
    <w:rsid w:val="7AD74FC0"/>
    <w:rsid w:val="7AD81BC9"/>
    <w:rsid w:val="7AD95625"/>
    <w:rsid w:val="7ADF999D"/>
    <w:rsid w:val="7AEBE833"/>
    <w:rsid w:val="7AEE2BF2"/>
    <w:rsid w:val="7AF12344"/>
    <w:rsid w:val="7AF91823"/>
    <w:rsid w:val="7AFB7C1C"/>
    <w:rsid w:val="7B02692A"/>
    <w:rsid w:val="7B052E72"/>
    <w:rsid w:val="7B0A2151"/>
    <w:rsid w:val="7B0D52CF"/>
    <w:rsid w:val="7B1623D5"/>
    <w:rsid w:val="7B292109"/>
    <w:rsid w:val="7B2E771F"/>
    <w:rsid w:val="7B3C2AA4"/>
    <w:rsid w:val="7B4E674A"/>
    <w:rsid w:val="7B5F1FCE"/>
    <w:rsid w:val="7B66335D"/>
    <w:rsid w:val="7B7122A7"/>
    <w:rsid w:val="7B7535A0"/>
    <w:rsid w:val="7B7610C6"/>
    <w:rsid w:val="7B7F577C"/>
    <w:rsid w:val="7B845591"/>
    <w:rsid w:val="7B851309"/>
    <w:rsid w:val="7B892BA7"/>
    <w:rsid w:val="7B8A0CF7"/>
    <w:rsid w:val="7B914152"/>
    <w:rsid w:val="7B9B0B2D"/>
    <w:rsid w:val="7B9D2AF7"/>
    <w:rsid w:val="7B9D48A5"/>
    <w:rsid w:val="7B9F061D"/>
    <w:rsid w:val="7BA07EF1"/>
    <w:rsid w:val="7BA626CD"/>
    <w:rsid w:val="7BAB0D70"/>
    <w:rsid w:val="7BAB5214"/>
    <w:rsid w:val="7BAE6AB2"/>
    <w:rsid w:val="7BBA0FB3"/>
    <w:rsid w:val="7BBD76FB"/>
    <w:rsid w:val="7BC462D5"/>
    <w:rsid w:val="7BC71922"/>
    <w:rsid w:val="7BC9569A"/>
    <w:rsid w:val="7BCA0ED5"/>
    <w:rsid w:val="7BCB7664"/>
    <w:rsid w:val="7BCC3178"/>
    <w:rsid w:val="7BCE7A18"/>
    <w:rsid w:val="7BD04C7A"/>
    <w:rsid w:val="7BDB0B18"/>
    <w:rsid w:val="7BE10C35"/>
    <w:rsid w:val="7BE129E3"/>
    <w:rsid w:val="7BEBF838"/>
    <w:rsid w:val="7BF30CB4"/>
    <w:rsid w:val="7BF4E965"/>
    <w:rsid w:val="7BF72F51"/>
    <w:rsid w:val="7BFC2688"/>
    <w:rsid w:val="7BFDBDA2"/>
    <w:rsid w:val="7BFEDCF1"/>
    <w:rsid w:val="7BFEE41C"/>
    <w:rsid w:val="7BFF181B"/>
    <w:rsid w:val="7BFF9DEF"/>
    <w:rsid w:val="7C044924"/>
    <w:rsid w:val="7C06069C"/>
    <w:rsid w:val="7C093CE8"/>
    <w:rsid w:val="7C12710A"/>
    <w:rsid w:val="7C142DB9"/>
    <w:rsid w:val="7C182615"/>
    <w:rsid w:val="7C183F2B"/>
    <w:rsid w:val="7C2154D6"/>
    <w:rsid w:val="7C251548"/>
    <w:rsid w:val="7C286864"/>
    <w:rsid w:val="7C2FBC68"/>
    <w:rsid w:val="7C3C7A60"/>
    <w:rsid w:val="7C3D3992"/>
    <w:rsid w:val="7C3F595C"/>
    <w:rsid w:val="7C5B78D4"/>
    <w:rsid w:val="7C6453C2"/>
    <w:rsid w:val="7C743857"/>
    <w:rsid w:val="7C7FDA07"/>
    <w:rsid w:val="7C8069A1"/>
    <w:rsid w:val="7C8141C6"/>
    <w:rsid w:val="7C8E78F8"/>
    <w:rsid w:val="7C8F243F"/>
    <w:rsid w:val="7C9C2DAE"/>
    <w:rsid w:val="7CB225D2"/>
    <w:rsid w:val="7CC3033B"/>
    <w:rsid w:val="7CC43EF5"/>
    <w:rsid w:val="7CEB342B"/>
    <w:rsid w:val="7CED083B"/>
    <w:rsid w:val="7CED9261"/>
    <w:rsid w:val="7CEE2404"/>
    <w:rsid w:val="7CEF5126"/>
    <w:rsid w:val="7CF16C56"/>
    <w:rsid w:val="7CF46746"/>
    <w:rsid w:val="7D00333D"/>
    <w:rsid w:val="7D056BA5"/>
    <w:rsid w:val="7D080444"/>
    <w:rsid w:val="7D0B583E"/>
    <w:rsid w:val="7D0F3580"/>
    <w:rsid w:val="7D1429FB"/>
    <w:rsid w:val="7D1B0177"/>
    <w:rsid w:val="7D1B3767"/>
    <w:rsid w:val="7D2C7C8E"/>
    <w:rsid w:val="7D2F3C22"/>
    <w:rsid w:val="7D360B0D"/>
    <w:rsid w:val="7D3D1E9B"/>
    <w:rsid w:val="7D3E3E65"/>
    <w:rsid w:val="7D4A21B7"/>
    <w:rsid w:val="7D56507F"/>
    <w:rsid w:val="7D56CB3F"/>
    <w:rsid w:val="7D5F49FE"/>
    <w:rsid w:val="7D6E474B"/>
    <w:rsid w:val="7D6FCE77"/>
    <w:rsid w:val="7D774D72"/>
    <w:rsid w:val="7D7A4E9D"/>
    <w:rsid w:val="7D893462"/>
    <w:rsid w:val="7D8A2C07"/>
    <w:rsid w:val="7D9C4987"/>
    <w:rsid w:val="7D9DF154"/>
    <w:rsid w:val="7D9F66B2"/>
    <w:rsid w:val="7DA243F4"/>
    <w:rsid w:val="7DAA3FF0"/>
    <w:rsid w:val="7DB303AF"/>
    <w:rsid w:val="7DBA7990"/>
    <w:rsid w:val="7DBFE492"/>
    <w:rsid w:val="7DC07661"/>
    <w:rsid w:val="7DCC321F"/>
    <w:rsid w:val="7DD12FF3"/>
    <w:rsid w:val="7DD32D94"/>
    <w:rsid w:val="7DD6409E"/>
    <w:rsid w:val="7DD82296"/>
    <w:rsid w:val="7DDA1DE0"/>
    <w:rsid w:val="7DDE2F59"/>
    <w:rsid w:val="7DE70059"/>
    <w:rsid w:val="7DE7680A"/>
    <w:rsid w:val="7DEB48ED"/>
    <w:rsid w:val="7DEF06AE"/>
    <w:rsid w:val="7DF0147B"/>
    <w:rsid w:val="7DF3182F"/>
    <w:rsid w:val="7DF66DBB"/>
    <w:rsid w:val="7DF7FFCB"/>
    <w:rsid w:val="7DFA7BA6"/>
    <w:rsid w:val="7DFB205E"/>
    <w:rsid w:val="7DFD358F"/>
    <w:rsid w:val="7DFD7D83"/>
    <w:rsid w:val="7DFF1F99"/>
    <w:rsid w:val="7E002EC9"/>
    <w:rsid w:val="7E054EEF"/>
    <w:rsid w:val="7E0724A9"/>
    <w:rsid w:val="7E162A33"/>
    <w:rsid w:val="7E2117BD"/>
    <w:rsid w:val="7E215319"/>
    <w:rsid w:val="7E233A0A"/>
    <w:rsid w:val="7E235535"/>
    <w:rsid w:val="7E243CB7"/>
    <w:rsid w:val="7E2B263C"/>
    <w:rsid w:val="7E3E236F"/>
    <w:rsid w:val="7E3E2C97"/>
    <w:rsid w:val="7E3E2F52"/>
    <w:rsid w:val="7E3F5D06"/>
    <w:rsid w:val="7E484F9C"/>
    <w:rsid w:val="7E494870"/>
    <w:rsid w:val="7E553215"/>
    <w:rsid w:val="7E5576B9"/>
    <w:rsid w:val="7E6410E3"/>
    <w:rsid w:val="7E676E21"/>
    <w:rsid w:val="7E6817D6"/>
    <w:rsid w:val="7E745D91"/>
    <w:rsid w:val="7E7D1E2A"/>
    <w:rsid w:val="7E843AFA"/>
    <w:rsid w:val="7E8B4E88"/>
    <w:rsid w:val="7EA72A07"/>
    <w:rsid w:val="7EAD0735"/>
    <w:rsid w:val="7EAD3051"/>
    <w:rsid w:val="7EAFF0B6"/>
    <w:rsid w:val="7EB2F9B7"/>
    <w:rsid w:val="7EBB23C1"/>
    <w:rsid w:val="7EBC6EE8"/>
    <w:rsid w:val="7EBC7738"/>
    <w:rsid w:val="7EBF3D01"/>
    <w:rsid w:val="7EC14D4E"/>
    <w:rsid w:val="7ED097AB"/>
    <w:rsid w:val="7EE6DD14"/>
    <w:rsid w:val="7EE87B37"/>
    <w:rsid w:val="7EEA4CC4"/>
    <w:rsid w:val="7EEB9FC8"/>
    <w:rsid w:val="7EEF18BB"/>
    <w:rsid w:val="7EF7FC8B"/>
    <w:rsid w:val="7EFDC041"/>
    <w:rsid w:val="7EFF3919"/>
    <w:rsid w:val="7EFF446B"/>
    <w:rsid w:val="7EFF872B"/>
    <w:rsid w:val="7EFFA73A"/>
    <w:rsid w:val="7F1B445E"/>
    <w:rsid w:val="7F2151CC"/>
    <w:rsid w:val="7F231565"/>
    <w:rsid w:val="7F232C50"/>
    <w:rsid w:val="7F2B01C4"/>
    <w:rsid w:val="7F2BEF08"/>
    <w:rsid w:val="7F2C666B"/>
    <w:rsid w:val="7F2F2562"/>
    <w:rsid w:val="7F402117"/>
    <w:rsid w:val="7F435763"/>
    <w:rsid w:val="7F475253"/>
    <w:rsid w:val="7F477001"/>
    <w:rsid w:val="7F5A373D"/>
    <w:rsid w:val="7F5E3367"/>
    <w:rsid w:val="7F5F3D40"/>
    <w:rsid w:val="7F60371C"/>
    <w:rsid w:val="7F62208D"/>
    <w:rsid w:val="7F7141B4"/>
    <w:rsid w:val="7F752B5D"/>
    <w:rsid w:val="7F75710D"/>
    <w:rsid w:val="7F761695"/>
    <w:rsid w:val="7F77C408"/>
    <w:rsid w:val="7F7ECDF0"/>
    <w:rsid w:val="7F7F1902"/>
    <w:rsid w:val="7F7F85A2"/>
    <w:rsid w:val="7F857B2A"/>
    <w:rsid w:val="7F93112B"/>
    <w:rsid w:val="7F9B651A"/>
    <w:rsid w:val="7F9D45ED"/>
    <w:rsid w:val="7F9E0F54"/>
    <w:rsid w:val="7FA5CF7E"/>
    <w:rsid w:val="7FADB5D1"/>
    <w:rsid w:val="7FAE0B76"/>
    <w:rsid w:val="7FAF3472"/>
    <w:rsid w:val="7FB359B9"/>
    <w:rsid w:val="7FB35AE9"/>
    <w:rsid w:val="7FB473C1"/>
    <w:rsid w:val="7FB68DF0"/>
    <w:rsid w:val="7FBBE0B5"/>
    <w:rsid w:val="7FBBF7C9"/>
    <w:rsid w:val="7FBF7622"/>
    <w:rsid w:val="7FC27694"/>
    <w:rsid w:val="7FCD90FC"/>
    <w:rsid w:val="7FCDECF9"/>
    <w:rsid w:val="7FD35744"/>
    <w:rsid w:val="7FD750AF"/>
    <w:rsid w:val="7FDB19D4"/>
    <w:rsid w:val="7FDFBCEF"/>
    <w:rsid w:val="7FDFE482"/>
    <w:rsid w:val="7FE24F7C"/>
    <w:rsid w:val="7FE44850"/>
    <w:rsid w:val="7FE5BCD5"/>
    <w:rsid w:val="7FE5FBF6"/>
    <w:rsid w:val="7FE629DC"/>
    <w:rsid w:val="7FE721C8"/>
    <w:rsid w:val="7FE7B90F"/>
    <w:rsid w:val="7FE8AA89"/>
    <w:rsid w:val="7FE96A4C"/>
    <w:rsid w:val="7FF01DDB"/>
    <w:rsid w:val="7FF52F01"/>
    <w:rsid w:val="7FF7F0EA"/>
    <w:rsid w:val="7FFA6738"/>
    <w:rsid w:val="7FFA82DD"/>
    <w:rsid w:val="7FFB7955"/>
    <w:rsid w:val="7FFBED39"/>
    <w:rsid w:val="7FFCB26E"/>
    <w:rsid w:val="7FFD9FAE"/>
    <w:rsid w:val="7FFDCAA0"/>
    <w:rsid w:val="7FFE17F4"/>
    <w:rsid w:val="7FFE89B5"/>
    <w:rsid w:val="7FFEA1B4"/>
    <w:rsid w:val="7FFEC91C"/>
    <w:rsid w:val="7FFF1F67"/>
    <w:rsid w:val="7FFF3358"/>
    <w:rsid w:val="7FFF3D63"/>
    <w:rsid w:val="7FFF917A"/>
    <w:rsid w:val="7FFFB6B3"/>
    <w:rsid w:val="7FFFC620"/>
    <w:rsid w:val="816EBC1C"/>
    <w:rsid w:val="86CD2215"/>
    <w:rsid w:val="87FB9589"/>
    <w:rsid w:val="8FDB939A"/>
    <w:rsid w:val="93AE1507"/>
    <w:rsid w:val="96AEB894"/>
    <w:rsid w:val="977B5D60"/>
    <w:rsid w:val="977E31FF"/>
    <w:rsid w:val="979F0F7F"/>
    <w:rsid w:val="9AFFE6CA"/>
    <w:rsid w:val="9B746BDE"/>
    <w:rsid w:val="9CFE73D3"/>
    <w:rsid w:val="9DBAE05B"/>
    <w:rsid w:val="9DF749FE"/>
    <w:rsid w:val="9EDFD2D4"/>
    <w:rsid w:val="9F3BF429"/>
    <w:rsid w:val="9F6F298E"/>
    <w:rsid w:val="9FBF6A38"/>
    <w:rsid w:val="9FDF3FAF"/>
    <w:rsid w:val="9FE70ACE"/>
    <w:rsid w:val="9FF8D89D"/>
    <w:rsid w:val="9FF91111"/>
    <w:rsid w:val="9FFD80F4"/>
    <w:rsid w:val="9FFFA905"/>
    <w:rsid w:val="9FFFE290"/>
    <w:rsid w:val="A53C30EB"/>
    <w:rsid w:val="A7799AEC"/>
    <w:rsid w:val="A7FADBFA"/>
    <w:rsid w:val="A8E08014"/>
    <w:rsid w:val="ABE7C24A"/>
    <w:rsid w:val="ACB5D895"/>
    <w:rsid w:val="ACF9F370"/>
    <w:rsid w:val="ACFF783F"/>
    <w:rsid w:val="ADBC833D"/>
    <w:rsid w:val="ADDEBFB5"/>
    <w:rsid w:val="ADED50AF"/>
    <w:rsid w:val="ADFB6A3F"/>
    <w:rsid w:val="AEBBA222"/>
    <w:rsid w:val="AF4F9167"/>
    <w:rsid w:val="AF9F1CA2"/>
    <w:rsid w:val="AFB506B9"/>
    <w:rsid w:val="AFD74478"/>
    <w:rsid w:val="AFF541E1"/>
    <w:rsid w:val="AFFB492E"/>
    <w:rsid w:val="B3E7BB23"/>
    <w:rsid w:val="B3FE8A31"/>
    <w:rsid w:val="B53FA9CA"/>
    <w:rsid w:val="B5BFDF79"/>
    <w:rsid w:val="B5CF5AEA"/>
    <w:rsid w:val="B6CBE650"/>
    <w:rsid w:val="B6E3786A"/>
    <w:rsid w:val="B741577F"/>
    <w:rsid w:val="B75BD154"/>
    <w:rsid w:val="B75F45B5"/>
    <w:rsid w:val="B795DFF4"/>
    <w:rsid w:val="B7BB3BD0"/>
    <w:rsid w:val="B7DF5DCD"/>
    <w:rsid w:val="B7EBD113"/>
    <w:rsid w:val="B7F702D0"/>
    <w:rsid w:val="B7FD2566"/>
    <w:rsid w:val="B7FFBCD0"/>
    <w:rsid w:val="B7FFE18E"/>
    <w:rsid w:val="B9BB59BB"/>
    <w:rsid w:val="B9EF57F7"/>
    <w:rsid w:val="B9FDE8DE"/>
    <w:rsid w:val="BA3F1C1C"/>
    <w:rsid w:val="BADE6EE5"/>
    <w:rsid w:val="BAFBA07E"/>
    <w:rsid w:val="BB9FABF3"/>
    <w:rsid w:val="BBB6559D"/>
    <w:rsid w:val="BBDE1958"/>
    <w:rsid w:val="BBDFB0CF"/>
    <w:rsid w:val="BBEF43C5"/>
    <w:rsid w:val="BBEFCB6F"/>
    <w:rsid w:val="BCEA7C28"/>
    <w:rsid w:val="BCF75D7A"/>
    <w:rsid w:val="BCF94F3D"/>
    <w:rsid w:val="BCFFD504"/>
    <w:rsid w:val="BD63426D"/>
    <w:rsid w:val="BDB72374"/>
    <w:rsid w:val="BDD8EF78"/>
    <w:rsid w:val="BDFEDD7D"/>
    <w:rsid w:val="BE57F877"/>
    <w:rsid w:val="BE725299"/>
    <w:rsid w:val="BEA76596"/>
    <w:rsid w:val="BEAA0743"/>
    <w:rsid w:val="BEBAE066"/>
    <w:rsid w:val="BEF555C8"/>
    <w:rsid w:val="BEFD1E7C"/>
    <w:rsid w:val="BEFE19F0"/>
    <w:rsid w:val="BEFF2A67"/>
    <w:rsid w:val="BF1E064A"/>
    <w:rsid w:val="BF3FFF29"/>
    <w:rsid w:val="BF570842"/>
    <w:rsid w:val="BF5FDA4B"/>
    <w:rsid w:val="BF670905"/>
    <w:rsid w:val="BF7E946B"/>
    <w:rsid w:val="BF9F11D7"/>
    <w:rsid w:val="BFD55ED7"/>
    <w:rsid w:val="BFE32BE4"/>
    <w:rsid w:val="BFEFC667"/>
    <w:rsid w:val="BFF118E9"/>
    <w:rsid w:val="BFF20B29"/>
    <w:rsid w:val="BFF90C36"/>
    <w:rsid w:val="BFFB9176"/>
    <w:rsid w:val="BFFF9671"/>
    <w:rsid w:val="BFFFCDE1"/>
    <w:rsid w:val="C3F70DC4"/>
    <w:rsid w:val="C3FF5894"/>
    <w:rsid w:val="C7F3FFBD"/>
    <w:rsid w:val="C7F720E7"/>
    <w:rsid w:val="C7FF241C"/>
    <w:rsid w:val="C7FFFFEB"/>
    <w:rsid w:val="C9BCF6CF"/>
    <w:rsid w:val="C9BF5ABD"/>
    <w:rsid w:val="C9FEA068"/>
    <w:rsid w:val="CA9B6EC0"/>
    <w:rsid w:val="CBAF1331"/>
    <w:rsid w:val="CBAF2FFF"/>
    <w:rsid w:val="CBDF565D"/>
    <w:rsid w:val="CCDDE55C"/>
    <w:rsid w:val="CD9FE7E6"/>
    <w:rsid w:val="CDAE4EDC"/>
    <w:rsid w:val="CDDD2E0A"/>
    <w:rsid w:val="CDFA6FEE"/>
    <w:rsid w:val="CE7F1FAE"/>
    <w:rsid w:val="CE9D661C"/>
    <w:rsid w:val="CEFB5348"/>
    <w:rsid w:val="CF2B446C"/>
    <w:rsid w:val="CF5FA584"/>
    <w:rsid w:val="CFBA8826"/>
    <w:rsid w:val="CFF77463"/>
    <w:rsid w:val="CFFA4036"/>
    <w:rsid w:val="CFFF42F3"/>
    <w:rsid w:val="CFFF8FFE"/>
    <w:rsid w:val="D04FCAB9"/>
    <w:rsid w:val="D1FB24DB"/>
    <w:rsid w:val="D2EF8740"/>
    <w:rsid w:val="D2FF8557"/>
    <w:rsid w:val="D3052270"/>
    <w:rsid w:val="D3DDACA0"/>
    <w:rsid w:val="D3E74C57"/>
    <w:rsid w:val="D3F74483"/>
    <w:rsid w:val="D45FEA5B"/>
    <w:rsid w:val="D47EAA83"/>
    <w:rsid w:val="D4F793FA"/>
    <w:rsid w:val="D5B3E5E1"/>
    <w:rsid w:val="D5D38A64"/>
    <w:rsid w:val="D5DDBAE3"/>
    <w:rsid w:val="D5FDA11C"/>
    <w:rsid w:val="D6BC272F"/>
    <w:rsid w:val="D6BF25C3"/>
    <w:rsid w:val="D7DE25B1"/>
    <w:rsid w:val="D7DEC7EE"/>
    <w:rsid w:val="D7ED0036"/>
    <w:rsid w:val="D867D162"/>
    <w:rsid w:val="D8DFC712"/>
    <w:rsid w:val="D9BF716F"/>
    <w:rsid w:val="DA6B4E52"/>
    <w:rsid w:val="DAFEB521"/>
    <w:rsid w:val="DB57BBF7"/>
    <w:rsid w:val="DB6F885D"/>
    <w:rsid w:val="DBD6C26A"/>
    <w:rsid w:val="DBF796C1"/>
    <w:rsid w:val="DBFB4022"/>
    <w:rsid w:val="DBFEFB7C"/>
    <w:rsid w:val="DBFF55DA"/>
    <w:rsid w:val="DBFF7C59"/>
    <w:rsid w:val="DC6ACC76"/>
    <w:rsid w:val="DD77DBFC"/>
    <w:rsid w:val="DD7F741F"/>
    <w:rsid w:val="DDDD3AAA"/>
    <w:rsid w:val="DDFBB401"/>
    <w:rsid w:val="DDFF9BBD"/>
    <w:rsid w:val="DE5B1729"/>
    <w:rsid w:val="DE7FC08A"/>
    <w:rsid w:val="DEB6DBA7"/>
    <w:rsid w:val="DEBBE26A"/>
    <w:rsid w:val="DEBDE491"/>
    <w:rsid w:val="DECFE504"/>
    <w:rsid w:val="DEEA6651"/>
    <w:rsid w:val="DEF5C0CB"/>
    <w:rsid w:val="DEFFF88B"/>
    <w:rsid w:val="DF5BF186"/>
    <w:rsid w:val="DF6EBE6B"/>
    <w:rsid w:val="DF6F673E"/>
    <w:rsid w:val="DF792033"/>
    <w:rsid w:val="DF7DDE45"/>
    <w:rsid w:val="DF7F0806"/>
    <w:rsid w:val="DF7F6559"/>
    <w:rsid w:val="DFAB3EEC"/>
    <w:rsid w:val="DFBB277E"/>
    <w:rsid w:val="DFBCD0BC"/>
    <w:rsid w:val="DFBD1572"/>
    <w:rsid w:val="DFC99911"/>
    <w:rsid w:val="DFCB6B9B"/>
    <w:rsid w:val="DFCE619C"/>
    <w:rsid w:val="DFCFE673"/>
    <w:rsid w:val="DFDB0A10"/>
    <w:rsid w:val="DFEE7034"/>
    <w:rsid w:val="DFEF16A0"/>
    <w:rsid w:val="DFEF837D"/>
    <w:rsid w:val="DFEFE26B"/>
    <w:rsid w:val="DFEFF4AB"/>
    <w:rsid w:val="DFEFFB4A"/>
    <w:rsid w:val="DFF7077E"/>
    <w:rsid w:val="DFFE4E81"/>
    <w:rsid w:val="DFFE5656"/>
    <w:rsid w:val="DFFE94C0"/>
    <w:rsid w:val="E2FE1DFC"/>
    <w:rsid w:val="E374C507"/>
    <w:rsid w:val="E3FB990F"/>
    <w:rsid w:val="E47F08F1"/>
    <w:rsid w:val="E55F3C44"/>
    <w:rsid w:val="E6BF3262"/>
    <w:rsid w:val="E6D76A9D"/>
    <w:rsid w:val="E76EB1CD"/>
    <w:rsid w:val="E79BB269"/>
    <w:rsid w:val="E7E74F06"/>
    <w:rsid w:val="E7FD669B"/>
    <w:rsid w:val="E97FF5A4"/>
    <w:rsid w:val="E9DFD3E9"/>
    <w:rsid w:val="E9E92F20"/>
    <w:rsid w:val="EB5EC710"/>
    <w:rsid w:val="EB69FD76"/>
    <w:rsid w:val="EB776932"/>
    <w:rsid w:val="EB8FCC53"/>
    <w:rsid w:val="EBB765B3"/>
    <w:rsid w:val="EBBF5969"/>
    <w:rsid w:val="EBBF7A62"/>
    <w:rsid w:val="EBD76472"/>
    <w:rsid w:val="EBF9DF1F"/>
    <w:rsid w:val="EBFEF502"/>
    <w:rsid w:val="EC7FEDDE"/>
    <w:rsid w:val="ECBF5C29"/>
    <w:rsid w:val="ECFDE059"/>
    <w:rsid w:val="ED1623AA"/>
    <w:rsid w:val="ED5FC6D5"/>
    <w:rsid w:val="ED9E0D66"/>
    <w:rsid w:val="EDBFBFB8"/>
    <w:rsid w:val="EDF3AE4B"/>
    <w:rsid w:val="EDFFB186"/>
    <w:rsid w:val="EE6F7CE4"/>
    <w:rsid w:val="EEFE6053"/>
    <w:rsid w:val="EF5F849E"/>
    <w:rsid w:val="EF67DB7F"/>
    <w:rsid w:val="EF6F88D4"/>
    <w:rsid w:val="EF9DAC7A"/>
    <w:rsid w:val="EFB760A1"/>
    <w:rsid w:val="EFDB1127"/>
    <w:rsid w:val="EFEAD802"/>
    <w:rsid w:val="EFEFCA6B"/>
    <w:rsid w:val="EFFDD880"/>
    <w:rsid w:val="EFFE54B0"/>
    <w:rsid w:val="EFFF5CA2"/>
    <w:rsid w:val="EFFFFF24"/>
    <w:rsid w:val="F1DF48E0"/>
    <w:rsid w:val="F2F3A872"/>
    <w:rsid w:val="F33F237E"/>
    <w:rsid w:val="F3570537"/>
    <w:rsid w:val="F3DFD1D6"/>
    <w:rsid w:val="F3DFF20F"/>
    <w:rsid w:val="F3ED6A9D"/>
    <w:rsid w:val="F5AFB8FB"/>
    <w:rsid w:val="F5EF94F0"/>
    <w:rsid w:val="F5F7E76E"/>
    <w:rsid w:val="F5FDD10C"/>
    <w:rsid w:val="F5FEB560"/>
    <w:rsid w:val="F64F5701"/>
    <w:rsid w:val="F66B4D4B"/>
    <w:rsid w:val="F67F17BD"/>
    <w:rsid w:val="F6B32F30"/>
    <w:rsid w:val="F6BF20C4"/>
    <w:rsid w:val="F6CF99FD"/>
    <w:rsid w:val="F6DDD52D"/>
    <w:rsid w:val="F6FD3E54"/>
    <w:rsid w:val="F6FE5E72"/>
    <w:rsid w:val="F72BCE6F"/>
    <w:rsid w:val="F72E55C8"/>
    <w:rsid w:val="F73F649A"/>
    <w:rsid w:val="F777DC74"/>
    <w:rsid w:val="F777E466"/>
    <w:rsid w:val="F7975AF9"/>
    <w:rsid w:val="F7C9181A"/>
    <w:rsid w:val="F7CF380C"/>
    <w:rsid w:val="F7CF5C85"/>
    <w:rsid w:val="F7D1D8AE"/>
    <w:rsid w:val="F7DE55E4"/>
    <w:rsid w:val="F7DED869"/>
    <w:rsid w:val="F7E59306"/>
    <w:rsid w:val="F7EE2517"/>
    <w:rsid w:val="F7F6169A"/>
    <w:rsid w:val="F7F6C60D"/>
    <w:rsid w:val="F7F80EB2"/>
    <w:rsid w:val="F7FE842E"/>
    <w:rsid w:val="F7FF3AF1"/>
    <w:rsid w:val="F7FFAA23"/>
    <w:rsid w:val="F7FFF4A2"/>
    <w:rsid w:val="F8DF4320"/>
    <w:rsid w:val="F8E7449B"/>
    <w:rsid w:val="F8F3220E"/>
    <w:rsid w:val="F8FE9CC1"/>
    <w:rsid w:val="F8FFF9CE"/>
    <w:rsid w:val="F9DF3C5E"/>
    <w:rsid w:val="F9EF8D71"/>
    <w:rsid w:val="F9FDBEC9"/>
    <w:rsid w:val="F9FE0830"/>
    <w:rsid w:val="FA8BF58C"/>
    <w:rsid w:val="FADF3728"/>
    <w:rsid w:val="FAEF40C0"/>
    <w:rsid w:val="FAFDD6EC"/>
    <w:rsid w:val="FB2B8857"/>
    <w:rsid w:val="FB3FAA27"/>
    <w:rsid w:val="FB4F3BE6"/>
    <w:rsid w:val="FB5FD576"/>
    <w:rsid w:val="FB6CC687"/>
    <w:rsid w:val="FB7A7BC4"/>
    <w:rsid w:val="FB7F1D6E"/>
    <w:rsid w:val="FB7F5F49"/>
    <w:rsid w:val="FB8567F8"/>
    <w:rsid w:val="FBBB0F51"/>
    <w:rsid w:val="FBBF8926"/>
    <w:rsid w:val="FBDE057B"/>
    <w:rsid w:val="FBE7E99D"/>
    <w:rsid w:val="FBEE6A4C"/>
    <w:rsid w:val="FBEFF7F2"/>
    <w:rsid w:val="FBF0F819"/>
    <w:rsid w:val="FBF3E2F3"/>
    <w:rsid w:val="FBF74DBB"/>
    <w:rsid w:val="FBFA7BE4"/>
    <w:rsid w:val="FBFCCF44"/>
    <w:rsid w:val="FBFF3149"/>
    <w:rsid w:val="FBFF3C27"/>
    <w:rsid w:val="FC4D3909"/>
    <w:rsid w:val="FC6D63FB"/>
    <w:rsid w:val="FC6ECDC2"/>
    <w:rsid w:val="FC7AFEB6"/>
    <w:rsid w:val="FC7B515D"/>
    <w:rsid w:val="FC7FB450"/>
    <w:rsid w:val="FCF5A05D"/>
    <w:rsid w:val="FCFDCD70"/>
    <w:rsid w:val="FCFF1BAB"/>
    <w:rsid w:val="FCFFD552"/>
    <w:rsid w:val="FD27E95A"/>
    <w:rsid w:val="FD5DFAC8"/>
    <w:rsid w:val="FD634801"/>
    <w:rsid w:val="FD63CFA0"/>
    <w:rsid w:val="FD6C295E"/>
    <w:rsid w:val="FD8377C8"/>
    <w:rsid w:val="FD99AD54"/>
    <w:rsid w:val="FDA72249"/>
    <w:rsid w:val="FDAA895F"/>
    <w:rsid w:val="FDB7EF08"/>
    <w:rsid w:val="FDBA724F"/>
    <w:rsid w:val="FDBB9E2A"/>
    <w:rsid w:val="FDBBE158"/>
    <w:rsid w:val="FDC7E36B"/>
    <w:rsid w:val="FDCCA4E5"/>
    <w:rsid w:val="FDCD5D28"/>
    <w:rsid w:val="FDD3043D"/>
    <w:rsid w:val="FDD74E71"/>
    <w:rsid w:val="FDDF0627"/>
    <w:rsid w:val="FDE7C236"/>
    <w:rsid w:val="FDF5D496"/>
    <w:rsid w:val="FDF67E2B"/>
    <w:rsid w:val="FDF74B6C"/>
    <w:rsid w:val="FDFBC5A9"/>
    <w:rsid w:val="FDFCB872"/>
    <w:rsid w:val="FDFDA31A"/>
    <w:rsid w:val="FDFEB510"/>
    <w:rsid w:val="FDFFB731"/>
    <w:rsid w:val="FE4DF147"/>
    <w:rsid w:val="FE53E524"/>
    <w:rsid w:val="FE5A8096"/>
    <w:rsid w:val="FE5F9864"/>
    <w:rsid w:val="FE664429"/>
    <w:rsid w:val="FE7C22A9"/>
    <w:rsid w:val="FE7DB371"/>
    <w:rsid w:val="FEB9E278"/>
    <w:rsid w:val="FEDA5853"/>
    <w:rsid w:val="FEDD66A5"/>
    <w:rsid w:val="FEDF3504"/>
    <w:rsid w:val="FEED5B06"/>
    <w:rsid w:val="FEFC5FA5"/>
    <w:rsid w:val="FEFF6A9F"/>
    <w:rsid w:val="FEFF7D9C"/>
    <w:rsid w:val="FF079EB0"/>
    <w:rsid w:val="FF1E567A"/>
    <w:rsid w:val="FF29E2F7"/>
    <w:rsid w:val="FF2F51AF"/>
    <w:rsid w:val="FF332E34"/>
    <w:rsid w:val="FF35E165"/>
    <w:rsid w:val="FF3B9D7C"/>
    <w:rsid w:val="FF3BD855"/>
    <w:rsid w:val="FF3BF4F2"/>
    <w:rsid w:val="FF5B8C35"/>
    <w:rsid w:val="FF60A250"/>
    <w:rsid w:val="FF636A36"/>
    <w:rsid w:val="FF6D7C23"/>
    <w:rsid w:val="FF6F39E4"/>
    <w:rsid w:val="FF6FDD80"/>
    <w:rsid w:val="FF76346C"/>
    <w:rsid w:val="FF773AD7"/>
    <w:rsid w:val="FF785AD3"/>
    <w:rsid w:val="FF78B40C"/>
    <w:rsid w:val="FF7ABBFA"/>
    <w:rsid w:val="FF7C05FA"/>
    <w:rsid w:val="FF7C6EF1"/>
    <w:rsid w:val="FF7C94CF"/>
    <w:rsid w:val="FF7EF9FD"/>
    <w:rsid w:val="FF7F52BF"/>
    <w:rsid w:val="FF7FF368"/>
    <w:rsid w:val="FF7FFF28"/>
    <w:rsid w:val="FF9D95D5"/>
    <w:rsid w:val="FF9DD64C"/>
    <w:rsid w:val="FF9F8BBA"/>
    <w:rsid w:val="FFA59802"/>
    <w:rsid w:val="FFAF68BC"/>
    <w:rsid w:val="FFB705E0"/>
    <w:rsid w:val="FFB7E3A6"/>
    <w:rsid w:val="FFBB0009"/>
    <w:rsid w:val="FFBBA143"/>
    <w:rsid w:val="FFBD5E1B"/>
    <w:rsid w:val="FFBD8CC1"/>
    <w:rsid w:val="FFBDE372"/>
    <w:rsid w:val="FFBE4660"/>
    <w:rsid w:val="FFBEFCAC"/>
    <w:rsid w:val="FFBF498E"/>
    <w:rsid w:val="FFBFF9CF"/>
    <w:rsid w:val="FFC77858"/>
    <w:rsid w:val="FFCF3EE1"/>
    <w:rsid w:val="FFD5D9C0"/>
    <w:rsid w:val="FFD73CBE"/>
    <w:rsid w:val="FFDB1C60"/>
    <w:rsid w:val="FFDC4376"/>
    <w:rsid w:val="FFDD9737"/>
    <w:rsid w:val="FFDF5D51"/>
    <w:rsid w:val="FFDFA3F2"/>
    <w:rsid w:val="FFDFB0DB"/>
    <w:rsid w:val="FFE53FE5"/>
    <w:rsid w:val="FFEBC275"/>
    <w:rsid w:val="FFECE2EB"/>
    <w:rsid w:val="FFED1B79"/>
    <w:rsid w:val="FFED8573"/>
    <w:rsid w:val="FFEFC682"/>
    <w:rsid w:val="FFF3E6C2"/>
    <w:rsid w:val="FFF59DDE"/>
    <w:rsid w:val="FFF6FC87"/>
    <w:rsid w:val="FFF95E1D"/>
    <w:rsid w:val="FFF9AC55"/>
    <w:rsid w:val="FFF9CBFE"/>
    <w:rsid w:val="FFFAF3F7"/>
    <w:rsid w:val="FFFB694C"/>
    <w:rsid w:val="FFFB883C"/>
    <w:rsid w:val="FFFBB334"/>
    <w:rsid w:val="FFFBCA5A"/>
    <w:rsid w:val="FFFD2E77"/>
    <w:rsid w:val="FFFD99CA"/>
    <w:rsid w:val="FFFEDE97"/>
    <w:rsid w:val="FFFF37E6"/>
    <w:rsid w:val="FFFF5408"/>
    <w:rsid w:val="FFFF7A67"/>
    <w:rsid w:val="FFFF958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qFormat="1" w:uiPriority="99" w:semiHidden="0" w:name="envelope return"/>
    <w:lsdException w:qFormat="1" w:unhideWhenUsed="0" w:uiPriority="0" w:semiHidden="0" w:name="footnote reference"/>
    <w:lsdException w:qFormat="1"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qFormat="1" w:unhideWhenUsed="0" w:uiPriority="0" w:semiHidden="0"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99"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hint="eastAsia" w:ascii="Arial Unicode MS" w:hAnsi="Arial Unicode MS" w:eastAsia="Arial Unicode MS" w:cs="Arial Unicode MS"/>
      <w:color w:val="000000"/>
      <w:kern w:val="2"/>
      <w:sz w:val="21"/>
      <w:szCs w:val="21"/>
      <w:lang w:val="zh-TW" w:eastAsia="zh-TW" w:bidi="ar-SA"/>
    </w:rPr>
  </w:style>
  <w:style w:type="paragraph" w:styleId="2">
    <w:name w:val="heading 1"/>
    <w:basedOn w:val="1"/>
    <w:next w:val="1"/>
    <w:link w:val="70"/>
    <w:qFormat/>
    <w:uiPriority w:val="0"/>
    <w:pPr>
      <w:keepNext/>
      <w:keepLines/>
      <w:spacing w:before="340" w:after="330" w:line="578" w:lineRule="auto"/>
      <w:outlineLvl w:val="0"/>
    </w:pPr>
    <w:rPr>
      <w:rFonts w:hint="default" w:cs="Times New Roman"/>
      <w:b/>
      <w:bCs/>
      <w:kern w:val="44"/>
      <w:sz w:val="44"/>
      <w:szCs w:val="44"/>
    </w:rPr>
  </w:style>
  <w:style w:type="paragraph" w:styleId="3">
    <w:name w:val="heading 2"/>
    <w:basedOn w:val="1"/>
    <w:next w:val="1"/>
    <w:link w:val="71"/>
    <w:qFormat/>
    <w:uiPriority w:val="0"/>
    <w:pPr>
      <w:keepNext/>
      <w:keepLines/>
      <w:spacing w:before="260" w:after="260" w:line="416" w:lineRule="auto"/>
      <w:outlineLvl w:val="1"/>
    </w:pPr>
    <w:rPr>
      <w:rFonts w:hint="default" w:ascii="Cambria" w:hAnsi="Cambria" w:eastAsia="宋体" w:cs="Times New Roman"/>
      <w:b/>
      <w:bCs/>
      <w:kern w:val="0"/>
      <w:sz w:val="32"/>
      <w:szCs w:val="32"/>
    </w:rPr>
  </w:style>
  <w:style w:type="paragraph" w:styleId="4">
    <w:name w:val="heading 3"/>
    <w:basedOn w:val="1"/>
    <w:next w:val="1"/>
    <w:link w:val="72"/>
    <w:qFormat/>
    <w:uiPriority w:val="0"/>
    <w:pPr>
      <w:keepNext/>
      <w:keepLines/>
      <w:spacing w:before="260" w:after="260" w:line="416" w:lineRule="auto"/>
      <w:outlineLvl w:val="2"/>
    </w:pPr>
    <w:rPr>
      <w:rFonts w:hint="default" w:cs="Times New Roman"/>
      <w:b/>
      <w:bCs/>
      <w:kern w:val="0"/>
      <w:sz w:val="32"/>
      <w:szCs w:val="32"/>
    </w:rPr>
  </w:style>
  <w:style w:type="paragraph" w:styleId="5">
    <w:name w:val="heading 4"/>
    <w:basedOn w:val="1"/>
    <w:next w:val="1"/>
    <w:link w:val="73"/>
    <w:qFormat/>
    <w:uiPriority w:val="0"/>
    <w:pPr>
      <w:keepNext/>
      <w:keepLines/>
      <w:widowControl w:val="0"/>
      <w:spacing w:before="280" w:after="290" w:line="372" w:lineRule="auto"/>
      <w:outlineLvl w:val="3"/>
    </w:pPr>
    <w:rPr>
      <w:rFonts w:hint="default" w:ascii="Arial" w:hAnsi="Arial" w:eastAsia="黑体" w:cs="Times New Roman"/>
      <w:b/>
      <w:color w:val="auto"/>
      <w:sz w:val="28"/>
      <w:szCs w:val="24"/>
    </w:rPr>
  </w:style>
  <w:style w:type="paragraph" w:styleId="6">
    <w:name w:val="heading 5"/>
    <w:basedOn w:val="1"/>
    <w:next w:val="1"/>
    <w:link w:val="74"/>
    <w:qFormat/>
    <w:uiPriority w:val="0"/>
    <w:pPr>
      <w:keepNext/>
      <w:keepLines/>
      <w:widowControl w:val="0"/>
      <w:spacing w:line="372" w:lineRule="auto"/>
      <w:ind w:firstLine="402"/>
      <w:outlineLvl w:val="4"/>
    </w:pPr>
    <w:rPr>
      <w:rFonts w:hint="default" w:ascii="仿宋_GB2312" w:hAnsi="Times New Roman" w:eastAsia="仿宋_GB2312" w:cs="Times New Roman"/>
      <w:b/>
      <w:color w:val="auto"/>
      <w:sz w:val="28"/>
      <w:szCs w:val="32"/>
    </w:rPr>
  </w:style>
  <w:style w:type="paragraph" w:styleId="7">
    <w:name w:val="heading 6"/>
    <w:basedOn w:val="1"/>
    <w:next w:val="1"/>
    <w:link w:val="75"/>
    <w:qFormat/>
    <w:uiPriority w:val="0"/>
    <w:pPr>
      <w:keepNext/>
      <w:keepLines/>
      <w:widowControl w:val="0"/>
      <w:spacing w:line="317" w:lineRule="auto"/>
      <w:ind w:firstLine="402"/>
      <w:outlineLvl w:val="5"/>
    </w:pPr>
    <w:rPr>
      <w:rFonts w:hint="default" w:ascii="Arial" w:hAnsi="Arial" w:eastAsia="黑体" w:cs="Times New Roman"/>
      <w:b/>
      <w:color w:val="auto"/>
      <w:sz w:val="24"/>
      <w:szCs w:val="32"/>
    </w:rPr>
  </w:style>
  <w:style w:type="paragraph" w:styleId="8">
    <w:name w:val="heading 7"/>
    <w:basedOn w:val="1"/>
    <w:next w:val="1"/>
    <w:link w:val="76"/>
    <w:qFormat/>
    <w:uiPriority w:val="0"/>
    <w:pPr>
      <w:keepNext/>
      <w:keepLines/>
      <w:widowControl w:val="0"/>
      <w:spacing w:line="317" w:lineRule="auto"/>
      <w:ind w:firstLine="402"/>
      <w:outlineLvl w:val="6"/>
    </w:pPr>
    <w:rPr>
      <w:rFonts w:hint="default" w:ascii="仿宋_GB2312" w:hAnsi="Times New Roman" w:eastAsia="仿宋_GB2312" w:cs="Times New Roman"/>
      <w:b/>
      <w:color w:val="auto"/>
      <w:sz w:val="24"/>
      <w:szCs w:val="32"/>
    </w:rPr>
  </w:style>
  <w:style w:type="paragraph" w:styleId="9">
    <w:name w:val="heading 8"/>
    <w:basedOn w:val="1"/>
    <w:next w:val="1"/>
    <w:link w:val="77"/>
    <w:qFormat/>
    <w:uiPriority w:val="0"/>
    <w:pPr>
      <w:keepNext/>
      <w:keepLines/>
      <w:widowControl w:val="0"/>
      <w:spacing w:line="317" w:lineRule="auto"/>
      <w:ind w:firstLine="402"/>
      <w:outlineLvl w:val="7"/>
    </w:pPr>
    <w:rPr>
      <w:rFonts w:hint="default" w:ascii="Arial" w:hAnsi="Arial" w:eastAsia="黑体" w:cs="Times New Roman"/>
      <w:color w:val="auto"/>
      <w:sz w:val="24"/>
      <w:szCs w:val="32"/>
    </w:rPr>
  </w:style>
  <w:style w:type="paragraph" w:styleId="10">
    <w:name w:val="heading 9"/>
    <w:basedOn w:val="1"/>
    <w:next w:val="1"/>
    <w:link w:val="78"/>
    <w:qFormat/>
    <w:uiPriority w:val="0"/>
    <w:pPr>
      <w:keepNext/>
      <w:keepLines/>
      <w:widowControl w:val="0"/>
      <w:spacing w:line="317" w:lineRule="auto"/>
      <w:ind w:firstLine="402"/>
      <w:outlineLvl w:val="8"/>
    </w:pPr>
    <w:rPr>
      <w:rFonts w:hint="default" w:ascii="Arial" w:hAnsi="Arial" w:eastAsia="黑体" w:cs="Times New Roman"/>
      <w:color w:val="auto"/>
      <w:szCs w:val="32"/>
    </w:rPr>
  </w:style>
  <w:style w:type="character" w:default="1" w:styleId="54">
    <w:name w:val="Default Paragraph Font"/>
    <w:unhideWhenUsed/>
    <w:qFormat/>
    <w:uiPriority w:val="1"/>
  </w:style>
  <w:style w:type="table" w:default="1" w:styleId="52">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widowControl w:val="0"/>
      <w:ind w:left="2520" w:leftChars="1200"/>
    </w:pPr>
    <w:rPr>
      <w:rFonts w:hint="default" w:ascii="Times New Roman" w:hAnsi="Times New Roman" w:eastAsia="宋体" w:cs="Times New Roman"/>
      <w:color w:val="auto"/>
      <w:szCs w:val="24"/>
      <w:lang w:val="en-US" w:eastAsia="zh-CN"/>
    </w:rPr>
  </w:style>
  <w:style w:type="paragraph" w:styleId="12">
    <w:name w:val="table of authorities"/>
    <w:basedOn w:val="1"/>
    <w:next w:val="1"/>
    <w:qFormat/>
    <w:uiPriority w:val="0"/>
    <w:pPr>
      <w:ind w:left="420" w:leftChars="200"/>
    </w:pPr>
  </w:style>
  <w:style w:type="paragraph" w:styleId="13">
    <w:name w:val="Normal Indent"/>
    <w:basedOn w:val="1"/>
    <w:link w:val="79"/>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paragraph" w:styleId="14">
    <w:name w:val="Document Map"/>
    <w:basedOn w:val="1"/>
    <w:semiHidden/>
    <w:qFormat/>
    <w:uiPriority w:val="0"/>
    <w:pPr>
      <w:shd w:val="clear" w:color="auto" w:fill="000080"/>
    </w:pPr>
  </w:style>
  <w:style w:type="paragraph" w:styleId="15">
    <w:name w:val="annotation text"/>
    <w:basedOn w:val="1"/>
    <w:link w:val="80"/>
    <w:unhideWhenUsed/>
    <w:qFormat/>
    <w:uiPriority w:val="0"/>
    <w:pPr>
      <w:jc w:val="left"/>
    </w:pPr>
    <w:rPr>
      <w:rFonts w:hint="default" w:cs="Times New Roman"/>
      <w:kern w:val="0"/>
      <w:sz w:val="20"/>
    </w:rPr>
  </w:style>
  <w:style w:type="paragraph" w:styleId="16">
    <w:name w:val="Body Text 3"/>
    <w:basedOn w:val="1"/>
    <w:link w:val="81"/>
    <w:qFormat/>
    <w:uiPriority w:val="0"/>
    <w:pPr>
      <w:widowControl w:val="0"/>
      <w:spacing w:after="120"/>
    </w:pPr>
    <w:rPr>
      <w:rFonts w:hint="default" w:ascii="Times New Roman" w:hAnsi="Times New Roman" w:eastAsia="宋体" w:cs="Times New Roman"/>
      <w:color w:val="auto"/>
      <w:sz w:val="16"/>
      <w:szCs w:val="16"/>
    </w:rPr>
  </w:style>
  <w:style w:type="paragraph" w:styleId="17">
    <w:name w:val="Body Text"/>
    <w:basedOn w:val="1"/>
    <w:link w:val="82"/>
    <w:qFormat/>
    <w:uiPriority w:val="0"/>
    <w:pPr>
      <w:widowControl w:val="0"/>
      <w:tabs>
        <w:tab w:val="left" w:pos="567"/>
      </w:tabs>
      <w:spacing w:before="120" w:line="22" w:lineRule="atLeast"/>
    </w:pPr>
    <w:rPr>
      <w:rFonts w:hint="default" w:ascii="宋体" w:hAnsi="宋体" w:eastAsia="宋体" w:cs="Times New Roman"/>
      <w:color w:val="auto"/>
      <w:sz w:val="24"/>
      <w:szCs w:val="24"/>
    </w:rPr>
  </w:style>
  <w:style w:type="paragraph" w:styleId="18">
    <w:name w:val="Body Text Indent"/>
    <w:basedOn w:val="1"/>
    <w:next w:val="1"/>
    <w:link w:val="83"/>
    <w:qFormat/>
    <w:uiPriority w:val="99"/>
    <w:pPr>
      <w:widowControl w:val="0"/>
      <w:spacing w:line="360" w:lineRule="auto"/>
      <w:ind w:firstLine="570"/>
    </w:pPr>
    <w:rPr>
      <w:rFonts w:hint="default" w:ascii="Times New Roman" w:hAnsi="Times New Roman" w:eastAsia="宋体" w:cs="Times New Roman"/>
      <w:color w:val="auto"/>
      <w:sz w:val="24"/>
      <w:szCs w:val="24"/>
    </w:rPr>
  </w:style>
  <w:style w:type="paragraph" w:styleId="19">
    <w:name w:val="List Continue"/>
    <w:basedOn w:val="1"/>
    <w:qFormat/>
    <w:uiPriority w:val="0"/>
    <w:pPr>
      <w:widowControl w:val="0"/>
      <w:spacing w:after="120"/>
      <w:ind w:left="420"/>
    </w:pPr>
    <w:rPr>
      <w:rFonts w:hint="default" w:ascii="Times New Roman" w:hAnsi="Times New Roman" w:eastAsia="楷体_GB2312" w:cs="Times New Roman"/>
      <w:color w:val="auto"/>
      <w:sz w:val="32"/>
      <w:szCs w:val="20"/>
      <w:lang w:val="en-US" w:eastAsia="zh-CN"/>
    </w:rPr>
  </w:style>
  <w:style w:type="paragraph" w:styleId="20">
    <w:name w:val="Block Text"/>
    <w:basedOn w:val="1"/>
    <w:qFormat/>
    <w:uiPriority w:val="0"/>
    <w:pPr>
      <w:widowControl w:val="0"/>
      <w:adjustRightInd w:val="0"/>
      <w:ind w:left="420" w:right="33"/>
      <w:jc w:val="left"/>
      <w:textAlignment w:val="baseline"/>
    </w:pPr>
    <w:rPr>
      <w:rFonts w:hint="default" w:ascii="Times New Roman" w:hAnsi="Times New Roman" w:eastAsia="宋体" w:cs="Times New Roman"/>
      <w:color w:val="auto"/>
      <w:kern w:val="0"/>
      <w:sz w:val="24"/>
      <w:szCs w:val="20"/>
      <w:lang w:val="en-US" w:eastAsia="zh-CN"/>
    </w:rPr>
  </w:style>
  <w:style w:type="paragraph" w:styleId="21">
    <w:name w:val="toc 5"/>
    <w:basedOn w:val="1"/>
    <w:next w:val="1"/>
    <w:qFormat/>
    <w:uiPriority w:val="39"/>
    <w:pPr>
      <w:widowControl w:val="0"/>
      <w:ind w:left="1680" w:leftChars="800"/>
    </w:pPr>
    <w:rPr>
      <w:rFonts w:hint="default" w:ascii="Times New Roman" w:hAnsi="Times New Roman" w:eastAsia="宋体" w:cs="Times New Roman"/>
      <w:color w:val="auto"/>
      <w:szCs w:val="24"/>
      <w:lang w:val="en-US" w:eastAsia="zh-CN"/>
    </w:rPr>
  </w:style>
  <w:style w:type="paragraph" w:styleId="22">
    <w:name w:val="toc 3"/>
    <w:basedOn w:val="1"/>
    <w:next w:val="1"/>
    <w:unhideWhenUsed/>
    <w:qFormat/>
    <w:uiPriority w:val="39"/>
    <w:pPr>
      <w:spacing w:after="100" w:line="276" w:lineRule="auto"/>
      <w:ind w:left="440"/>
      <w:jc w:val="left"/>
    </w:pPr>
    <w:rPr>
      <w:rFonts w:hint="default" w:ascii="Calibri" w:hAnsi="Calibri" w:eastAsia="宋体" w:cs="Times New Roman"/>
      <w:color w:val="auto"/>
      <w:kern w:val="0"/>
      <w:sz w:val="22"/>
      <w:szCs w:val="22"/>
      <w:lang w:val="en-US" w:eastAsia="zh-CN"/>
    </w:rPr>
  </w:style>
  <w:style w:type="paragraph" w:styleId="23">
    <w:name w:val="Plain Text"/>
    <w:basedOn w:val="1"/>
    <w:link w:val="84"/>
    <w:qFormat/>
    <w:uiPriority w:val="0"/>
    <w:pPr>
      <w:widowControl w:val="0"/>
    </w:pPr>
    <w:rPr>
      <w:rFonts w:hint="default" w:ascii="宋体" w:hAnsi="Courier New" w:eastAsia="宋体" w:cs="Times New Roman"/>
      <w:color w:val="auto"/>
      <w:kern w:val="0"/>
      <w:sz w:val="20"/>
      <w:szCs w:val="20"/>
    </w:rPr>
  </w:style>
  <w:style w:type="paragraph" w:styleId="24">
    <w:name w:val="toc 8"/>
    <w:basedOn w:val="1"/>
    <w:next w:val="1"/>
    <w:qFormat/>
    <w:uiPriority w:val="39"/>
    <w:pPr>
      <w:widowControl w:val="0"/>
      <w:ind w:left="2940" w:leftChars="1400"/>
    </w:pPr>
    <w:rPr>
      <w:rFonts w:hint="default" w:ascii="Times New Roman" w:hAnsi="Times New Roman" w:eastAsia="宋体" w:cs="Times New Roman"/>
      <w:color w:val="auto"/>
      <w:szCs w:val="24"/>
      <w:lang w:val="en-US" w:eastAsia="zh-CN"/>
    </w:rPr>
  </w:style>
  <w:style w:type="paragraph" w:styleId="25">
    <w:name w:val="Date"/>
    <w:basedOn w:val="1"/>
    <w:next w:val="1"/>
    <w:link w:val="85"/>
    <w:qFormat/>
    <w:uiPriority w:val="99"/>
    <w:pPr>
      <w:widowControl w:val="0"/>
      <w:ind w:left="100" w:leftChars="2500"/>
    </w:pPr>
    <w:rPr>
      <w:rFonts w:hint="default" w:ascii="仿宋_GB2312" w:hAnsi="宋体" w:eastAsia="仿宋_GB2312" w:cs="Times New Roman"/>
      <w:sz w:val="24"/>
      <w:szCs w:val="24"/>
    </w:rPr>
  </w:style>
  <w:style w:type="paragraph" w:styleId="26">
    <w:name w:val="Body Text Indent 2"/>
    <w:basedOn w:val="1"/>
    <w:link w:val="86"/>
    <w:qFormat/>
    <w:uiPriority w:val="99"/>
    <w:pPr>
      <w:widowControl w:val="0"/>
      <w:ind w:firstLine="480" w:firstLineChars="200"/>
    </w:pPr>
    <w:rPr>
      <w:rFonts w:hint="default" w:ascii="仿宋_GB2312" w:hAnsi="Times New Roman" w:eastAsia="仿宋_GB2312" w:cs="Times New Roman"/>
      <w:color w:val="auto"/>
      <w:sz w:val="24"/>
      <w:szCs w:val="24"/>
    </w:rPr>
  </w:style>
  <w:style w:type="paragraph" w:styleId="27">
    <w:name w:val="Balloon Text"/>
    <w:basedOn w:val="1"/>
    <w:link w:val="87"/>
    <w:unhideWhenUsed/>
    <w:qFormat/>
    <w:uiPriority w:val="99"/>
    <w:rPr>
      <w:rFonts w:hint="default" w:cs="Times New Roman"/>
      <w:kern w:val="0"/>
      <w:sz w:val="18"/>
      <w:szCs w:val="18"/>
    </w:rPr>
  </w:style>
  <w:style w:type="paragraph" w:styleId="28">
    <w:name w:val="footer"/>
    <w:basedOn w:val="1"/>
    <w:link w:val="88"/>
    <w:qFormat/>
    <w:uiPriority w:val="99"/>
    <w:pPr>
      <w:tabs>
        <w:tab w:val="center" w:pos="4153"/>
        <w:tab w:val="right" w:pos="8306"/>
      </w:tabs>
    </w:pPr>
    <w:rPr>
      <w:rFonts w:hint="default" w:ascii="宋体" w:hAnsi="宋体" w:eastAsia="宋体" w:cs="Times New Roman"/>
      <w:kern w:val="0"/>
      <w:sz w:val="18"/>
      <w:szCs w:val="18"/>
    </w:rPr>
  </w:style>
  <w:style w:type="paragraph" w:styleId="29">
    <w:name w:val="envelope return"/>
    <w:basedOn w:val="1"/>
    <w:unhideWhenUsed/>
    <w:qFormat/>
    <w:uiPriority w:val="99"/>
    <w:pPr>
      <w:snapToGrid w:val="0"/>
    </w:pPr>
    <w:rPr>
      <w:rFonts w:ascii="Arial" w:hAnsi="Arial"/>
    </w:rPr>
  </w:style>
  <w:style w:type="paragraph" w:styleId="30">
    <w:name w:val="header"/>
    <w:basedOn w:val="1"/>
    <w:link w:val="89"/>
    <w:unhideWhenUsed/>
    <w:qFormat/>
    <w:uiPriority w:val="99"/>
    <w:pPr>
      <w:pBdr>
        <w:bottom w:val="single" w:color="auto" w:sz="6" w:space="1"/>
      </w:pBdr>
      <w:tabs>
        <w:tab w:val="center" w:pos="4153"/>
        <w:tab w:val="right" w:pos="8306"/>
      </w:tabs>
      <w:snapToGrid w:val="0"/>
      <w:jc w:val="center"/>
    </w:pPr>
    <w:rPr>
      <w:rFonts w:hint="default" w:cs="Times New Roman"/>
      <w:kern w:val="0"/>
      <w:sz w:val="18"/>
      <w:szCs w:val="18"/>
    </w:rPr>
  </w:style>
  <w:style w:type="paragraph" w:styleId="31">
    <w:name w:val="toc 1"/>
    <w:basedOn w:val="1"/>
    <w:next w:val="1"/>
    <w:unhideWhenUsed/>
    <w:qFormat/>
    <w:uiPriority w:val="39"/>
    <w:pPr>
      <w:spacing w:after="100" w:line="276" w:lineRule="auto"/>
      <w:jc w:val="left"/>
    </w:pPr>
    <w:rPr>
      <w:rFonts w:hint="default" w:ascii="Calibri" w:hAnsi="Calibri" w:eastAsia="宋体" w:cs="Times New Roman"/>
      <w:color w:val="auto"/>
      <w:kern w:val="0"/>
      <w:sz w:val="22"/>
      <w:szCs w:val="22"/>
      <w:lang w:val="en-US" w:eastAsia="zh-CN"/>
    </w:rPr>
  </w:style>
  <w:style w:type="paragraph" w:styleId="32">
    <w:name w:val="toc 4"/>
    <w:basedOn w:val="1"/>
    <w:next w:val="1"/>
    <w:qFormat/>
    <w:uiPriority w:val="39"/>
    <w:pPr>
      <w:widowControl w:val="0"/>
      <w:ind w:left="1260" w:leftChars="600"/>
    </w:pPr>
    <w:rPr>
      <w:rFonts w:hint="default" w:ascii="Times New Roman" w:hAnsi="Times New Roman" w:eastAsia="宋体" w:cs="Times New Roman"/>
      <w:color w:val="auto"/>
      <w:szCs w:val="24"/>
      <w:lang w:val="en-US" w:eastAsia="zh-CN"/>
    </w:rPr>
  </w:style>
  <w:style w:type="paragraph" w:styleId="33">
    <w:name w:val="Subtitle"/>
    <w:basedOn w:val="1"/>
    <w:next w:val="1"/>
    <w:qFormat/>
    <w:uiPriority w:val="0"/>
    <w:pPr>
      <w:spacing w:before="60" w:after="60"/>
      <w:jc w:val="left"/>
      <w:outlineLvl w:val="1"/>
    </w:pPr>
    <w:rPr>
      <w:rFonts w:ascii="等线 Light" w:hAnsi="等线 Light" w:eastAsia="楷体"/>
      <w:bCs/>
      <w:kern w:val="28"/>
      <w:szCs w:val="32"/>
    </w:rPr>
  </w:style>
  <w:style w:type="paragraph" w:styleId="34">
    <w:name w:val="List"/>
    <w:basedOn w:val="1"/>
    <w:qFormat/>
    <w:uiPriority w:val="0"/>
    <w:pPr>
      <w:widowControl w:val="0"/>
      <w:ind w:left="420" w:hanging="420"/>
    </w:pPr>
    <w:rPr>
      <w:rFonts w:hint="default" w:ascii="Times New Roman" w:hAnsi="Times New Roman" w:eastAsia="楷体_GB2312" w:cs="Times New Roman"/>
      <w:color w:val="auto"/>
      <w:sz w:val="32"/>
      <w:szCs w:val="20"/>
      <w:lang w:val="en-US" w:eastAsia="zh-CN"/>
    </w:rPr>
  </w:style>
  <w:style w:type="paragraph" w:styleId="35">
    <w:name w:val="footnote text"/>
    <w:basedOn w:val="1"/>
    <w:link w:val="90"/>
    <w:qFormat/>
    <w:uiPriority w:val="0"/>
    <w:pPr>
      <w:widowControl w:val="0"/>
      <w:adjustRightInd w:val="0"/>
      <w:spacing w:line="312" w:lineRule="atLeast"/>
      <w:jc w:val="left"/>
      <w:textAlignment w:val="baseline"/>
    </w:pPr>
    <w:rPr>
      <w:rFonts w:hint="default" w:ascii="Times New Roman" w:hAnsi="Times New Roman" w:eastAsia="宋体" w:cs="Times New Roman"/>
      <w:color w:val="auto"/>
      <w:sz w:val="18"/>
      <w:szCs w:val="22"/>
    </w:rPr>
  </w:style>
  <w:style w:type="paragraph" w:styleId="36">
    <w:name w:val="toc 6"/>
    <w:basedOn w:val="1"/>
    <w:next w:val="1"/>
    <w:qFormat/>
    <w:uiPriority w:val="39"/>
    <w:pPr>
      <w:widowControl w:val="0"/>
      <w:ind w:left="2100" w:leftChars="1000"/>
    </w:pPr>
    <w:rPr>
      <w:rFonts w:hint="default" w:ascii="Times New Roman" w:hAnsi="Times New Roman" w:eastAsia="宋体" w:cs="Times New Roman"/>
      <w:color w:val="auto"/>
      <w:szCs w:val="24"/>
      <w:lang w:val="en-US" w:eastAsia="zh-CN"/>
    </w:rPr>
  </w:style>
  <w:style w:type="paragraph" w:styleId="37">
    <w:name w:val="List 5"/>
    <w:basedOn w:val="1"/>
    <w:qFormat/>
    <w:uiPriority w:val="0"/>
    <w:pPr>
      <w:widowControl w:val="0"/>
      <w:ind w:left="2100" w:hanging="420"/>
    </w:pPr>
    <w:rPr>
      <w:rFonts w:hint="default" w:ascii="Times New Roman" w:hAnsi="Times New Roman" w:eastAsia="楷体_GB2312" w:cs="Times New Roman"/>
      <w:color w:val="auto"/>
      <w:sz w:val="32"/>
      <w:szCs w:val="20"/>
      <w:lang w:val="en-US" w:eastAsia="zh-CN"/>
    </w:rPr>
  </w:style>
  <w:style w:type="paragraph" w:styleId="38">
    <w:name w:val="Body Text Indent 3"/>
    <w:basedOn w:val="1"/>
    <w:link w:val="91"/>
    <w:qFormat/>
    <w:uiPriority w:val="0"/>
    <w:pPr>
      <w:widowControl w:val="0"/>
      <w:autoSpaceDE w:val="0"/>
      <w:autoSpaceDN w:val="0"/>
      <w:adjustRightInd w:val="0"/>
      <w:spacing w:before="120" w:line="22" w:lineRule="atLeast"/>
      <w:ind w:left="720" w:firstLine="480"/>
      <w:jc w:val="left"/>
    </w:pPr>
    <w:rPr>
      <w:rFonts w:hint="default" w:ascii="宋体" w:hAnsi="Times New Roman" w:eastAsia="宋体" w:cs="Times New Roman"/>
      <w:color w:val="auto"/>
      <w:kern w:val="0"/>
      <w:sz w:val="24"/>
      <w:szCs w:val="20"/>
    </w:rPr>
  </w:style>
  <w:style w:type="paragraph" w:styleId="39">
    <w:name w:val="table of figures"/>
    <w:basedOn w:val="1"/>
    <w:next w:val="1"/>
    <w:qFormat/>
    <w:uiPriority w:val="0"/>
    <w:pPr>
      <w:ind w:left="200" w:leftChars="200" w:hanging="200" w:hangingChars="200"/>
    </w:pPr>
    <w:rPr>
      <w:rFonts w:ascii="Times New Roman" w:hAnsi="Times New Roman"/>
    </w:rPr>
  </w:style>
  <w:style w:type="paragraph" w:styleId="40">
    <w:name w:val="toc 2"/>
    <w:basedOn w:val="1"/>
    <w:next w:val="1"/>
    <w:unhideWhenUsed/>
    <w:qFormat/>
    <w:uiPriority w:val="39"/>
    <w:pPr>
      <w:spacing w:after="100" w:line="276" w:lineRule="auto"/>
      <w:ind w:left="220"/>
      <w:jc w:val="left"/>
    </w:pPr>
    <w:rPr>
      <w:rFonts w:hint="default" w:ascii="Calibri" w:hAnsi="Calibri" w:eastAsia="宋体" w:cs="Times New Roman"/>
      <w:color w:val="auto"/>
      <w:kern w:val="0"/>
      <w:sz w:val="22"/>
      <w:szCs w:val="22"/>
      <w:lang w:val="en-US" w:eastAsia="zh-CN"/>
    </w:rPr>
  </w:style>
  <w:style w:type="paragraph" w:styleId="41">
    <w:name w:val="toc 9"/>
    <w:basedOn w:val="1"/>
    <w:next w:val="1"/>
    <w:qFormat/>
    <w:uiPriority w:val="39"/>
    <w:pPr>
      <w:widowControl w:val="0"/>
      <w:ind w:left="3360" w:leftChars="1600"/>
    </w:pPr>
    <w:rPr>
      <w:rFonts w:hint="default" w:ascii="Times New Roman" w:hAnsi="Times New Roman" w:eastAsia="宋体" w:cs="Times New Roman"/>
      <w:color w:val="auto"/>
      <w:szCs w:val="24"/>
      <w:lang w:val="en-US" w:eastAsia="zh-CN"/>
    </w:rPr>
  </w:style>
  <w:style w:type="paragraph" w:styleId="42">
    <w:name w:val="Body Text 2"/>
    <w:basedOn w:val="1"/>
    <w:next w:val="17"/>
    <w:link w:val="92"/>
    <w:qFormat/>
    <w:uiPriority w:val="0"/>
    <w:pPr>
      <w:widowControl w:val="0"/>
      <w:spacing w:after="120" w:line="480" w:lineRule="auto"/>
    </w:pPr>
    <w:rPr>
      <w:rFonts w:hint="default" w:ascii="Times New Roman" w:hAnsi="Times New Roman" w:eastAsia="宋体" w:cs="Times New Roman"/>
      <w:color w:val="auto"/>
      <w:szCs w:val="24"/>
    </w:rPr>
  </w:style>
  <w:style w:type="paragraph" w:styleId="43">
    <w:name w:val="List 4"/>
    <w:basedOn w:val="1"/>
    <w:qFormat/>
    <w:uiPriority w:val="0"/>
    <w:pPr>
      <w:widowControl w:val="0"/>
      <w:ind w:left="1680" w:hanging="420"/>
    </w:pPr>
    <w:rPr>
      <w:rFonts w:hint="default" w:ascii="Times New Roman" w:hAnsi="Times New Roman" w:eastAsia="楷体_GB2312" w:cs="Times New Roman"/>
      <w:color w:val="auto"/>
      <w:sz w:val="32"/>
      <w:szCs w:val="20"/>
      <w:lang w:val="en-US" w:eastAsia="zh-CN"/>
    </w:rPr>
  </w:style>
  <w:style w:type="paragraph" w:styleId="44">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45">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szCs w:val="24"/>
      <w:lang w:val="en-US" w:eastAsia="zh-CN"/>
    </w:rPr>
  </w:style>
  <w:style w:type="paragraph" w:styleId="46">
    <w:name w:val="Normal (Web)"/>
    <w:basedOn w:val="1"/>
    <w:qFormat/>
    <w:uiPriority w:val="99"/>
    <w:pPr>
      <w:spacing w:before="100" w:beforeAutospacing="1" w:after="100" w:afterAutospacing="1"/>
      <w:jc w:val="left"/>
    </w:pPr>
    <w:rPr>
      <w:rFonts w:hint="default" w:ascii="宋体" w:hAnsi="宋体" w:eastAsia="宋体" w:cs="宋体"/>
      <w:color w:val="auto"/>
      <w:kern w:val="0"/>
      <w:sz w:val="24"/>
      <w:szCs w:val="24"/>
      <w:lang w:val="en-US" w:eastAsia="zh-CN"/>
    </w:rPr>
  </w:style>
  <w:style w:type="paragraph" w:styleId="47">
    <w:name w:val="index 1"/>
    <w:basedOn w:val="1"/>
    <w:next w:val="1"/>
    <w:qFormat/>
    <w:uiPriority w:val="0"/>
    <w:pPr>
      <w:widowControl w:val="0"/>
    </w:pPr>
    <w:rPr>
      <w:rFonts w:hint="default" w:ascii="Times New Roman" w:hAnsi="Times New Roman" w:eastAsia="宋体" w:cs="Times New Roman"/>
      <w:color w:val="auto"/>
      <w:szCs w:val="20"/>
      <w:lang w:val="en-US" w:eastAsia="zh-CN"/>
    </w:rPr>
  </w:style>
  <w:style w:type="paragraph" w:styleId="48">
    <w:name w:val="Title"/>
    <w:link w:val="93"/>
    <w:qFormat/>
    <w:uiPriority w:val="0"/>
    <w:pPr>
      <w:spacing w:before="240" w:after="60"/>
      <w:jc w:val="center"/>
    </w:pPr>
    <w:rPr>
      <w:rFonts w:ascii="Arial" w:hAnsi="Arial" w:eastAsia="Arial" w:cs="Times New Roman"/>
      <w:b/>
      <w:bCs/>
      <w:color w:val="000000"/>
      <w:sz w:val="32"/>
      <w:szCs w:val="32"/>
      <w:lang w:val="en-US" w:eastAsia="zh-CN" w:bidi="ar-SA"/>
    </w:rPr>
  </w:style>
  <w:style w:type="paragraph" w:styleId="49">
    <w:name w:val="annotation subject"/>
    <w:basedOn w:val="15"/>
    <w:next w:val="15"/>
    <w:link w:val="94"/>
    <w:qFormat/>
    <w:uiPriority w:val="0"/>
    <w:pPr>
      <w:widowControl w:val="0"/>
    </w:pPr>
    <w:rPr>
      <w:rFonts w:ascii="Times New Roman" w:hAnsi="Times New Roman" w:eastAsia="宋体"/>
      <w:b/>
      <w:bCs/>
      <w:color w:val="auto"/>
      <w:kern w:val="2"/>
      <w:sz w:val="21"/>
      <w:szCs w:val="24"/>
    </w:rPr>
  </w:style>
  <w:style w:type="paragraph" w:styleId="50">
    <w:name w:val="Body Text First Indent"/>
    <w:basedOn w:val="17"/>
    <w:link w:val="95"/>
    <w:qFormat/>
    <w:uiPriority w:val="0"/>
    <w:pPr>
      <w:spacing w:before="0" w:after="120" w:line="240" w:lineRule="auto"/>
      <w:ind w:firstLine="420"/>
    </w:pPr>
    <w:rPr>
      <w:rFonts w:ascii="Times New Roman" w:hAnsi="Times New Roman" w:eastAsia="楷体_GB2312"/>
      <w:sz w:val="32"/>
    </w:rPr>
  </w:style>
  <w:style w:type="paragraph" w:styleId="51">
    <w:name w:val="Body Text First Indent 2"/>
    <w:basedOn w:val="18"/>
    <w:next w:val="1"/>
    <w:link w:val="96"/>
    <w:unhideWhenUsed/>
    <w:qFormat/>
    <w:uiPriority w:val="99"/>
    <w:pPr>
      <w:spacing w:after="120" w:line="240" w:lineRule="auto"/>
      <w:ind w:left="420" w:leftChars="200" w:firstLine="420" w:firstLineChars="200"/>
    </w:pPr>
    <w:rPr>
      <w:rFonts w:ascii="Cambria" w:hAnsi="Cambria"/>
      <w:sz w:val="21"/>
    </w:rPr>
  </w:style>
  <w:style w:type="table" w:styleId="53">
    <w:name w:val="Table Grid"/>
    <w:basedOn w:val="5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5">
    <w:name w:val="Strong"/>
    <w:qFormat/>
    <w:uiPriority w:val="0"/>
    <w:rPr>
      <w:b/>
      <w:bCs/>
    </w:rPr>
  </w:style>
  <w:style w:type="character" w:styleId="56">
    <w:name w:val="page number"/>
    <w:qFormat/>
    <w:uiPriority w:val="99"/>
  </w:style>
  <w:style w:type="character" w:styleId="57">
    <w:name w:val="FollowedHyperlink"/>
    <w:qFormat/>
    <w:uiPriority w:val="0"/>
    <w:rPr>
      <w:color w:val="333333"/>
      <w:sz w:val="18"/>
      <w:szCs w:val="18"/>
      <w:u w:val="none"/>
    </w:rPr>
  </w:style>
  <w:style w:type="character" w:styleId="58">
    <w:name w:val="Emphasis"/>
    <w:basedOn w:val="54"/>
    <w:qFormat/>
    <w:uiPriority w:val="20"/>
    <w:rPr>
      <w:b/>
      <w:bCs/>
    </w:rPr>
  </w:style>
  <w:style w:type="character" w:styleId="59">
    <w:name w:val="HTML Definition"/>
    <w:basedOn w:val="54"/>
    <w:unhideWhenUsed/>
    <w:qFormat/>
    <w:uiPriority w:val="99"/>
  </w:style>
  <w:style w:type="character" w:styleId="60">
    <w:name w:val="HTML Typewriter"/>
    <w:basedOn w:val="54"/>
    <w:unhideWhenUsed/>
    <w:qFormat/>
    <w:uiPriority w:val="99"/>
    <w:rPr>
      <w:rFonts w:hint="default" w:ascii="monospace" w:hAnsi="monospace" w:eastAsia="monospace" w:cs="monospace"/>
      <w:sz w:val="20"/>
    </w:rPr>
  </w:style>
  <w:style w:type="character" w:styleId="61">
    <w:name w:val="HTML Acronym"/>
    <w:basedOn w:val="54"/>
    <w:unhideWhenUsed/>
    <w:qFormat/>
    <w:uiPriority w:val="99"/>
  </w:style>
  <w:style w:type="character" w:styleId="62">
    <w:name w:val="HTML Variable"/>
    <w:basedOn w:val="54"/>
    <w:unhideWhenUsed/>
    <w:qFormat/>
    <w:uiPriority w:val="99"/>
    <w:rPr>
      <w:vanish/>
    </w:rPr>
  </w:style>
  <w:style w:type="character" w:styleId="63">
    <w:name w:val="Hyperlink"/>
    <w:qFormat/>
    <w:uiPriority w:val="0"/>
    <w:rPr>
      <w:u w:val="single"/>
    </w:rPr>
  </w:style>
  <w:style w:type="character" w:styleId="64">
    <w:name w:val="HTML Code"/>
    <w:basedOn w:val="54"/>
    <w:unhideWhenUsed/>
    <w:qFormat/>
    <w:uiPriority w:val="99"/>
    <w:rPr>
      <w:rFonts w:hint="default" w:ascii="monospace" w:hAnsi="monospace" w:eastAsia="monospace" w:cs="monospace"/>
      <w:sz w:val="20"/>
    </w:rPr>
  </w:style>
  <w:style w:type="character" w:styleId="65">
    <w:name w:val="annotation reference"/>
    <w:unhideWhenUsed/>
    <w:qFormat/>
    <w:uiPriority w:val="99"/>
    <w:rPr>
      <w:sz w:val="21"/>
      <w:szCs w:val="21"/>
    </w:rPr>
  </w:style>
  <w:style w:type="character" w:styleId="66">
    <w:name w:val="HTML Cite"/>
    <w:basedOn w:val="54"/>
    <w:unhideWhenUsed/>
    <w:qFormat/>
    <w:uiPriority w:val="99"/>
    <w:rPr>
      <w:color w:val="858585"/>
      <w:shd w:val="clear" w:color="auto" w:fill="FAFAFA"/>
    </w:rPr>
  </w:style>
  <w:style w:type="character" w:styleId="67">
    <w:name w:val="footnote reference"/>
    <w:qFormat/>
    <w:uiPriority w:val="0"/>
    <w:rPr>
      <w:vertAlign w:val="superscript"/>
    </w:rPr>
  </w:style>
  <w:style w:type="character" w:styleId="68">
    <w:name w:val="HTML Keyboard"/>
    <w:basedOn w:val="54"/>
    <w:unhideWhenUsed/>
    <w:qFormat/>
    <w:uiPriority w:val="99"/>
    <w:rPr>
      <w:rFonts w:ascii="monospace" w:hAnsi="monospace" w:eastAsia="monospace" w:cs="monospace"/>
      <w:sz w:val="20"/>
    </w:rPr>
  </w:style>
  <w:style w:type="character" w:styleId="69">
    <w:name w:val="HTML Sample"/>
    <w:basedOn w:val="54"/>
    <w:unhideWhenUsed/>
    <w:qFormat/>
    <w:uiPriority w:val="99"/>
    <w:rPr>
      <w:rFonts w:hint="default" w:ascii="monospace" w:hAnsi="monospace" w:eastAsia="monospace" w:cs="monospace"/>
    </w:rPr>
  </w:style>
  <w:style w:type="character" w:customStyle="1" w:styleId="70">
    <w:name w:val="标题 1 字符"/>
    <w:link w:val="2"/>
    <w:qFormat/>
    <w:uiPriority w:val="0"/>
    <w:rPr>
      <w:rFonts w:ascii="Arial Unicode MS" w:hAnsi="Arial Unicode MS" w:eastAsia="Arial Unicode MS" w:cs="Arial Unicode MS"/>
      <w:b/>
      <w:bCs/>
      <w:color w:val="000000"/>
      <w:kern w:val="44"/>
      <w:sz w:val="44"/>
      <w:szCs w:val="44"/>
      <w:lang w:val="zh-TW" w:eastAsia="zh-TW"/>
    </w:rPr>
  </w:style>
  <w:style w:type="character" w:customStyle="1" w:styleId="71">
    <w:name w:val="标题 2 字符"/>
    <w:link w:val="3"/>
    <w:qFormat/>
    <w:uiPriority w:val="0"/>
    <w:rPr>
      <w:rFonts w:ascii="Cambria" w:hAnsi="Cambria" w:eastAsia="宋体" w:cs="Times New Roman"/>
      <w:b/>
      <w:bCs/>
      <w:color w:val="000000"/>
      <w:sz w:val="32"/>
      <w:szCs w:val="32"/>
      <w:lang w:val="zh-TW" w:eastAsia="zh-TW"/>
    </w:rPr>
  </w:style>
  <w:style w:type="character" w:customStyle="1" w:styleId="72">
    <w:name w:val="标题 3 字符"/>
    <w:link w:val="4"/>
    <w:qFormat/>
    <w:uiPriority w:val="0"/>
    <w:rPr>
      <w:rFonts w:ascii="Arial Unicode MS" w:hAnsi="Arial Unicode MS" w:eastAsia="Arial Unicode MS" w:cs="Arial Unicode MS"/>
      <w:b/>
      <w:bCs/>
      <w:color w:val="000000"/>
      <w:sz w:val="32"/>
      <w:szCs w:val="32"/>
      <w:lang w:val="zh-TW" w:eastAsia="zh-TW"/>
    </w:rPr>
  </w:style>
  <w:style w:type="character" w:customStyle="1" w:styleId="73">
    <w:name w:val="标题 4 字符"/>
    <w:link w:val="5"/>
    <w:qFormat/>
    <w:uiPriority w:val="0"/>
    <w:rPr>
      <w:rFonts w:ascii="Arial" w:hAnsi="Arial" w:eastAsia="黑体"/>
      <w:b/>
      <w:kern w:val="2"/>
      <w:sz w:val="28"/>
      <w:szCs w:val="24"/>
    </w:rPr>
  </w:style>
  <w:style w:type="character" w:customStyle="1" w:styleId="74">
    <w:name w:val="标题 5 字符"/>
    <w:link w:val="6"/>
    <w:qFormat/>
    <w:uiPriority w:val="0"/>
    <w:rPr>
      <w:rFonts w:ascii="仿宋_GB2312" w:hAnsi="Times New Roman" w:eastAsia="仿宋_GB2312"/>
      <w:b/>
      <w:kern w:val="2"/>
      <w:sz w:val="28"/>
      <w:szCs w:val="32"/>
    </w:rPr>
  </w:style>
  <w:style w:type="character" w:customStyle="1" w:styleId="75">
    <w:name w:val="标题 6 字符"/>
    <w:link w:val="7"/>
    <w:qFormat/>
    <w:uiPriority w:val="0"/>
    <w:rPr>
      <w:rFonts w:ascii="Arial" w:hAnsi="Arial" w:eastAsia="黑体"/>
      <w:b/>
      <w:kern w:val="2"/>
      <w:sz w:val="24"/>
      <w:szCs w:val="32"/>
    </w:rPr>
  </w:style>
  <w:style w:type="character" w:customStyle="1" w:styleId="76">
    <w:name w:val="标题 7 字符"/>
    <w:link w:val="8"/>
    <w:qFormat/>
    <w:uiPriority w:val="0"/>
    <w:rPr>
      <w:rFonts w:ascii="仿宋_GB2312" w:hAnsi="Times New Roman" w:eastAsia="仿宋_GB2312"/>
      <w:b/>
      <w:kern w:val="2"/>
      <w:sz w:val="24"/>
      <w:szCs w:val="32"/>
    </w:rPr>
  </w:style>
  <w:style w:type="character" w:customStyle="1" w:styleId="77">
    <w:name w:val="标题 8 字符"/>
    <w:link w:val="9"/>
    <w:qFormat/>
    <w:uiPriority w:val="0"/>
    <w:rPr>
      <w:rFonts w:ascii="Arial" w:hAnsi="Arial" w:eastAsia="黑体"/>
      <w:kern w:val="2"/>
      <w:sz w:val="24"/>
      <w:szCs w:val="32"/>
    </w:rPr>
  </w:style>
  <w:style w:type="character" w:customStyle="1" w:styleId="78">
    <w:name w:val="标题 9 字符"/>
    <w:link w:val="10"/>
    <w:qFormat/>
    <w:uiPriority w:val="0"/>
    <w:rPr>
      <w:rFonts w:ascii="Arial" w:hAnsi="Arial" w:eastAsia="黑体"/>
      <w:kern w:val="2"/>
      <w:sz w:val="21"/>
      <w:szCs w:val="32"/>
    </w:rPr>
  </w:style>
  <w:style w:type="character" w:customStyle="1" w:styleId="79">
    <w:name w:val="正文缩进 字符"/>
    <w:link w:val="13"/>
    <w:qFormat/>
    <w:uiPriority w:val="0"/>
    <w:rPr>
      <w:rFonts w:ascii="宋体"/>
      <w:sz w:val="24"/>
    </w:rPr>
  </w:style>
  <w:style w:type="character" w:customStyle="1" w:styleId="80">
    <w:name w:val="批注文字 字符"/>
    <w:link w:val="15"/>
    <w:qFormat/>
    <w:uiPriority w:val="0"/>
    <w:rPr>
      <w:rFonts w:ascii="Arial Unicode MS" w:hAnsi="Arial Unicode MS" w:eastAsia="Arial Unicode MS" w:cs="Arial Unicode MS"/>
      <w:color w:val="000000"/>
      <w:szCs w:val="21"/>
      <w:lang w:val="zh-TW" w:eastAsia="zh-TW"/>
    </w:rPr>
  </w:style>
  <w:style w:type="character" w:customStyle="1" w:styleId="81">
    <w:name w:val="正文文本 3 字符"/>
    <w:link w:val="16"/>
    <w:qFormat/>
    <w:uiPriority w:val="0"/>
    <w:rPr>
      <w:kern w:val="2"/>
      <w:sz w:val="16"/>
      <w:szCs w:val="16"/>
    </w:rPr>
  </w:style>
  <w:style w:type="character" w:customStyle="1" w:styleId="82">
    <w:name w:val="正文文本 字符1"/>
    <w:link w:val="17"/>
    <w:qFormat/>
    <w:uiPriority w:val="0"/>
    <w:rPr>
      <w:rFonts w:ascii="宋体" w:hAnsi="宋体"/>
      <w:kern w:val="2"/>
      <w:sz w:val="24"/>
      <w:szCs w:val="24"/>
    </w:rPr>
  </w:style>
  <w:style w:type="character" w:customStyle="1" w:styleId="83">
    <w:name w:val="正文文本缩进 字符"/>
    <w:link w:val="18"/>
    <w:qFormat/>
    <w:uiPriority w:val="99"/>
    <w:rPr>
      <w:kern w:val="2"/>
      <w:sz w:val="24"/>
      <w:szCs w:val="24"/>
    </w:rPr>
  </w:style>
  <w:style w:type="character" w:customStyle="1" w:styleId="84">
    <w:name w:val="纯文本 字符"/>
    <w:link w:val="23"/>
    <w:qFormat/>
    <w:uiPriority w:val="0"/>
    <w:rPr>
      <w:rFonts w:ascii="宋体" w:hAnsi="Courier New"/>
    </w:rPr>
  </w:style>
  <w:style w:type="character" w:customStyle="1" w:styleId="85">
    <w:name w:val="日期 字符"/>
    <w:link w:val="25"/>
    <w:qFormat/>
    <w:uiPriority w:val="99"/>
    <w:rPr>
      <w:rFonts w:ascii="仿宋_GB2312" w:hAnsi="宋体" w:eastAsia="仿宋_GB2312"/>
      <w:color w:val="000000"/>
      <w:kern w:val="2"/>
      <w:sz w:val="24"/>
      <w:szCs w:val="24"/>
    </w:rPr>
  </w:style>
  <w:style w:type="character" w:customStyle="1" w:styleId="86">
    <w:name w:val="正文文本缩进 2 字符"/>
    <w:link w:val="26"/>
    <w:qFormat/>
    <w:uiPriority w:val="99"/>
    <w:rPr>
      <w:rFonts w:ascii="仿宋_GB2312" w:eastAsia="仿宋_GB2312"/>
      <w:kern w:val="2"/>
      <w:sz w:val="24"/>
      <w:szCs w:val="24"/>
    </w:rPr>
  </w:style>
  <w:style w:type="character" w:customStyle="1" w:styleId="87">
    <w:name w:val="批注框文本 字符"/>
    <w:link w:val="27"/>
    <w:qFormat/>
    <w:uiPriority w:val="99"/>
    <w:rPr>
      <w:rFonts w:ascii="Arial Unicode MS" w:hAnsi="Arial Unicode MS" w:eastAsia="Arial Unicode MS" w:cs="Arial Unicode MS"/>
      <w:color w:val="000000"/>
      <w:sz w:val="18"/>
      <w:szCs w:val="18"/>
      <w:lang w:val="zh-TW" w:eastAsia="zh-TW"/>
    </w:rPr>
  </w:style>
  <w:style w:type="character" w:customStyle="1" w:styleId="88">
    <w:name w:val="页脚 字符"/>
    <w:link w:val="28"/>
    <w:qFormat/>
    <w:uiPriority w:val="99"/>
    <w:rPr>
      <w:rFonts w:ascii="宋体" w:hAnsi="宋体" w:eastAsia="宋体" w:cs="宋体"/>
      <w:color w:val="000000"/>
      <w:kern w:val="0"/>
      <w:sz w:val="18"/>
      <w:szCs w:val="18"/>
    </w:rPr>
  </w:style>
  <w:style w:type="character" w:customStyle="1" w:styleId="89">
    <w:name w:val="页眉 字符"/>
    <w:link w:val="30"/>
    <w:qFormat/>
    <w:uiPriority w:val="99"/>
    <w:rPr>
      <w:rFonts w:ascii="Arial Unicode MS" w:hAnsi="Arial Unicode MS" w:eastAsia="Arial Unicode MS" w:cs="Arial Unicode MS"/>
      <w:color w:val="000000"/>
      <w:sz w:val="18"/>
      <w:szCs w:val="18"/>
      <w:lang w:val="zh-TW" w:eastAsia="zh-TW"/>
    </w:rPr>
  </w:style>
  <w:style w:type="character" w:customStyle="1" w:styleId="90">
    <w:name w:val="脚注文本 字符"/>
    <w:link w:val="35"/>
    <w:qFormat/>
    <w:uiPriority w:val="0"/>
    <w:rPr>
      <w:kern w:val="2"/>
      <w:sz w:val="18"/>
      <w:szCs w:val="22"/>
    </w:rPr>
  </w:style>
  <w:style w:type="character" w:customStyle="1" w:styleId="91">
    <w:name w:val="正文文本缩进 3 字符"/>
    <w:link w:val="38"/>
    <w:qFormat/>
    <w:uiPriority w:val="0"/>
    <w:rPr>
      <w:rFonts w:ascii="宋体"/>
      <w:sz w:val="24"/>
    </w:rPr>
  </w:style>
  <w:style w:type="character" w:customStyle="1" w:styleId="92">
    <w:name w:val="正文文本 2 字符"/>
    <w:link w:val="42"/>
    <w:qFormat/>
    <w:uiPriority w:val="0"/>
    <w:rPr>
      <w:kern w:val="2"/>
      <w:sz w:val="21"/>
      <w:szCs w:val="24"/>
    </w:rPr>
  </w:style>
  <w:style w:type="character" w:customStyle="1" w:styleId="93">
    <w:name w:val="标题 字符"/>
    <w:link w:val="48"/>
    <w:qFormat/>
    <w:uiPriority w:val="0"/>
    <w:rPr>
      <w:rFonts w:ascii="Arial" w:hAnsi="Arial" w:eastAsia="Arial"/>
      <w:b/>
      <w:bCs/>
      <w:color w:val="000000"/>
      <w:sz w:val="32"/>
      <w:szCs w:val="32"/>
      <w:lang w:bidi="ar-SA"/>
    </w:rPr>
  </w:style>
  <w:style w:type="character" w:customStyle="1" w:styleId="94">
    <w:name w:val="批注主题 字符"/>
    <w:link w:val="49"/>
    <w:qFormat/>
    <w:uiPriority w:val="0"/>
    <w:rPr>
      <w:b/>
      <w:bCs/>
      <w:kern w:val="2"/>
      <w:sz w:val="21"/>
      <w:szCs w:val="24"/>
    </w:rPr>
  </w:style>
  <w:style w:type="character" w:customStyle="1" w:styleId="95">
    <w:name w:val="正文文本首行缩进 字符"/>
    <w:link w:val="50"/>
    <w:qFormat/>
    <w:uiPriority w:val="0"/>
    <w:rPr>
      <w:rFonts w:eastAsia="楷体_GB2312"/>
      <w:kern w:val="2"/>
      <w:sz w:val="32"/>
      <w:szCs w:val="24"/>
    </w:rPr>
  </w:style>
  <w:style w:type="character" w:customStyle="1" w:styleId="96">
    <w:name w:val="正文文本首行缩进 2 字符"/>
    <w:link w:val="51"/>
    <w:qFormat/>
    <w:uiPriority w:val="99"/>
    <w:rPr>
      <w:rFonts w:ascii="Cambria" w:hAnsi="Cambria"/>
      <w:kern w:val="2"/>
      <w:sz w:val="21"/>
      <w:szCs w:val="24"/>
    </w:rPr>
  </w:style>
  <w:style w:type="paragraph" w:customStyle="1" w:styleId="97">
    <w:name w:val="首行缩进"/>
    <w:basedOn w:val="1"/>
    <w:qFormat/>
    <w:uiPriority w:val="0"/>
    <w:pPr>
      <w:spacing w:line="360" w:lineRule="auto"/>
      <w:ind w:firstLine="480" w:firstLineChars="200"/>
      <w:jc w:val="left"/>
    </w:pPr>
    <w:rPr>
      <w:rFonts w:ascii="宋体" w:hAnsi="宋体"/>
      <w:sz w:val="24"/>
    </w:rPr>
  </w:style>
  <w:style w:type="paragraph" w:customStyle="1" w:styleId="98">
    <w:name w:val="Default"/>
    <w:next w:val="1"/>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99">
    <w:name w:val="Char Char10 Char Char Char Char"/>
    <w:basedOn w:val="1"/>
    <w:next w:val="100"/>
    <w:qFormat/>
    <w:uiPriority w:val="0"/>
    <w:rPr>
      <w:rFonts w:ascii="Calibri" w:hAnsi="Calibri"/>
      <w:kern w:val="0"/>
    </w:rPr>
  </w:style>
  <w:style w:type="paragraph" w:customStyle="1" w:styleId="100">
    <w:name w:val="xl87"/>
    <w:basedOn w:val="1"/>
    <w:next w:val="101"/>
    <w:qFormat/>
    <w:uiPriority w:val="0"/>
    <w:pPr>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01">
    <w:name w:val="xl72"/>
    <w:basedOn w:val="1"/>
    <w:next w:val="25"/>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character" w:customStyle="1" w:styleId="102">
    <w:name w:val="正文文本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03">
    <w:name w:val="正文文本缩进 2 Char1"/>
    <w:semiHidden/>
    <w:qFormat/>
    <w:uiPriority w:val="99"/>
    <w:rPr>
      <w:rFonts w:ascii="Times New Roman" w:hAnsi="Times New Roman" w:eastAsia="宋体" w:cs="Times New Roman"/>
      <w:szCs w:val="24"/>
    </w:rPr>
  </w:style>
  <w:style w:type="character" w:customStyle="1" w:styleId="104">
    <w:name w:val="正文文本缩进 3 Char1"/>
    <w:semiHidden/>
    <w:qFormat/>
    <w:uiPriority w:val="99"/>
    <w:rPr>
      <w:rFonts w:ascii="Times New Roman" w:hAnsi="Times New Roman" w:eastAsia="宋体" w:cs="Times New Roman"/>
      <w:sz w:val="16"/>
      <w:szCs w:val="16"/>
    </w:rPr>
  </w:style>
  <w:style w:type="character" w:customStyle="1" w:styleId="105">
    <w:name w:val="日期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06">
    <w:name w:val="正文文本缩进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07">
    <w:name w:val="正文缩进 Char1"/>
    <w:link w:val="108"/>
    <w:qFormat/>
    <w:uiPriority w:val="0"/>
    <w:rPr>
      <w:rFonts w:ascii="宋体"/>
      <w:sz w:val="24"/>
    </w:rPr>
  </w:style>
  <w:style w:type="paragraph" w:customStyle="1" w:styleId="108">
    <w:name w:val="正文缩进1"/>
    <w:basedOn w:val="1"/>
    <w:link w:val="107"/>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character" w:customStyle="1" w:styleId="109">
    <w:name w:val="正文首行缩进 2 Char1"/>
    <w:semiHidden/>
    <w:qFormat/>
    <w:uiPriority w:val="99"/>
    <w:rPr>
      <w:lang w:val="zh-TW" w:eastAsia="zh-TW"/>
    </w:rPr>
  </w:style>
  <w:style w:type="character" w:customStyle="1" w:styleId="110">
    <w:name w:val="*正文 Char"/>
    <w:link w:val="111"/>
    <w:qFormat/>
    <w:uiPriority w:val="0"/>
    <w:rPr>
      <w:rFonts w:ascii="宋体" w:hAnsi="宋体"/>
      <w:sz w:val="22"/>
      <w:szCs w:val="24"/>
    </w:rPr>
  </w:style>
  <w:style w:type="paragraph" w:customStyle="1" w:styleId="111">
    <w:name w:val="*正文"/>
    <w:basedOn w:val="1"/>
    <w:link w:val="110"/>
    <w:qFormat/>
    <w:uiPriority w:val="0"/>
    <w:pPr>
      <w:widowControl w:val="0"/>
      <w:spacing w:line="360" w:lineRule="auto"/>
      <w:ind w:firstLine="200" w:firstLineChars="200"/>
    </w:pPr>
    <w:rPr>
      <w:rFonts w:hint="default" w:ascii="宋体" w:hAnsi="宋体" w:eastAsia="宋体" w:cs="Times New Roman"/>
      <w:color w:val="auto"/>
      <w:kern w:val="0"/>
      <w:sz w:val="22"/>
      <w:szCs w:val="24"/>
    </w:rPr>
  </w:style>
  <w:style w:type="character" w:customStyle="1" w:styleId="112">
    <w:name w:val="日期 Char1"/>
    <w:semiHidden/>
    <w:qFormat/>
    <w:uiPriority w:val="99"/>
    <w:rPr>
      <w:rFonts w:ascii="Times New Roman" w:hAnsi="Times New Roman" w:eastAsia="宋体" w:cs="Times New Roman"/>
      <w:szCs w:val="24"/>
    </w:rPr>
  </w:style>
  <w:style w:type="character" w:customStyle="1" w:styleId="113">
    <w:name w:val="正文文本 3 Char1"/>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14">
    <w:name w:val="批注文字 Char2"/>
    <w:semiHidden/>
    <w:qFormat/>
    <w:uiPriority w:val="99"/>
    <w:rPr>
      <w:kern w:val="2"/>
      <w:sz w:val="21"/>
      <w:szCs w:val="24"/>
    </w:rPr>
  </w:style>
  <w:style w:type="character" w:customStyle="1" w:styleId="115">
    <w:name w:val="正文文本缩进 3 Char2"/>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16">
    <w:name w:val="页眉 Char2"/>
    <w:semiHidden/>
    <w:qFormat/>
    <w:uiPriority w:val="99"/>
    <w:rPr>
      <w:kern w:val="2"/>
      <w:sz w:val="18"/>
      <w:szCs w:val="18"/>
    </w:rPr>
  </w:style>
  <w:style w:type="character" w:customStyle="1" w:styleId="117">
    <w:name w:val="font61"/>
    <w:qFormat/>
    <w:uiPriority w:val="0"/>
    <w:rPr>
      <w:rFonts w:hint="eastAsia" w:ascii="宋体" w:hAnsi="宋体" w:eastAsia="宋体" w:cs="宋体"/>
      <w:color w:val="auto"/>
      <w:sz w:val="20"/>
      <w:szCs w:val="20"/>
      <w:u w:val="none"/>
    </w:rPr>
  </w:style>
  <w:style w:type="character" w:customStyle="1" w:styleId="118">
    <w:name w:val="NormalCharacter"/>
    <w:qFormat/>
    <w:uiPriority w:val="0"/>
    <w:rPr>
      <w:kern w:val="2"/>
      <w:sz w:val="21"/>
      <w:szCs w:val="24"/>
      <w:lang w:val="en-US" w:eastAsia="zh-CN" w:bidi="ar-SA"/>
    </w:rPr>
  </w:style>
  <w:style w:type="character" w:customStyle="1" w:styleId="119">
    <w:name w:val="未处理的提及1"/>
    <w:unhideWhenUsed/>
    <w:qFormat/>
    <w:uiPriority w:val="99"/>
    <w:rPr>
      <w:color w:val="605E5C"/>
      <w:shd w:val="clear" w:color="auto" w:fill="E1DFDD"/>
    </w:rPr>
  </w:style>
  <w:style w:type="character" w:customStyle="1" w:styleId="120">
    <w:name w:val="apple-converted-space"/>
    <w:qFormat/>
    <w:uiPriority w:val="0"/>
  </w:style>
  <w:style w:type="character" w:customStyle="1" w:styleId="121">
    <w:name w:val="标题 Char2"/>
    <w:qFormat/>
    <w:uiPriority w:val="10"/>
    <w:rPr>
      <w:rFonts w:ascii="Cambria" w:hAnsi="Cambria" w:cs="Times New Roman"/>
      <w:b/>
      <w:bCs/>
      <w:kern w:val="2"/>
      <w:sz w:val="32"/>
      <w:szCs w:val="32"/>
    </w:rPr>
  </w:style>
  <w:style w:type="character" w:customStyle="1" w:styleId="122">
    <w:name w:val="批注框文本 Char1"/>
    <w:semiHidden/>
    <w:qFormat/>
    <w:uiPriority w:val="99"/>
    <w:rPr>
      <w:kern w:val="2"/>
      <w:sz w:val="18"/>
      <w:szCs w:val="18"/>
    </w:rPr>
  </w:style>
  <w:style w:type="character" w:customStyle="1" w:styleId="123">
    <w:name w:val="批注主题 Char2"/>
    <w:semiHidden/>
    <w:qFormat/>
    <w:uiPriority w:val="99"/>
    <w:rPr>
      <w:rFonts w:ascii="Arial Unicode MS" w:hAnsi="Arial Unicode MS" w:eastAsia="Arial Unicode MS" w:cs="Arial Unicode MS"/>
      <w:b/>
      <w:bCs/>
      <w:color w:val="000000"/>
      <w:kern w:val="2"/>
      <w:sz w:val="21"/>
      <w:szCs w:val="21"/>
      <w:lang w:val="zh-TW" w:eastAsia="zh-TW"/>
    </w:rPr>
  </w:style>
  <w:style w:type="character" w:customStyle="1" w:styleId="124">
    <w:name w:val="标题 Char1"/>
    <w:qFormat/>
    <w:uiPriority w:val="10"/>
    <w:rPr>
      <w:rFonts w:ascii="Cambria" w:hAnsi="Cambria" w:eastAsia="宋体" w:cs="Times New Roman"/>
      <w:b/>
      <w:bCs/>
      <w:sz w:val="32"/>
      <w:szCs w:val="32"/>
    </w:rPr>
  </w:style>
  <w:style w:type="character" w:customStyle="1" w:styleId="125">
    <w:name w:val="批注框文本 Char2"/>
    <w:semiHidden/>
    <w:qFormat/>
    <w:uiPriority w:val="99"/>
    <w:rPr>
      <w:kern w:val="2"/>
      <w:sz w:val="18"/>
      <w:szCs w:val="18"/>
    </w:rPr>
  </w:style>
  <w:style w:type="character" w:customStyle="1" w:styleId="126">
    <w:name w:val="纯文本 Char"/>
    <w:qFormat/>
    <w:uiPriority w:val="0"/>
    <w:rPr>
      <w:rFonts w:ascii="宋体" w:hAnsi="Courier New" w:cs="Courier New"/>
      <w:color w:val="000000"/>
      <w:kern w:val="2"/>
      <w:sz w:val="21"/>
      <w:szCs w:val="21"/>
      <w:lang w:val="zh-TW" w:eastAsia="zh-TW"/>
    </w:rPr>
  </w:style>
  <w:style w:type="character" w:customStyle="1" w:styleId="127">
    <w:name w:val="正文文本缩进 Char1"/>
    <w:semiHidden/>
    <w:qFormat/>
    <w:uiPriority w:val="99"/>
    <w:rPr>
      <w:rFonts w:ascii="Times New Roman" w:hAnsi="Times New Roman" w:eastAsia="宋体" w:cs="Times New Roman"/>
      <w:szCs w:val="24"/>
    </w:rPr>
  </w:style>
  <w:style w:type="character" w:customStyle="1" w:styleId="128">
    <w:name w:val="dash6b63_6587__char1"/>
    <w:qFormat/>
    <w:uiPriority w:val="0"/>
    <w:rPr>
      <w:rFonts w:hint="default" w:ascii="Calibri" w:hAnsi="Calibri" w:cs="Calibri"/>
      <w:sz w:val="20"/>
      <w:szCs w:val="20"/>
    </w:rPr>
  </w:style>
  <w:style w:type="character" w:customStyle="1" w:styleId="129">
    <w:name w:val="pt91"/>
    <w:qFormat/>
    <w:uiPriority w:val="0"/>
    <w:rPr>
      <w:rFonts w:hint="default"/>
      <w:color w:val="333333"/>
      <w:sz w:val="18"/>
      <w:szCs w:val="18"/>
    </w:rPr>
  </w:style>
  <w:style w:type="character" w:customStyle="1" w:styleId="130">
    <w:name w:val="p141"/>
    <w:qFormat/>
    <w:uiPriority w:val="99"/>
    <w:rPr>
      <w:sz w:val="21"/>
      <w:szCs w:val="21"/>
    </w:rPr>
  </w:style>
  <w:style w:type="character" w:customStyle="1" w:styleId="131">
    <w:name w:val="正文文本缩进 2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32">
    <w:name w:val="fontstyle01"/>
    <w:qFormat/>
    <w:uiPriority w:val="0"/>
    <w:rPr>
      <w:rFonts w:hint="default" w:ascii="Times New Roman" w:hAnsi="Times New Roman" w:cs="Times New Roman"/>
      <w:color w:val="000000"/>
      <w:sz w:val="24"/>
      <w:szCs w:val="24"/>
    </w:rPr>
  </w:style>
  <w:style w:type="character" w:customStyle="1" w:styleId="133">
    <w:name w:val="fontstyle11"/>
    <w:qFormat/>
    <w:uiPriority w:val="0"/>
    <w:rPr>
      <w:rFonts w:hint="default" w:ascii="Times New Roman" w:hAnsi="Times New Roman" w:cs="Times New Roman"/>
      <w:color w:val="000000"/>
      <w:sz w:val="18"/>
      <w:szCs w:val="18"/>
    </w:rPr>
  </w:style>
  <w:style w:type="character" w:customStyle="1" w:styleId="134">
    <w:name w:val="批注文字 Char1"/>
    <w:semiHidden/>
    <w:qFormat/>
    <w:uiPriority w:val="99"/>
    <w:rPr>
      <w:kern w:val="2"/>
      <w:sz w:val="21"/>
      <w:szCs w:val="24"/>
    </w:rPr>
  </w:style>
  <w:style w:type="character" w:customStyle="1" w:styleId="135">
    <w:name w:val="正文文本 2 Char1"/>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36">
    <w:name w:val="fontstyle21"/>
    <w:qFormat/>
    <w:uiPriority w:val="0"/>
    <w:rPr>
      <w:rFonts w:hint="eastAsia" w:ascii="宋体" w:hAnsi="宋体" w:eastAsia="宋体"/>
      <w:color w:val="000000"/>
      <w:sz w:val="24"/>
      <w:szCs w:val="24"/>
    </w:rPr>
  </w:style>
  <w:style w:type="character" w:customStyle="1" w:styleId="137">
    <w:name w:val="页脚 Char1"/>
    <w:semiHidden/>
    <w:qFormat/>
    <w:uiPriority w:val="99"/>
    <w:rPr>
      <w:kern w:val="2"/>
      <w:sz w:val="18"/>
      <w:szCs w:val="18"/>
    </w:rPr>
  </w:style>
  <w:style w:type="character" w:customStyle="1" w:styleId="138">
    <w:name w:val="wen11"/>
    <w:qFormat/>
    <w:uiPriority w:val="0"/>
    <w:rPr>
      <w:color w:val="000000"/>
      <w:sz w:val="21"/>
      <w:szCs w:val="21"/>
    </w:rPr>
  </w:style>
  <w:style w:type="character" w:customStyle="1" w:styleId="139">
    <w:name w:val="正文首行缩进 Char1"/>
    <w:semiHidden/>
    <w:qFormat/>
    <w:uiPriority w:val="99"/>
    <w:rPr>
      <w:lang w:val="zh-TW" w:eastAsia="zh-TW"/>
    </w:rPr>
  </w:style>
  <w:style w:type="character" w:customStyle="1" w:styleId="140">
    <w:name w:val="脚注文本 Char1"/>
    <w:semiHidden/>
    <w:qFormat/>
    <w:uiPriority w:val="99"/>
    <w:rPr>
      <w:rFonts w:ascii="Times New Roman" w:hAnsi="Times New Roman" w:eastAsia="宋体" w:cs="Times New Roman"/>
      <w:sz w:val="18"/>
      <w:szCs w:val="18"/>
    </w:rPr>
  </w:style>
  <w:style w:type="character" w:customStyle="1" w:styleId="141">
    <w:name w:val="unnamed11"/>
    <w:qFormat/>
    <w:uiPriority w:val="0"/>
    <w:rPr>
      <w:rFonts w:hint="default" w:ascii="Arial" w:hAnsi="Arial" w:cs="Arial"/>
      <w:color w:val="000000"/>
      <w:sz w:val="18"/>
      <w:szCs w:val="18"/>
      <w:u w:val="none"/>
    </w:rPr>
  </w:style>
  <w:style w:type="character" w:customStyle="1" w:styleId="142">
    <w:name w:val="正文文本 字符"/>
    <w:qFormat/>
    <w:uiPriority w:val="0"/>
    <w:rPr>
      <w:rFonts w:ascii="宋体" w:hAnsi="宋体"/>
      <w:kern w:val="2"/>
      <w:sz w:val="24"/>
      <w:szCs w:val="24"/>
    </w:rPr>
  </w:style>
  <w:style w:type="character" w:customStyle="1" w:styleId="143">
    <w:name w:val="脚注文本 Char2"/>
    <w:semiHidden/>
    <w:qFormat/>
    <w:uiPriority w:val="99"/>
    <w:rPr>
      <w:rFonts w:ascii="Arial Unicode MS" w:hAnsi="Arial Unicode MS" w:eastAsia="Arial Unicode MS" w:cs="Arial Unicode MS"/>
      <w:color w:val="000000"/>
      <w:kern w:val="2"/>
      <w:sz w:val="18"/>
      <w:szCs w:val="18"/>
      <w:lang w:val="zh-TW" w:eastAsia="zh-TW"/>
    </w:rPr>
  </w:style>
  <w:style w:type="character" w:customStyle="1" w:styleId="144">
    <w:name w:val="纯文本 Char2"/>
    <w:semiHidden/>
    <w:qFormat/>
    <w:uiPriority w:val="99"/>
    <w:rPr>
      <w:rFonts w:ascii="宋体" w:hAnsi="Courier New" w:eastAsia="宋体" w:cs="Courier New"/>
      <w:szCs w:val="21"/>
    </w:rPr>
  </w:style>
  <w:style w:type="character" w:customStyle="1" w:styleId="145">
    <w:name w:val="正文文本 Char1"/>
    <w:semiHidden/>
    <w:qFormat/>
    <w:uiPriority w:val="99"/>
    <w:rPr>
      <w:rFonts w:ascii="Times New Roman" w:hAnsi="Times New Roman" w:eastAsia="宋体" w:cs="Times New Roman"/>
      <w:szCs w:val="24"/>
    </w:rPr>
  </w:style>
  <w:style w:type="character" w:customStyle="1" w:styleId="146">
    <w:name w:val="页眉 Char1"/>
    <w:semiHidden/>
    <w:qFormat/>
    <w:uiPriority w:val="99"/>
    <w:rPr>
      <w:kern w:val="2"/>
      <w:sz w:val="18"/>
      <w:szCs w:val="18"/>
    </w:rPr>
  </w:style>
  <w:style w:type="character" w:customStyle="1" w:styleId="147">
    <w:name w:val="Char Char2"/>
    <w:qFormat/>
    <w:uiPriority w:val="0"/>
    <w:rPr>
      <w:rFonts w:ascii="宋体" w:hAnsi="Courier New" w:eastAsia="宋体" w:cs="Courier New"/>
      <w:kern w:val="2"/>
      <w:sz w:val="21"/>
      <w:szCs w:val="21"/>
      <w:lang w:val="en-US" w:eastAsia="zh-CN" w:bidi="ar-SA"/>
    </w:rPr>
  </w:style>
  <w:style w:type="character" w:customStyle="1" w:styleId="148">
    <w:name w:val="批注主题 Char1"/>
    <w:semiHidden/>
    <w:qFormat/>
    <w:uiPriority w:val="99"/>
    <w:rPr>
      <w:b/>
      <w:bCs/>
      <w:kern w:val="2"/>
      <w:sz w:val="21"/>
      <w:szCs w:val="24"/>
    </w:rPr>
  </w:style>
  <w:style w:type="character" w:customStyle="1" w:styleId="149">
    <w:name w:val="p12h15"/>
    <w:qFormat/>
    <w:uiPriority w:val="0"/>
  </w:style>
  <w:style w:type="character" w:customStyle="1" w:styleId="150">
    <w:name w:val="纯文本 Char3"/>
    <w:semiHidden/>
    <w:qFormat/>
    <w:uiPriority w:val="99"/>
    <w:rPr>
      <w:rFonts w:ascii="宋体" w:hAnsi="Courier New" w:cs="Courier New"/>
      <w:kern w:val="2"/>
      <w:sz w:val="21"/>
      <w:szCs w:val="21"/>
    </w:rPr>
  </w:style>
  <w:style w:type="paragraph" w:customStyle="1" w:styleId="151">
    <w:name w:val="Body text|1"/>
    <w:basedOn w:val="1"/>
    <w:qFormat/>
    <w:uiPriority w:val="99"/>
    <w:pPr>
      <w:spacing w:line="394" w:lineRule="auto"/>
      <w:ind w:firstLine="400"/>
      <w:jc w:val="left"/>
    </w:pPr>
    <w:rPr>
      <w:rFonts w:ascii="宋体" w:hAnsi="宋体" w:cs="宋体"/>
      <w:kern w:val="0"/>
      <w:sz w:val="30"/>
      <w:szCs w:val="30"/>
    </w:rPr>
  </w:style>
  <w:style w:type="paragraph" w:customStyle="1" w:styleId="152">
    <w:name w:val="无间隔1"/>
    <w:basedOn w:val="1"/>
    <w:qFormat/>
    <w:uiPriority w:val="1"/>
    <w:pPr>
      <w:spacing w:line="400" w:lineRule="exact"/>
    </w:pPr>
    <w:rPr>
      <w:sz w:val="24"/>
    </w:rPr>
  </w:style>
  <w:style w:type="paragraph" w:customStyle="1" w:styleId="153">
    <w:name w:val="UserStyle_92"/>
    <w:qFormat/>
    <w:uiPriority w:val="0"/>
    <w:pPr>
      <w:spacing w:line="360" w:lineRule="auto"/>
      <w:ind w:firstLine="200"/>
      <w:jc w:val="both"/>
    </w:pPr>
    <w:rPr>
      <w:rFonts w:ascii="宋体" w:hAnsi="宋体" w:eastAsia="宋体" w:cs="宋体"/>
      <w:color w:val="000000"/>
      <w:sz w:val="22"/>
      <w:szCs w:val="22"/>
      <w:lang w:val="en-US" w:eastAsia="zh-CN" w:bidi="ar-SA"/>
    </w:rPr>
  </w:style>
  <w:style w:type="paragraph" w:customStyle="1" w:styleId="154">
    <w:name w:val="179"/>
    <w:qFormat/>
    <w:uiPriority w:val="0"/>
    <w:pPr>
      <w:ind w:firstLine="420"/>
    </w:pPr>
    <w:rPr>
      <w:rFonts w:hint="eastAsia" w:ascii="Arial Unicode MS" w:hAnsi="Arial Unicode MS" w:eastAsia="Arial Unicode MS" w:cs="Arial Unicode MS"/>
      <w:color w:val="000000"/>
      <w:sz w:val="24"/>
      <w:szCs w:val="24"/>
      <w:lang w:val="en-US" w:eastAsia="zh-CN" w:bidi="ar-SA"/>
    </w:rPr>
  </w:style>
  <w:style w:type="paragraph" w:customStyle="1" w:styleId="155">
    <w:name w:val="List Paragraph1"/>
    <w:basedOn w:val="1"/>
    <w:qFormat/>
    <w:uiPriority w:val="1"/>
    <w:pPr>
      <w:widowControl w:val="0"/>
      <w:ind w:firstLine="420" w:firstLineChars="200"/>
    </w:pPr>
    <w:rPr>
      <w:rFonts w:hint="default" w:ascii="Calibri" w:hAnsi="Calibri" w:eastAsia="宋体" w:cs="Times New Roman"/>
      <w:color w:val="auto"/>
      <w:lang w:val="en-US" w:eastAsia="zh-CN"/>
    </w:rPr>
  </w:style>
  <w:style w:type="paragraph" w:customStyle="1" w:styleId="156">
    <w:name w:val="xl39"/>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57">
    <w:name w:val="不缩进"/>
    <w:basedOn w:val="1"/>
    <w:qFormat/>
    <w:uiPriority w:val="0"/>
    <w:pPr>
      <w:widowControl w:val="0"/>
      <w:jc w:val="center"/>
    </w:pPr>
    <w:rPr>
      <w:rFonts w:hint="default" w:ascii="仿宋_GB2312" w:hAnsi="宋体" w:eastAsia="仿宋_GB2312" w:cs="Times New Roman"/>
      <w:color w:val="auto"/>
      <w:szCs w:val="24"/>
      <w:lang w:val="en-US" w:eastAsia="zh-CN"/>
    </w:rPr>
  </w:style>
  <w:style w:type="paragraph" w:customStyle="1" w:styleId="158">
    <w:name w:val="xl48"/>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59">
    <w:name w:val="xl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6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61">
    <w:name w:val="xl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18"/>
      <w:szCs w:val="18"/>
      <w:lang w:val="en-US" w:eastAsia="zh-CN"/>
    </w:rPr>
  </w:style>
  <w:style w:type="paragraph" w:customStyle="1" w:styleId="162">
    <w:name w:val="xl43"/>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63">
    <w:name w:val="Heading4"/>
    <w:next w:val="1"/>
    <w:qFormat/>
    <w:uiPriority w:val="0"/>
    <w:pPr>
      <w:keepNext/>
      <w:keepLines/>
      <w:spacing w:before="280" w:after="290" w:line="372" w:lineRule="auto"/>
      <w:jc w:val="both"/>
    </w:pPr>
    <w:rPr>
      <w:rFonts w:ascii="Arial" w:hAnsi="Arial" w:eastAsia="Arial Unicode MS" w:cs="Arial Unicode MS"/>
      <w:b/>
      <w:bCs/>
      <w:color w:val="000000"/>
      <w:kern w:val="2"/>
      <w:sz w:val="28"/>
      <w:szCs w:val="28"/>
      <w:lang w:val="en-US" w:eastAsia="zh-CN" w:bidi="ar-SA"/>
    </w:rPr>
  </w:style>
  <w:style w:type="paragraph" w:customStyle="1" w:styleId="164">
    <w:name w:val="TOC1"/>
    <w:next w:val="1"/>
    <w:qFormat/>
    <w:uiPriority w:val="0"/>
    <w:pPr>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65">
    <w:name w:val="小标题 3"/>
    <w:next w:val="166"/>
    <w:qFormat/>
    <w:uiPriority w:val="0"/>
    <w:pPr>
      <w:keepNext/>
      <w:keepLines/>
      <w:spacing w:before="360" w:after="120"/>
    </w:pPr>
    <w:rPr>
      <w:rFonts w:ascii="宋体" w:hAnsi="宋体" w:eastAsia="宋体" w:cs="宋体"/>
      <w:b/>
      <w:bCs/>
      <w:color w:val="000000"/>
      <w:sz w:val="24"/>
      <w:szCs w:val="24"/>
      <w:u w:val="single" w:color="000000"/>
      <w:lang w:val="en-US" w:eastAsia="zh-CN" w:bidi="ar-SA"/>
    </w:rPr>
  </w:style>
  <w:style w:type="paragraph" w:customStyle="1" w:styleId="166">
    <w:name w:val="NormalIndent"/>
    <w:qFormat/>
    <w:uiPriority w:val="0"/>
    <w:pPr>
      <w:spacing w:line="360" w:lineRule="auto"/>
      <w:ind w:firstLine="480"/>
    </w:pPr>
    <w:rPr>
      <w:rFonts w:hint="eastAsia" w:ascii="Arial Unicode MS" w:hAnsi="Arial Unicode MS" w:eastAsia="Arial Unicode MS" w:cs="Arial Unicode MS"/>
      <w:color w:val="000000"/>
      <w:kern w:val="2"/>
      <w:sz w:val="24"/>
      <w:szCs w:val="24"/>
      <w:shd w:val="clear" w:color="auto" w:fill="00FF00"/>
      <w:lang w:val="zh-TW" w:eastAsia="zh-TW" w:bidi="ar-SA"/>
    </w:rPr>
  </w:style>
  <w:style w:type="paragraph" w:customStyle="1" w:styleId="167">
    <w:name w:val="无间隔2"/>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68">
    <w:name w:val="TOC3"/>
    <w:next w:val="1"/>
    <w:qFormat/>
    <w:uiPriority w:val="0"/>
    <w:pPr>
      <w:tabs>
        <w:tab w:val="left" w:pos="1260"/>
        <w:tab w:val="right" w:leader="dot" w:pos="8630"/>
      </w:tabs>
      <w:ind w:left="840"/>
      <w:jc w:val="both"/>
    </w:pPr>
    <w:rPr>
      <w:rFonts w:ascii="Times New Roman" w:hAnsi="Times New Roman" w:eastAsia="Arial Unicode MS" w:cs="Arial Unicode MS"/>
      <w:color w:val="000000"/>
      <w:kern w:val="2"/>
      <w:sz w:val="21"/>
      <w:szCs w:val="21"/>
      <w:lang w:val="en-US" w:eastAsia="zh-CN" w:bidi="ar-SA"/>
    </w:rPr>
  </w:style>
  <w:style w:type="paragraph" w:customStyle="1" w:styleId="169">
    <w:name w:val="xl33"/>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70">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71">
    <w:name w:val="默认"/>
    <w:qFormat/>
    <w:uiPriority w:val="0"/>
    <w:pPr>
      <w:spacing w:before="160"/>
    </w:pPr>
    <w:rPr>
      <w:rFonts w:ascii="Helvetica Neue" w:hAnsi="Helvetica Neue" w:eastAsia="Helvetica Neue" w:cs="Helvetica Neue"/>
      <w:color w:val="000000"/>
      <w:sz w:val="24"/>
      <w:szCs w:val="24"/>
      <w:lang w:val="en-US" w:eastAsia="zh-CN" w:bidi="ar-SA"/>
    </w:rPr>
  </w:style>
  <w:style w:type="paragraph" w:customStyle="1" w:styleId="172">
    <w:name w:val="Table Paragraph"/>
    <w:basedOn w:val="1"/>
    <w:qFormat/>
    <w:uiPriority w:val="0"/>
    <w:pPr>
      <w:widowControl w:val="0"/>
      <w:jc w:val="left"/>
    </w:pPr>
    <w:rPr>
      <w:rFonts w:hint="default" w:ascii="Calibri" w:hAnsi="Calibri" w:eastAsia="宋体" w:cs="Times New Roman"/>
      <w:color w:val="auto"/>
      <w:kern w:val="0"/>
      <w:sz w:val="22"/>
      <w:szCs w:val="22"/>
      <w:lang w:val="en-US" w:eastAsia="en-US"/>
    </w:rPr>
  </w:style>
  <w:style w:type="paragraph" w:customStyle="1" w:styleId="173">
    <w:name w:val="font7"/>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74">
    <w:name w:val="xl45"/>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75">
    <w:name w:val="索引 11"/>
    <w:basedOn w:val="1"/>
    <w:next w:val="1"/>
    <w:qFormat/>
    <w:uiPriority w:val="0"/>
    <w:pPr>
      <w:widowControl w:val="0"/>
      <w:spacing w:line="360" w:lineRule="auto"/>
    </w:pPr>
    <w:rPr>
      <w:rFonts w:hint="default" w:ascii="仿宋_GB2312" w:hAnsi="Times New Roman" w:eastAsia="仿宋_GB2312" w:cs="Times New Roman"/>
      <w:color w:val="auto"/>
      <w:sz w:val="24"/>
      <w:szCs w:val="20"/>
      <w:lang w:val="en-US" w:eastAsia="zh-CN"/>
    </w:rPr>
  </w:style>
  <w:style w:type="paragraph" w:customStyle="1" w:styleId="176">
    <w:name w:val="xl36"/>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177">
    <w:name w:val="xl49"/>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78">
    <w:name w:val="_Style 160"/>
    <w:basedOn w:val="2"/>
    <w:next w:val="1"/>
    <w:qFormat/>
    <w:uiPriority w:val="39"/>
    <w:pPr>
      <w:spacing w:before="480" w:after="0" w:line="276" w:lineRule="auto"/>
      <w:jc w:val="left"/>
      <w:outlineLvl w:val="9"/>
    </w:pPr>
    <w:rPr>
      <w:rFonts w:ascii="Cambria" w:hAnsi="Cambria" w:eastAsia="宋体"/>
      <w:color w:val="365F91"/>
      <w:kern w:val="0"/>
      <w:sz w:val="28"/>
      <w:szCs w:val="28"/>
      <w:lang w:val="en-US" w:eastAsia="zh-CN"/>
    </w:rPr>
  </w:style>
  <w:style w:type="paragraph" w:customStyle="1" w:styleId="179">
    <w:name w:val="xl26"/>
    <w:basedOn w:val="1"/>
    <w:qFormat/>
    <w:uiPriority w:val="0"/>
    <w:pPr>
      <w:spacing w:before="100" w:beforeAutospacing="1" w:after="100" w:afterAutospacing="1"/>
      <w:jc w:val="left"/>
    </w:pPr>
    <w:rPr>
      <w:rFonts w:ascii="仿宋_GB2312" w:hAnsi="宋体" w:eastAsia="仿宋_GB2312" w:cs="Times New Roman"/>
      <w:color w:val="auto"/>
      <w:kern w:val="0"/>
      <w:sz w:val="32"/>
      <w:szCs w:val="32"/>
      <w:lang w:val="en-US" w:eastAsia="zh-CN"/>
    </w:rPr>
  </w:style>
  <w:style w:type="paragraph" w:customStyle="1" w:styleId="180">
    <w:name w:val="正文_5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1">
    <w:name w:val="小标题"/>
    <w:next w:val="1"/>
    <w:qFormat/>
    <w:uiPriority w:val="0"/>
    <w:pPr>
      <w:keepNext/>
      <w:keepLines/>
      <w:spacing w:before="240" w:after="120" w:line="300" w:lineRule="auto"/>
      <w:jc w:val="center"/>
    </w:pPr>
    <w:rPr>
      <w:rFonts w:ascii="宋体" w:hAnsi="宋体" w:eastAsia="宋体" w:cs="宋体"/>
      <w:b/>
      <w:bCs/>
      <w:color w:val="000000"/>
      <w:kern w:val="44"/>
      <w:sz w:val="32"/>
      <w:szCs w:val="32"/>
      <w:lang w:val="zh-TW" w:eastAsia="zh-TW" w:bidi="ar-SA"/>
    </w:rPr>
  </w:style>
  <w:style w:type="paragraph" w:customStyle="1" w:styleId="182">
    <w:name w:val="font5"/>
    <w:basedOn w:val="1"/>
    <w:qFormat/>
    <w:uiPriority w:val="0"/>
    <w:pPr>
      <w:spacing w:before="100" w:beforeAutospacing="1" w:after="100" w:afterAutospacing="1"/>
      <w:jc w:val="left"/>
    </w:pPr>
    <w:rPr>
      <w:rFonts w:ascii="宋体" w:hAnsi="宋体" w:eastAsia="宋体" w:cs="Times New Roman"/>
      <w:color w:val="auto"/>
      <w:kern w:val="0"/>
      <w:sz w:val="18"/>
      <w:szCs w:val="18"/>
      <w:lang w:val="en-US" w:eastAsia="zh-CN"/>
    </w:rPr>
  </w:style>
  <w:style w:type="paragraph" w:customStyle="1" w:styleId="183">
    <w:name w:val="UserStyle_112"/>
    <w:qFormat/>
    <w:uiPriority w:val="0"/>
    <w:pPr>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84">
    <w:name w:val="页眉与页脚"/>
    <w:qFormat/>
    <w:uiPriority w:val="0"/>
    <w:pPr>
      <w:tabs>
        <w:tab w:val="right" w:pos="9020"/>
      </w:tabs>
    </w:pPr>
    <w:rPr>
      <w:rFonts w:ascii="Helvetica Neue" w:hAnsi="Helvetica Neue" w:eastAsia="Arial Unicode MS" w:cs="Arial Unicode MS"/>
      <w:color w:val="000000"/>
      <w:sz w:val="24"/>
      <w:szCs w:val="24"/>
      <w:lang w:val="en-US" w:eastAsia="zh-CN" w:bidi="ar-SA"/>
    </w:rPr>
  </w:style>
  <w:style w:type="paragraph" w:customStyle="1" w:styleId="185">
    <w:name w:val="UserStyle_140"/>
    <w:qFormat/>
    <w:uiPriority w:val="0"/>
    <w:rPr>
      <w:rFonts w:hint="eastAsia" w:ascii="Arial Unicode MS" w:hAnsi="Arial Unicode MS" w:eastAsia="Arial Unicode MS" w:cs="Arial Unicode MS"/>
      <w:color w:val="000000"/>
      <w:sz w:val="22"/>
      <w:szCs w:val="22"/>
      <w:lang w:val="en-US" w:eastAsia="zh-CN" w:bidi="ar-SA"/>
    </w:rPr>
  </w:style>
  <w:style w:type="paragraph" w:customStyle="1" w:styleId="186">
    <w:name w:val="正文_6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7">
    <w:name w:val="Blockquote"/>
    <w:basedOn w:val="1"/>
    <w:qFormat/>
    <w:uiPriority w:val="0"/>
    <w:pPr>
      <w:widowControl w:val="0"/>
      <w:autoSpaceDE w:val="0"/>
      <w:autoSpaceDN w:val="0"/>
      <w:adjustRightInd w:val="0"/>
      <w:spacing w:before="100" w:after="100"/>
      <w:ind w:left="360" w:right="360"/>
      <w:jc w:val="left"/>
    </w:pPr>
    <w:rPr>
      <w:rFonts w:hint="default" w:ascii="Times New Roman" w:hAnsi="Times New Roman" w:eastAsia="宋体" w:cs="Times New Roman"/>
      <w:color w:val="auto"/>
      <w:kern w:val="0"/>
      <w:sz w:val="24"/>
      <w:szCs w:val="20"/>
      <w:lang w:val="en-US" w:eastAsia="zh-CN"/>
    </w:rPr>
  </w:style>
  <w:style w:type="paragraph" w:customStyle="1" w:styleId="188">
    <w:name w:val="No Spacing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89">
    <w:name w:val="列出段落1"/>
    <w:basedOn w:val="1"/>
    <w:qFormat/>
    <w:uiPriority w:val="34"/>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190">
    <w:name w:val="_Style 1"/>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191">
    <w:name w:val="xl32"/>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92">
    <w:name w:val="列出段落111"/>
    <w:basedOn w:val="1"/>
    <w:qFormat/>
    <w:uiPriority w:val="34"/>
    <w:pPr>
      <w:widowControl w:val="0"/>
      <w:ind w:firstLine="420" w:firstLineChars="200"/>
    </w:pPr>
    <w:rPr>
      <w:rFonts w:hint="default" w:ascii="Calibri" w:hAnsi="Calibri" w:eastAsia="宋体" w:cs="Times New Roman"/>
      <w:color w:val="auto"/>
      <w:szCs w:val="22"/>
      <w:lang w:val="en-US" w:eastAsia="zh-CN"/>
    </w:rPr>
  </w:style>
  <w:style w:type="paragraph" w:customStyle="1" w:styleId="193">
    <w:name w:val="xl29"/>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94">
    <w:name w:val="xl46"/>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95">
    <w:name w:val="xl31"/>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96">
    <w:name w:val="BodyText"/>
    <w:qFormat/>
    <w:uiPriority w:val="0"/>
    <w:pPr>
      <w:tabs>
        <w:tab w:val="left" w:pos="567"/>
      </w:tabs>
      <w:spacing w:before="120" w:line="240" w:lineRule="atLeast"/>
      <w:jc w:val="both"/>
    </w:pPr>
    <w:rPr>
      <w:rFonts w:ascii="宋体" w:hAnsi="宋体" w:eastAsia="宋体" w:cs="宋体"/>
      <w:color w:val="000000"/>
      <w:kern w:val="2"/>
      <w:sz w:val="24"/>
      <w:szCs w:val="24"/>
      <w:lang w:val="en-US" w:eastAsia="zh-CN" w:bidi="ar-SA"/>
    </w:rPr>
  </w:style>
  <w:style w:type="paragraph" w:customStyle="1" w:styleId="197">
    <w:name w:val="PlainText"/>
    <w:qFormat/>
    <w:uiPriority w:val="0"/>
    <w:pPr>
      <w:jc w:val="both"/>
    </w:pPr>
    <w:rPr>
      <w:rFonts w:ascii="宋体" w:hAnsi="宋体" w:eastAsia="宋体" w:cs="宋体"/>
      <w:color w:val="000000"/>
      <w:kern w:val="2"/>
      <w:sz w:val="21"/>
      <w:szCs w:val="21"/>
      <w:lang w:val="en-US" w:eastAsia="zh-CN" w:bidi="ar-SA"/>
    </w:rPr>
  </w:style>
  <w:style w:type="paragraph" w:customStyle="1" w:styleId="198">
    <w:name w:val="xl35"/>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199">
    <w:name w:val="xl40"/>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00">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1">
    <w:name w:val="xl2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2">
    <w:name w:val="样式 目录 2 + 左侧:  2 字符"/>
    <w:basedOn w:val="40"/>
    <w:qFormat/>
    <w:uiPriority w:val="0"/>
    <w:pPr>
      <w:widowControl w:val="0"/>
      <w:spacing w:after="0" w:line="440" w:lineRule="exact"/>
      <w:ind w:left="200" w:leftChars="200"/>
      <w:jc w:val="both"/>
    </w:pPr>
    <w:rPr>
      <w:rFonts w:ascii="Times New Roman" w:hAnsi="Times New Roman" w:cs="宋体"/>
      <w:kern w:val="2"/>
      <w:sz w:val="24"/>
      <w:szCs w:val="20"/>
    </w:rPr>
  </w:style>
  <w:style w:type="paragraph" w:customStyle="1" w:styleId="203">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4">
    <w:name w:val="UserStyle_161"/>
    <w:qFormat/>
    <w:uiPriority w:val="0"/>
    <w:pPr>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05">
    <w:name w:val="Char1 Char Char Char Char Char Char"/>
    <w:basedOn w:val="1"/>
    <w:qFormat/>
    <w:uiPriority w:val="0"/>
    <w:pPr>
      <w:widowControl w:val="0"/>
    </w:pPr>
    <w:rPr>
      <w:rFonts w:hint="default" w:ascii="Tahoma" w:hAnsi="Tahoma" w:eastAsia="宋体" w:cs="Times New Roman"/>
      <w:color w:val="auto"/>
      <w:sz w:val="24"/>
      <w:szCs w:val="20"/>
      <w:lang w:val="en-US" w:eastAsia="zh-CN"/>
    </w:rPr>
  </w:style>
  <w:style w:type="paragraph" w:customStyle="1" w:styleId="206">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7">
    <w:name w:val="font6"/>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208">
    <w:name w:val="_Style 2"/>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09">
    <w:name w:val="Char"/>
    <w:basedOn w:val="1"/>
    <w:qFormat/>
    <w:uiPriority w:val="0"/>
    <w:pPr>
      <w:widowControl w:val="0"/>
      <w:tabs>
        <w:tab w:val="left" w:pos="360"/>
      </w:tabs>
    </w:pPr>
    <w:rPr>
      <w:rFonts w:hint="default" w:ascii="Times New Roman" w:hAnsi="Times New Roman" w:eastAsia="宋体" w:cs="Times New Roman"/>
      <w:color w:val="auto"/>
      <w:sz w:val="24"/>
      <w:szCs w:val="24"/>
      <w:lang w:val="en-US" w:eastAsia="zh-CN"/>
    </w:rPr>
  </w:style>
  <w:style w:type="paragraph" w:customStyle="1" w:styleId="210">
    <w:name w:val="xl25"/>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211">
    <w:name w:val="列出段落11"/>
    <w:basedOn w:val="1"/>
    <w:qFormat/>
    <w:uiPriority w:val="0"/>
    <w:pPr>
      <w:ind w:firstLine="420" w:firstLineChars="200"/>
      <w:jc w:val="left"/>
    </w:pPr>
    <w:rPr>
      <w:rFonts w:hint="default" w:ascii="仿宋_GB2312" w:hAnsi="Times New Roman" w:eastAsia="仿宋_GB2312" w:cs="Times New Roman"/>
      <w:color w:val="auto"/>
      <w:kern w:val="0"/>
      <w:sz w:val="24"/>
      <w:szCs w:val="32"/>
      <w:lang w:val="en-US" w:eastAsia="zh-CN"/>
    </w:rPr>
  </w:style>
  <w:style w:type="paragraph" w:customStyle="1" w:styleId="212">
    <w:name w:val="xl44"/>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13">
    <w:name w:val="_Style 0"/>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14">
    <w:name w:val="xl3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15">
    <w:name w:val="TOC2"/>
    <w:next w:val="1"/>
    <w:qFormat/>
    <w:uiPriority w:val="0"/>
    <w:pPr>
      <w:ind w:left="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16">
    <w:name w:val="xl50"/>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17">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218">
    <w:name w:val="xl30"/>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19">
    <w:name w:val="TOC4"/>
    <w:next w:val="1"/>
    <w:qFormat/>
    <w:uiPriority w:val="0"/>
    <w:pPr>
      <w:ind w:left="1260"/>
      <w:jc w:val="both"/>
    </w:pPr>
    <w:rPr>
      <w:rFonts w:ascii="Times New Roman" w:hAnsi="Times New Roman" w:eastAsia="Arial Unicode MS" w:cs="Arial Unicode MS"/>
      <w:color w:val="000000"/>
      <w:kern w:val="2"/>
      <w:sz w:val="21"/>
      <w:szCs w:val="21"/>
      <w:lang w:val="en-US" w:eastAsia="zh-CN" w:bidi="ar-SA"/>
    </w:rPr>
  </w:style>
  <w:style w:type="paragraph" w:customStyle="1" w:styleId="220">
    <w:name w:val="font8"/>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221">
    <w:name w:val="默认段落字体 Para 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222">
    <w:name w:val="xl34"/>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23">
    <w:name w:val="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224">
    <w:name w:val="shsj2em2"/>
    <w:basedOn w:val="1"/>
    <w:qFormat/>
    <w:uiPriority w:val="0"/>
    <w:pPr>
      <w:spacing w:line="600" w:lineRule="atLeast"/>
      <w:ind w:firstLine="480"/>
      <w:jc w:val="left"/>
    </w:pPr>
    <w:rPr>
      <w:rFonts w:hint="default" w:ascii="微软雅黑" w:hAnsi="微软雅黑" w:eastAsia="微软雅黑" w:cs="宋体"/>
      <w:kern w:val="0"/>
      <w:lang w:val="en-US" w:eastAsia="zh-CN"/>
    </w:rPr>
  </w:style>
  <w:style w:type="paragraph" w:customStyle="1" w:styleId="225">
    <w:name w:val="xl51"/>
    <w:basedOn w:val="1"/>
    <w:qFormat/>
    <w:uiPriority w:val="0"/>
    <w:pPr>
      <w:pBdr>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26">
    <w:name w:val="正文_0"/>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227">
    <w:name w:val="xl42"/>
    <w:basedOn w:val="1"/>
    <w:qFormat/>
    <w:uiPriority w:val="0"/>
    <w:pP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28">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customStyle="1" w:styleId="229">
    <w:name w:val="列出段落2"/>
    <w:basedOn w:val="1"/>
    <w:qFormat/>
    <w:uiPriority w:val="0"/>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230">
    <w:name w:val="xl47"/>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31">
    <w:name w:val="样式 宋体 五号 行距: 单倍行距"/>
    <w:basedOn w:val="1"/>
    <w:qFormat/>
    <w:uiPriority w:val="0"/>
    <w:pPr>
      <w:widowControl w:val="0"/>
    </w:pPr>
    <w:rPr>
      <w:rFonts w:hint="default" w:ascii="宋体" w:hAnsi="宋体" w:eastAsia="仿宋_GB2312" w:cs="Times New Roman"/>
      <w:color w:val="auto"/>
      <w:szCs w:val="32"/>
      <w:lang w:val="en-US" w:eastAsia="zh-CN"/>
    </w:rPr>
  </w:style>
  <w:style w:type="paragraph" w:customStyle="1" w:styleId="232">
    <w:name w:val="xl24"/>
    <w:basedOn w:val="1"/>
    <w:qFormat/>
    <w:uiPriority w:val="0"/>
    <w:pPr>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233">
    <w:name w:val="Preformatted"/>
    <w:basedOn w:val="1"/>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hint="default" w:ascii="Courier New" w:hAnsi="Courier New" w:eastAsia="宋体" w:cs="Times New Roman"/>
      <w:color w:val="auto"/>
      <w:kern w:val="0"/>
      <w:sz w:val="20"/>
      <w:szCs w:val="20"/>
      <w:lang w:val="en-US" w:eastAsia="zh-CN"/>
    </w:rPr>
  </w:style>
  <w:style w:type="paragraph" w:customStyle="1" w:styleId="234">
    <w:name w:val="_Style 13"/>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235">
    <w:name w:val="纯文本1"/>
    <w:basedOn w:val="1"/>
    <w:qFormat/>
    <w:uiPriority w:val="0"/>
    <w:pPr>
      <w:widowControl w:val="0"/>
    </w:pPr>
    <w:rPr>
      <w:rFonts w:hint="default" w:ascii="宋体" w:hAnsi="Courier New" w:eastAsia="宋体" w:cs="Times New Roman"/>
      <w:color w:val="auto"/>
      <w:kern w:val="0"/>
      <w:sz w:val="20"/>
      <w:szCs w:val="20"/>
      <w:lang w:val="en-US" w:eastAsia="zh-CN"/>
    </w:rPr>
  </w:style>
  <w:style w:type="paragraph" w:customStyle="1" w:styleId="236">
    <w:name w:val="小标题 2"/>
    <w:next w:val="166"/>
    <w:qFormat/>
    <w:uiPriority w:val="0"/>
    <w:pPr>
      <w:keepNext/>
      <w:keepLines/>
      <w:spacing w:before="120" w:line="300" w:lineRule="auto"/>
      <w:jc w:val="center"/>
    </w:pPr>
    <w:rPr>
      <w:rFonts w:hint="eastAsia" w:ascii="Arial Unicode MS" w:hAnsi="Arial Unicode MS" w:eastAsia="Arial Unicode MS" w:cs="Arial Unicode MS"/>
      <w:b/>
      <w:bCs/>
      <w:color w:val="000000"/>
      <w:sz w:val="30"/>
      <w:szCs w:val="30"/>
      <w:lang w:val="zh-TW" w:eastAsia="zh-TW" w:bidi="ar-SA"/>
    </w:rPr>
  </w:style>
  <w:style w:type="paragraph" w:customStyle="1" w:styleId="237">
    <w:name w:val="WPSOffice手动目录 1"/>
    <w:qFormat/>
    <w:uiPriority w:val="0"/>
    <w:rPr>
      <w:rFonts w:ascii="Times New Roman" w:hAnsi="Times New Roman" w:eastAsia="宋体" w:cs="Times New Roman"/>
      <w:lang w:val="en-US" w:eastAsia="zh-CN" w:bidi="ar-SA"/>
    </w:rPr>
  </w:style>
  <w:style w:type="table" w:customStyle="1" w:styleId="238">
    <w:name w:val="网格型2"/>
    <w:basedOn w:val="5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
    <w:name w:val="网格型1"/>
    <w:basedOn w:val="5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
    <w:name w:val="Table Normal1"/>
    <w:unhideWhenUsed/>
    <w:qFormat/>
    <w:uiPriority w:val="2"/>
    <w:tblPr>
      <w:tblCellMar>
        <w:top w:w="0" w:type="dxa"/>
        <w:left w:w="0" w:type="dxa"/>
        <w:bottom w:w="0" w:type="dxa"/>
        <w:right w:w="0" w:type="dxa"/>
      </w:tblCellMar>
    </w:tblPr>
  </w:style>
  <w:style w:type="table" w:customStyle="1" w:styleId="241">
    <w:name w:val="Table Normal"/>
    <w:qFormat/>
    <w:uiPriority w:val="0"/>
    <w:rPr>
      <w:rFonts w:eastAsia="Arial Unicode MS"/>
    </w:rPr>
    <w:tblPr>
      <w:tblCellMar>
        <w:top w:w="0" w:type="dxa"/>
        <w:left w:w="0" w:type="dxa"/>
        <w:bottom w:w="0" w:type="dxa"/>
        <w:right w:w="0" w:type="dxa"/>
      </w:tblCellMar>
    </w:tblPr>
  </w:style>
  <w:style w:type="paragraph" w:customStyle="1" w:styleId="242">
    <w:name w:val="正文2"/>
    <w:basedOn w:val="1"/>
    <w:qFormat/>
    <w:uiPriority w:val="0"/>
    <w:pPr>
      <w:spacing w:before="156" w:line="360" w:lineRule="auto"/>
      <w:ind w:firstLine="510" w:firstLineChars="200"/>
    </w:pPr>
    <w:rPr>
      <w:sz w:val="24"/>
      <w:szCs w:val="20"/>
    </w:rPr>
  </w:style>
  <w:style w:type="paragraph" w:customStyle="1" w:styleId="243">
    <w:name w:val="正文1"/>
    <w:qFormat/>
    <w:uiPriority w:val="0"/>
    <w:pPr>
      <w:widowControl w:val="0"/>
      <w:jc w:val="both"/>
    </w:pPr>
    <w:rPr>
      <w:rFonts w:ascii="宋体" w:hAnsi="宋体" w:eastAsia="宋体" w:cs="宋体"/>
      <w:kern w:val="2"/>
      <w:sz w:val="21"/>
      <w:szCs w:val="22"/>
      <w:lang w:val="en-US" w:eastAsia="zh-CN" w:bidi="ar-SA"/>
    </w:rPr>
  </w:style>
  <w:style w:type="paragraph" w:customStyle="1" w:styleId="244">
    <w:name w:val="WPS Plain"/>
    <w:basedOn w:val="1"/>
    <w:qFormat/>
    <w:uiPriority w:val="0"/>
    <w:pPr>
      <w:jc w:val="left"/>
    </w:pPr>
    <w:rPr>
      <w:rFonts w:ascii="Times New Roman" w:hAnsi="Times New Roman" w:cs="Times New Roman"/>
      <w:kern w:val="0"/>
      <w:sz w:val="24"/>
      <w:szCs w:val="24"/>
    </w:rPr>
  </w:style>
  <w:style w:type="paragraph" w:customStyle="1" w:styleId="245">
    <w:name w:val="样式 正文首行缩进 2 + Arial"/>
    <w:basedOn w:val="1"/>
    <w:next w:val="1"/>
    <w:qFormat/>
    <w:uiPriority w:val="0"/>
    <w:pPr>
      <w:spacing w:after="120" w:line="320" w:lineRule="atLeast"/>
      <w:ind w:firstLine="200" w:firstLineChars="200"/>
    </w:pPr>
    <w:rPr>
      <w:rFonts w:ascii="Arial" w:hAnsi="Arial"/>
      <w:kern w:val="0"/>
    </w:rPr>
  </w:style>
  <w:style w:type="paragraph" w:customStyle="1" w:styleId="246">
    <w:name w:val="修订1"/>
    <w:semiHidden/>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47">
    <w:name w:val="表格"/>
    <w:qFormat/>
    <w:uiPriority w:val="0"/>
    <w:pPr>
      <w:spacing w:line="276" w:lineRule="auto"/>
    </w:pPr>
    <w:rPr>
      <w:rFonts w:ascii="Times New Roman" w:hAnsi="Times New Roman" w:eastAsia="仿宋_GB2312" w:cs="Times New Roman"/>
      <w:lang w:val="en-US" w:eastAsia="zh-CN" w:bidi="ar-SA"/>
    </w:rPr>
  </w:style>
  <w:style w:type="paragraph" w:customStyle="1" w:styleId="248">
    <w:name w:val="修订2"/>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49">
    <w:name w:val="修订3"/>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50">
    <w:name w:val="修订4"/>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character" w:customStyle="1" w:styleId="251">
    <w:name w:val="cf01"/>
    <w:qFormat/>
    <w:uiPriority w:val="0"/>
    <w:rPr>
      <w:rFonts w:hint="eastAsia" w:ascii="Microsoft YaHei UI" w:hAnsi="Microsoft YaHei UI" w:eastAsia="Microsoft YaHei UI"/>
      <w:sz w:val="18"/>
      <w:szCs w:val="18"/>
    </w:rPr>
  </w:style>
  <w:style w:type="character" w:customStyle="1" w:styleId="252">
    <w:name w:val="bao4jie1"/>
    <w:qFormat/>
    <w:uiPriority w:val="0"/>
    <w:rPr>
      <w:rFonts w:ascii="??" w:hAnsi="??" w:cs="Times New Roman"/>
      <w:sz w:val="21"/>
      <w:szCs w:val="21"/>
    </w:rPr>
  </w:style>
  <w:style w:type="character" w:customStyle="1" w:styleId="253">
    <w:name w:val="font11"/>
    <w:qFormat/>
    <w:uiPriority w:val="0"/>
    <w:rPr>
      <w:rFonts w:ascii="宋体" w:hAnsi="宋体" w:eastAsia="宋体" w:cs="宋体"/>
      <w:color w:val="000000"/>
      <w:sz w:val="20"/>
      <w:szCs w:val="20"/>
      <w:u w:val="none"/>
    </w:rPr>
  </w:style>
  <w:style w:type="paragraph" w:customStyle="1" w:styleId="254">
    <w:name w:val="Char Char Char Char Char Char1 Char"/>
    <w:basedOn w:val="1"/>
    <w:qFormat/>
    <w:uiPriority w:val="99"/>
    <w:pPr>
      <w:spacing w:after="160" w:line="240" w:lineRule="exact"/>
      <w:jc w:val="left"/>
    </w:pPr>
    <w:rPr>
      <w:rFonts w:hint="default" w:ascii="Arial" w:hAnsi="Arial" w:eastAsia="仿宋_GB2312" w:cs="Verdana"/>
      <w:b/>
      <w:color w:val="auto"/>
      <w:kern w:val="0"/>
      <w:sz w:val="24"/>
      <w:szCs w:val="24"/>
      <w:lang w:val="en-US" w:eastAsia="en-US"/>
    </w:rPr>
  </w:style>
  <w:style w:type="paragraph" w:customStyle="1" w:styleId="255">
    <w:name w:val="Char1 Char Char Char"/>
    <w:basedOn w:val="1"/>
    <w:qFormat/>
    <w:uiPriority w:val="0"/>
    <w:pPr>
      <w:widowControl w:val="0"/>
      <w:tabs>
        <w:tab w:val="left" w:pos="900"/>
      </w:tabs>
      <w:spacing w:before="312" w:after="312" w:line="360" w:lineRule="auto"/>
      <w:ind w:left="900" w:hanging="360"/>
    </w:pPr>
    <w:rPr>
      <w:rFonts w:hint="default" w:ascii="Times New Roman" w:hAnsi="Times New Roman" w:eastAsia="仿宋_GB2312" w:cs="Times New Roman"/>
      <w:color w:val="auto"/>
      <w:sz w:val="24"/>
      <w:szCs w:val="24"/>
      <w:lang w:val="en-US" w:eastAsia="zh-CN"/>
    </w:rPr>
  </w:style>
  <w:style w:type="paragraph" w:customStyle="1" w:styleId="256">
    <w:name w:val="p0"/>
    <w:qFormat/>
    <w:uiPriority w:val="0"/>
    <w:pPr>
      <w:spacing w:before="100" w:after="100"/>
    </w:pPr>
    <w:rPr>
      <w:rFonts w:ascii="宋体" w:hAnsi="宋体" w:eastAsia="宋体" w:cs="宋体"/>
      <w:color w:val="000000"/>
      <w:sz w:val="24"/>
      <w:szCs w:val="24"/>
      <w:lang w:val="en-US" w:eastAsia="zh-CN" w:bidi="ar-SA"/>
    </w:rPr>
  </w:style>
  <w:style w:type="paragraph" w:customStyle="1" w:styleId="257">
    <w:name w:val="修订5"/>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58">
    <w:name w:val="p17"/>
    <w:basedOn w:val="1"/>
    <w:qFormat/>
    <w:uiPriority w:val="0"/>
    <w:pPr>
      <w:spacing w:before="50" w:after="50"/>
      <w:ind w:left="142"/>
      <w:jc w:val="left"/>
    </w:pPr>
    <w:rPr>
      <w:rFonts w:ascii="黑体" w:hAnsi="宋体" w:eastAsia="黑体" w:cs="宋体"/>
      <w:kern w:val="0"/>
    </w:rPr>
  </w:style>
  <w:style w:type="paragraph" w:customStyle="1" w:styleId="259">
    <w:name w:val="普通(网站)1"/>
    <w:basedOn w:val="1"/>
    <w:qFormat/>
    <w:uiPriority w:val="0"/>
    <w:pPr>
      <w:pBdr>
        <w:top w:val="none" w:color="000000" w:sz="0" w:space="0"/>
        <w:left w:val="none" w:color="000000" w:sz="0" w:space="0"/>
        <w:bottom w:val="none" w:color="000000" w:sz="0" w:space="0"/>
        <w:right w:val="none" w:color="000000" w:sz="0" w:space="0"/>
        <w:between w:val="none" w:color="000000" w:sz="0" w:space="0"/>
      </w:pBdr>
      <w:spacing w:before="100" w:beforeAutospacing="1" w:after="100" w:afterAutospacing="1"/>
      <w:jc w:val="left"/>
    </w:pPr>
    <w:rPr>
      <w:rFonts w:ascii="宋体" w:hAnsi="宋体" w:eastAsia="宋体"/>
      <w:kern w:val="0"/>
      <w:sz w:val="24"/>
      <w:szCs w:val="24"/>
      <w:lang w:val="en-US" w:eastAsia="zh-CN"/>
    </w:rPr>
  </w:style>
  <w:style w:type="paragraph" w:customStyle="1" w:styleId="260">
    <w:name w:val="_Style 248"/>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61">
    <w:name w:val="文档正文"/>
    <w:basedOn w:val="1"/>
    <w:qFormat/>
    <w:uiPriority w:val="0"/>
    <w:pPr>
      <w:adjustRightInd w:val="0"/>
      <w:spacing w:line="480" w:lineRule="atLeast"/>
      <w:ind w:firstLine="567"/>
    </w:pPr>
    <w:rPr>
      <w:rFonts w:ascii="仿宋_GB2312" w:hAnsi="Times New Roman" w:eastAsia="仿宋_GB2312"/>
      <w:kern w:val="0"/>
      <w:sz w:val="28"/>
      <w:szCs w:val="20"/>
    </w:rPr>
  </w:style>
  <w:style w:type="paragraph" w:customStyle="1" w:styleId="262">
    <w:name w:val="Revision"/>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63">
    <w:name w:val="正文 New"/>
    <w:qFormat/>
    <w:uiPriority w:val="0"/>
    <w:pPr>
      <w:widowControl w:val="0"/>
      <w:jc w:val="both"/>
    </w:pPr>
    <w:rPr>
      <w:rFonts w:ascii="Times New Roman" w:hAnsi="Times New Roman" w:eastAsia="宋体" w:cs="宋体"/>
      <w:kern w:val="2"/>
      <w:sz w:val="21"/>
      <w:szCs w:val="22"/>
      <w:lang w:val="en-US" w:eastAsia="zh-CN" w:bidi="ar-SA"/>
    </w:rPr>
  </w:style>
  <w:style w:type="character" w:customStyle="1" w:styleId="264">
    <w:name w:val="hover"/>
    <w:basedOn w:val="54"/>
    <w:qFormat/>
    <w:uiPriority w:val="0"/>
    <w:rPr>
      <w:color w:val="2590EB"/>
    </w:rPr>
  </w:style>
  <w:style w:type="character" w:customStyle="1" w:styleId="265">
    <w:name w:val="hover1"/>
    <w:basedOn w:val="54"/>
    <w:qFormat/>
    <w:uiPriority w:val="0"/>
    <w:rPr>
      <w:color w:val="2590EB"/>
    </w:rPr>
  </w:style>
  <w:style w:type="character" w:customStyle="1" w:styleId="266">
    <w:name w:val="hover2"/>
    <w:basedOn w:val="54"/>
    <w:qFormat/>
    <w:uiPriority w:val="0"/>
  </w:style>
  <w:style w:type="character" w:customStyle="1" w:styleId="267">
    <w:name w:val="hover3"/>
    <w:basedOn w:val="54"/>
    <w:qFormat/>
    <w:uiPriority w:val="0"/>
    <w:rPr>
      <w:color w:val="2590EB"/>
      <w:shd w:val="clear" w:color="auto" w:fill="E9F4FD"/>
    </w:rPr>
  </w:style>
  <w:style w:type="character" w:customStyle="1" w:styleId="268">
    <w:name w:val="mini-outputtext1"/>
    <w:basedOn w:val="54"/>
    <w:qFormat/>
    <w:uiPriority w:val="0"/>
  </w:style>
  <w:style w:type="paragraph" w:customStyle="1" w:styleId="269">
    <w:name w:val="Table Text"/>
    <w:basedOn w:val="1"/>
    <w:semiHidden/>
    <w:qFormat/>
    <w:uiPriority w:val="0"/>
    <w:rPr>
      <w:rFonts w:ascii="仿宋" w:hAnsi="仿宋" w:eastAsia="仿宋" w:cs="仿宋"/>
      <w:sz w:val="28"/>
      <w:szCs w:val="28"/>
      <w:lang w:val="en-US" w:eastAsia="en-US" w:bidi="ar-SA"/>
    </w:rPr>
  </w:style>
  <w:style w:type="character" w:customStyle="1" w:styleId="270">
    <w:name w:val="hover4"/>
    <w:basedOn w:val="54"/>
    <w:qFormat/>
    <w:uiPriority w:val="0"/>
    <w:rPr>
      <w:color w:val="2590EB"/>
      <w:shd w:val="clear" w:fill="E9F4FD"/>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95</Pages>
  <Words>17277</Words>
  <Characters>18598</Characters>
  <Lines>42</Lines>
  <Paragraphs>77</Paragraphs>
  <TotalTime>10</TotalTime>
  <ScaleCrop>false</ScaleCrop>
  <LinksUpToDate>false</LinksUpToDate>
  <CharactersWithSpaces>19350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2024-08-20T03:44:00Z</dcterms:created>
  <dc:creator>NTKO</dc:creator>
  <cp:lastModifiedBy>采桑</cp:lastModifiedBy>
  <cp:lastPrinted>2024-12-30T08:10:00Z</cp:lastPrinted>
  <dcterms:modified xsi:type="dcterms:W3CDTF">2025-07-31T11:14:44Z</dcterms:modified>
  <dc:title>河南信息统计职业学院金水校区物业服务项目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ABC7E8236B9312B56F617F68BFC46505_43</vt:lpwstr>
  </property>
  <property fmtid="{D5CDD505-2E9C-101B-9397-08002B2CF9AE}" pid="4" name="MTWinEqns">
    <vt:bool>true</vt:bool>
  </property>
  <property fmtid="{D5CDD505-2E9C-101B-9397-08002B2CF9AE}" pid="5" name="KSOTemplateDocerSaveRecord">
    <vt:lpwstr>eyJoZGlkIjoiODU1MzFhYzhmZjhiNDYxODI2ODA4MjU5OTdjNTI2NGIiLCJ1c2VySWQiOiIzNDk0NzYxNTcifQ==</vt:lpwstr>
  </property>
</Properties>
</file>