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sz w:val="44"/>
          <w:szCs w:val="44"/>
        </w:rPr>
      </w:pPr>
    </w:p>
    <w:p>
      <w:pPr>
        <w:rPr>
          <w:rFonts w:eastAsia="黑体"/>
          <w:color w:val="auto"/>
          <w:sz w:val="28"/>
        </w:rPr>
      </w:pPr>
      <w:r>
        <w:rPr>
          <w:rFonts w:hint="eastAsia" w:eastAsia="黑体"/>
          <w:color w:val="auto"/>
          <w:sz w:val="28"/>
        </w:rPr>
        <w:t>合同编号：豫财招标采购-2024-1513-包3</w:t>
      </w:r>
    </w:p>
    <w:p>
      <w:pPr>
        <w:jc w:val="center"/>
        <w:rPr>
          <w:rFonts w:eastAsia="黑体"/>
          <w:color w:val="auto"/>
          <w:sz w:val="52"/>
        </w:rPr>
      </w:pPr>
    </w:p>
    <w:p>
      <w:pPr>
        <w:jc w:val="center"/>
        <w:rPr>
          <w:rFonts w:eastAsia="黑体"/>
          <w:color w:val="auto"/>
          <w:sz w:val="52"/>
        </w:rPr>
      </w:pPr>
      <w:r>
        <w:rPr>
          <w:rFonts w:hint="eastAsia" w:eastAsia="黑体"/>
          <w:color w:val="auto"/>
          <w:sz w:val="52"/>
        </w:rPr>
        <w:t>货物（</w:t>
      </w:r>
      <w:r>
        <w:rPr>
          <w:rFonts w:hint="eastAsia" w:eastAsia="黑体"/>
          <w:color w:val="auto"/>
          <w:sz w:val="52"/>
          <w:u w:val="single"/>
        </w:rPr>
        <w:t>设备</w:t>
      </w:r>
      <w:r>
        <w:rPr>
          <w:rFonts w:hint="eastAsia" w:eastAsia="黑体"/>
          <w:color w:val="auto"/>
          <w:sz w:val="52"/>
        </w:rPr>
        <w:t>）采购合同</w:t>
      </w:r>
    </w:p>
    <w:p>
      <w:pPr>
        <w:rPr>
          <w:rFonts w:hint="eastAsia" w:ascii="宋体" w:hAnsi="宋体"/>
          <w:color w:val="auto"/>
          <w:sz w:val="36"/>
        </w:rPr>
      </w:pPr>
    </w:p>
    <w:p>
      <w:pPr>
        <w:rPr>
          <w:rFonts w:hint="eastAsia" w:ascii="宋体" w:hAnsi="宋体"/>
          <w:color w:val="auto"/>
          <w:sz w:val="36"/>
        </w:rPr>
      </w:pPr>
    </w:p>
    <w:p>
      <w:pPr>
        <w:rPr>
          <w:rFonts w:hint="eastAsia" w:ascii="宋体" w:hAnsi="宋体"/>
          <w:color w:val="auto"/>
          <w:sz w:val="36"/>
          <w:u w:val="single"/>
        </w:rPr>
      </w:pPr>
      <w:r>
        <w:rPr>
          <w:rFonts w:hint="eastAsia" w:ascii="宋体" w:hAnsi="宋体"/>
          <w:color w:val="auto"/>
          <w:sz w:val="36"/>
        </w:rPr>
        <w:t>项目名称：河南大学全息流式细胞分选仪等设备购置项目</w:t>
      </w:r>
    </w:p>
    <w:p>
      <w:pPr>
        <w:rPr>
          <w:rFonts w:hint="eastAsia" w:ascii="宋体" w:hAnsi="宋体"/>
          <w:color w:val="auto"/>
          <w:sz w:val="36"/>
          <w:u w:val="single"/>
        </w:rPr>
      </w:pPr>
    </w:p>
    <w:p>
      <w:pPr>
        <w:rPr>
          <w:rFonts w:hint="eastAsia" w:ascii="宋体" w:hAnsi="宋体"/>
          <w:color w:val="auto"/>
          <w:sz w:val="36"/>
          <w:u w:val="single"/>
        </w:rPr>
      </w:pPr>
      <w:r>
        <w:rPr>
          <w:rFonts w:hint="eastAsia" w:ascii="宋体" w:hAnsi="宋体"/>
          <w:color w:val="auto"/>
          <w:sz w:val="36"/>
        </w:rPr>
        <w:t xml:space="preserve">      买方（甲方）：河南大学</w:t>
      </w:r>
    </w:p>
    <w:p>
      <w:pPr>
        <w:rPr>
          <w:rFonts w:hint="eastAsia" w:ascii="宋体" w:hAnsi="宋体"/>
          <w:color w:val="auto"/>
          <w:sz w:val="36"/>
          <w:u w:val="single"/>
        </w:rPr>
      </w:pPr>
    </w:p>
    <w:p>
      <w:pPr>
        <w:rPr>
          <w:rFonts w:hint="eastAsia" w:ascii="宋体" w:hAnsi="宋体"/>
          <w:color w:val="auto"/>
          <w:sz w:val="36"/>
          <w:u w:val="single"/>
        </w:rPr>
      </w:pPr>
    </w:p>
    <w:p>
      <w:pPr>
        <w:rPr>
          <w:rFonts w:hint="eastAsia" w:ascii="宋体" w:hAnsi="宋体"/>
          <w:color w:val="auto"/>
          <w:sz w:val="36"/>
        </w:rPr>
      </w:pPr>
      <w:r>
        <w:rPr>
          <w:rFonts w:hint="eastAsia" w:ascii="宋体" w:hAnsi="宋体"/>
          <w:color w:val="auto"/>
          <w:sz w:val="36"/>
        </w:rPr>
        <w:t xml:space="preserve">      卖方（乙方）：河南莱帕克物联装备技术有限公司</w:t>
      </w:r>
    </w:p>
    <w:p>
      <w:pPr>
        <w:ind w:left="-540"/>
        <w:rPr>
          <w:rFonts w:hint="eastAsia" w:ascii="宋体" w:hAnsi="宋体"/>
          <w:color w:val="auto"/>
          <w:sz w:val="36"/>
          <w:u w:val="single"/>
        </w:rPr>
      </w:pPr>
    </w:p>
    <w:p>
      <w:pPr>
        <w:ind w:left="-180"/>
        <w:rPr>
          <w:rFonts w:hint="eastAsia" w:ascii="宋体" w:hAnsi="宋体"/>
          <w:color w:val="auto"/>
          <w:sz w:val="36"/>
        </w:rPr>
      </w:pPr>
    </w:p>
    <w:p>
      <w:pPr>
        <w:rPr>
          <w:rFonts w:hint="eastAsia" w:ascii="宋体" w:hAnsi="宋体"/>
          <w:color w:val="auto"/>
          <w:sz w:val="36"/>
          <w:u w:val="single"/>
        </w:rPr>
      </w:pPr>
      <w:r>
        <w:rPr>
          <w:rFonts w:hint="eastAsia" w:ascii="宋体" w:hAnsi="宋体"/>
          <w:color w:val="auto"/>
          <w:sz w:val="36"/>
        </w:rPr>
        <w:t xml:space="preserve">      签订时间：2025年2月 </w:t>
      </w:r>
      <w:r>
        <w:rPr>
          <w:rFonts w:hint="eastAsia" w:ascii="宋体" w:hAnsi="宋体"/>
          <w:color w:val="auto"/>
          <w:sz w:val="36"/>
          <w:lang w:val="en-US" w:eastAsia="zh-CN"/>
        </w:rPr>
        <w:t>20</w:t>
      </w:r>
      <w:r>
        <w:rPr>
          <w:rFonts w:hint="eastAsia" w:ascii="宋体" w:hAnsi="宋体"/>
          <w:color w:val="auto"/>
          <w:sz w:val="36"/>
        </w:rPr>
        <w:t>日</w:t>
      </w:r>
    </w:p>
    <w:p>
      <w:pPr>
        <w:rPr>
          <w:rFonts w:hint="eastAsia" w:ascii="宋体" w:hAnsi="宋体"/>
          <w:color w:val="auto"/>
          <w:sz w:val="36"/>
        </w:rPr>
      </w:pPr>
      <w:r>
        <w:rPr>
          <w:rFonts w:hint="eastAsia" w:ascii="宋体" w:hAnsi="宋体"/>
          <w:color w:val="auto"/>
          <w:sz w:val="36"/>
        </w:rPr>
        <w:t xml:space="preserve">      签订地点：河南省郑州市</w:t>
      </w:r>
    </w:p>
    <w:p>
      <w:pPr>
        <w:rPr>
          <w:rFonts w:hint="eastAsia" w:ascii="宋体" w:hAnsi="宋体"/>
          <w:color w:val="auto"/>
          <w:sz w:val="36"/>
          <w:u w:val="single"/>
        </w:rPr>
      </w:pPr>
      <w:r>
        <w:rPr>
          <w:rFonts w:hint="eastAsia" w:ascii="宋体" w:hAnsi="宋体"/>
          <w:color w:val="auto"/>
          <w:sz w:val="36"/>
        </w:rPr>
        <w:t xml:space="preserve">      履约期限：</w:t>
      </w:r>
      <w:r>
        <w:rPr>
          <w:rFonts w:hint="eastAsia" w:ascii="宋体" w:hAnsi="宋体"/>
          <w:color w:val="auto"/>
          <w:sz w:val="36"/>
          <w:highlight w:val="none"/>
        </w:rPr>
        <w:t>3年3个月</w:t>
      </w:r>
    </w:p>
    <w:p>
      <w:pPr>
        <w:rPr>
          <w:rFonts w:hint="eastAsia" w:ascii="宋体" w:hAnsi="宋体"/>
          <w:color w:val="auto"/>
          <w:sz w:val="36"/>
        </w:rPr>
      </w:pPr>
    </w:p>
    <w:p>
      <w:pPr>
        <w:jc w:val="center"/>
        <w:rPr>
          <w:rFonts w:hint="eastAsia" w:ascii="宋体" w:hAnsi="宋体"/>
          <w:color w:val="auto"/>
          <w:sz w:val="30"/>
        </w:rPr>
      </w:pPr>
    </w:p>
    <w:p>
      <w:pPr>
        <w:jc w:val="center"/>
        <w:rPr>
          <w:rFonts w:hint="eastAsia" w:ascii="宋体" w:hAnsi="宋体"/>
          <w:color w:val="auto"/>
          <w:sz w:val="30"/>
        </w:rPr>
      </w:pPr>
    </w:p>
    <w:p>
      <w:pPr>
        <w:jc w:val="center"/>
        <w:rPr>
          <w:rFonts w:hint="eastAsia" w:ascii="宋体" w:hAnsi="宋体"/>
          <w:color w:val="auto"/>
          <w:sz w:val="30"/>
        </w:rPr>
      </w:pPr>
      <w:r>
        <w:rPr>
          <w:rFonts w:hint="eastAsia" w:ascii="宋体" w:hAnsi="宋体"/>
          <w:color w:val="auto"/>
          <w:sz w:val="30"/>
        </w:rPr>
        <w:t>河南大学招标办制</w:t>
      </w:r>
    </w:p>
    <w:p>
      <w:pPr>
        <w:jc w:val="center"/>
        <w:rPr>
          <w:b/>
          <w:bCs/>
          <w:color w:val="auto"/>
          <w:sz w:val="44"/>
          <w:szCs w:val="44"/>
        </w:rPr>
        <w:sectPr>
          <w:headerReference r:id="rId3" w:type="default"/>
          <w:headerReference r:id="rId4" w:type="even"/>
          <w:footerReference r:id="rId5" w:type="even"/>
          <w:pgSz w:w="11906" w:h="16838"/>
          <w:pgMar w:top="1440" w:right="1134" w:bottom="1440" w:left="1417" w:header="851" w:footer="992" w:gutter="0"/>
          <w:cols w:space="720" w:num="1"/>
          <w:docGrid w:type="lines" w:linePitch="312" w:charSpace="0"/>
        </w:sectPr>
      </w:pPr>
    </w:p>
    <w:p>
      <w:pPr>
        <w:jc w:val="center"/>
        <w:rPr>
          <w:b/>
          <w:bCs/>
          <w:color w:val="auto"/>
          <w:sz w:val="44"/>
          <w:szCs w:val="44"/>
        </w:rPr>
      </w:pPr>
      <w:r>
        <w:rPr>
          <w:rFonts w:hint="eastAsia"/>
          <w:b/>
          <w:bCs/>
          <w:color w:val="auto"/>
          <w:sz w:val="44"/>
          <w:szCs w:val="44"/>
        </w:rPr>
        <w:t>货物（设备）采购合同</w:t>
      </w:r>
    </w:p>
    <w:p>
      <w:pPr>
        <w:ind w:right="-154"/>
        <w:jc w:val="center"/>
        <w:rPr>
          <w:color w:val="auto"/>
          <w:sz w:val="28"/>
          <w:szCs w:val="28"/>
        </w:rPr>
      </w:pPr>
    </w:p>
    <w:p>
      <w:pPr>
        <w:ind w:right="90"/>
        <w:rPr>
          <w:bCs/>
          <w:color w:val="auto"/>
          <w:sz w:val="28"/>
          <w:szCs w:val="28"/>
        </w:rPr>
      </w:pPr>
      <w:r>
        <w:rPr>
          <w:rFonts w:hint="eastAsia"/>
          <w:b/>
          <w:color w:val="auto"/>
          <w:sz w:val="28"/>
          <w:szCs w:val="28"/>
        </w:rPr>
        <w:t xml:space="preserve">买方（甲方）：河南大学                        </w:t>
      </w:r>
      <w:r>
        <w:rPr>
          <w:rFonts w:hint="eastAsia"/>
          <w:color w:val="auto"/>
          <w:sz w:val="24"/>
        </w:rPr>
        <w:t>签订地点：河南省郑州市</w:t>
      </w:r>
    </w:p>
    <w:p>
      <w:pPr>
        <w:spacing w:line="360" w:lineRule="auto"/>
        <w:rPr>
          <w:color w:val="auto"/>
          <w:sz w:val="28"/>
          <w:szCs w:val="28"/>
        </w:rPr>
      </w:pPr>
      <w:r>
        <w:rPr>
          <w:rFonts w:hint="eastAsia"/>
          <w:b/>
          <w:color w:val="auto"/>
          <w:sz w:val="28"/>
          <w:szCs w:val="28"/>
        </w:rPr>
        <w:t xml:space="preserve">卖方（乙方）：河南莱帕克物联装备技术有限公司  </w:t>
      </w:r>
      <w:r>
        <w:rPr>
          <w:rFonts w:hint="eastAsia"/>
          <w:color w:val="auto"/>
          <w:sz w:val="24"/>
        </w:rPr>
        <w:t>签订时间：</w:t>
      </w:r>
      <w:r>
        <w:rPr>
          <w:rFonts w:hint="eastAsia"/>
          <w:color w:val="auto"/>
          <w:sz w:val="24"/>
          <w:u w:val="single"/>
        </w:rPr>
        <w:t>2025</w:t>
      </w:r>
      <w:r>
        <w:rPr>
          <w:rFonts w:hint="eastAsia"/>
          <w:color w:val="auto"/>
          <w:sz w:val="24"/>
        </w:rPr>
        <w:t>年</w:t>
      </w:r>
      <w:r>
        <w:rPr>
          <w:rFonts w:hint="eastAsia"/>
          <w:color w:val="auto"/>
          <w:sz w:val="24"/>
          <w:u w:val="single"/>
        </w:rPr>
        <w:t xml:space="preserve"> </w:t>
      </w:r>
      <w:r>
        <w:rPr>
          <w:rFonts w:hint="eastAsia"/>
          <w:color w:val="auto"/>
          <w:sz w:val="24"/>
          <w:u w:val="single"/>
          <w:lang w:val="en-US" w:eastAsia="zh-CN"/>
        </w:rPr>
        <w:t>2</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u w:val="single"/>
          <w:lang w:val="en-US" w:eastAsia="zh-CN"/>
        </w:rPr>
        <w:t>20</w:t>
      </w:r>
      <w:r>
        <w:rPr>
          <w:color w:val="auto"/>
          <w:sz w:val="24"/>
          <w:u w:val="single"/>
        </w:rPr>
        <w:t xml:space="preserve"> </w:t>
      </w:r>
      <w:r>
        <w:rPr>
          <w:rFonts w:hint="eastAsia"/>
          <w:color w:val="auto"/>
          <w:sz w:val="24"/>
        </w:rPr>
        <w:t>日</w:t>
      </w:r>
    </w:p>
    <w:p>
      <w:pPr>
        <w:ind w:firstLine="560" w:firstLineChars="200"/>
        <w:rPr>
          <w:rFonts w:hint="eastAsia" w:ascii="宋体" w:hAnsi="宋体"/>
          <w:color w:val="auto"/>
          <w:sz w:val="28"/>
          <w:szCs w:val="28"/>
        </w:rPr>
      </w:pPr>
      <w:r>
        <w:rPr>
          <w:rFonts w:hint="eastAsia" w:ascii="宋体" w:hAnsi="宋体"/>
          <w:color w:val="auto"/>
          <w:sz w:val="28"/>
          <w:szCs w:val="28"/>
        </w:rPr>
        <w:t>根据《中华人民共和国招标标法》、《中华人民共和国政府采购法》、</w:t>
      </w:r>
      <w:r>
        <w:rPr>
          <w:rFonts w:hint="eastAsia" w:asciiTheme="minorEastAsia" w:hAnsiTheme="minorEastAsia" w:eastAsiaTheme="minorEastAsia"/>
          <w:color w:val="auto"/>
          <w:sz w:val="28"/>
          <w:szCs w:val="28"/>
        </w:rPr>
        <w:t>《中华人民共和国民法典》</w:t>
      </w:r>
      <w:r>
        <w:rPr>
          <w:rFonts w:hint="eastAsia" w:ascii="宋体" w:hAnsi="宋体"/>
          <w:color w:val="auto"/>
          <w:sz w:val="28"/>
          <w:szCs w:val="28"/>
        </w:rPr>
        <w:t>等国家法律法规，就甲方向乙方购买商品（设备）的型号、数量、质量、包装、运输、价款、税金、保险、验收、技术</w:t>
      </w:r>
      <w:bookmarkStart w:id="0" w:name="_GoBack"/>
      <w:bookmarkEnd w:id="0"/>
      <w:r>
        <w:rPr>
          <w:rFonts w:hint="eastAsia" w:ascii="宋体" w:hAnsi="宋体"/>
          <w:color w:val="auto"/>
          <w:sz w:val="28"/>
          <w:szCs w:val="28"/>
        </w:rPr>
        <w:t>服务、售后服务、违约责任、争议解决方式等合同内容，经双方协商一致，签订合同，以兹共同遵守。</w:t>
      </w:r>
    </w:p>
    <w:p>
      <w:pPr>
        <w:spacing w:line="360" w:lineRule="auto"/>
        <w:ind w:firstLine="551" w:firstLineChars="196"/>
        <w:rPr>
          <w:b/>
          <w:color w:val="auto"/>
          <w:sz w:val="28"/>
          <w:szCs w:val="28"/>
        </w:rPr>
      </w:pPr>
      <w:r>
        <w:rPr>
          <w:rFonts w:hint="eastAsia"/>
          <w:b/>
          <w:color w:val="auto"/>
          <w:sz w:val="28"/>
          <w:szCs w:val="28"/>
        </w:rPr>
        <w:t>一、合同价款</w:t>
      </w:r>
    </w:p>
    <w:p>
      <w:pPr>
        <w:spacing w:line="360" w:lineRule="auto"/>
        <w:ind w:firstLine="560" w:firstLineChars="200"/>
        <w:rPr>
          <w:color w:val="auto"/>
          <w:sz w:val="28"/>
          <w:szCs w:val="28"/>
        </w:rPr>
      </w:pPr>
      <w:r>
        <w:rPr>
          <w:rFonts w:hint="eastAsia"/>
          <w:color w:val="auto"/>
          <w:sz w:val="28"/>
          <w:szCs w:val="28"/>
        </w:rPr>
        <w:t>本合同的总金额为人民币：捌佰捌拾壹万元整（¥8810000.00）；该价格已经包含制造生产、安装、调试、保险、培训、运输、装卸、税金、利润、保修及乙方人员差旅费用等全部费用。</w:t>
      </w:r>
    </w:p>
    <w:p>
      <w:pPr>
        <w:spacing w:line="360" w:lineRule="auto"/>
        <w:ind w:firstLine="562" w:firstLineChars="200"/>
        <w:rPr>
          <w:b/>
          <w:color w:val="auto"/>
          <w:sz w:val="28"/>
          <w:szCs w:val="28"/>
        </w:rPr>
      </w:pPr>
      <w:r>
        <w:rPr>
          <w:rFonts w:hint="eastAsia"/>
          <w:b/>
          <w:color w:val="auto"/>
          <w:sz w:val="28"/>
          <w:szCs w:val="28"/>
        </w:rPr>
        <w:t>二、货物（设备）的</w:t>
      </w:r>
      <w:r>
        <w:rPr>
          <w:rFonts w:hint="eastAsia" w:ascii="宋体" w:hAnsi="宋体"/>
          <w:b/>
          <w:color w:val="auto"/>
          <w:sz w:val="28"/>
          <w:szCs w:val="28"/>
        </w:rPr>
        <w:t>名称、型号、制造单位、单价、数量和合同价</w:t>
      </w:r>
      <w:r>
        <w:rPr>
          <w:rFonts w:hint="eastAsia"/>
          <w:b/>
          <w:color w:val="auto"/>
          <w:sz w:val="28"/>
          <w:szCs w:val="28"/>
        </w:rPr>
        <w:t>数量及质量要求</w:t>
      </w:r>
    </w:p>
    <w:p>
      <w:pPr>
        <w:spacing w:line="360" w:lineRule="auto"/>
        <w:ind w:firstLine="560" w:firstLineChars="200"/>
        <w:rPr>
          <w:color w:val="auto"/>
          <w:sz w:val="28"/>
          <w:szCs w:val="28"/>
        </w:rPr>
      </w:pPr>
      <w:r>
        <w:rPr>
          <w:rFonts w:hint="eastAsia"/>
          <w:color w:val="auto"/>
          <w:sz w:val="28"/>
          <w:szCs w:val="28"/>
        </w:rPr>
        <w:t>1、乙方提供的货物（设备）是未有使用过（包括零部件）的商品（设备）、符合国家相关部门制定的生产（制造）标准和检测标准以及该商品（设备）的出厂标准。</w:t>
      </w:r>
    </w:p>
    <w:p>
      <w:pPr>
        <w:spacing w:line="360" w:lineRule="auto"/>
        <w:ind w:firstLine="560" w:firstLineChars="200"/>
        <w:rPr>
          <w:rFonts w:hint="eastAsia" w:ascii="宋体" w:hAnsi="宋体"/>
          <w:b/>
          <w:color w:val="auto"/>
          <w:sz w:val="28"/>
          <w:szCs w:val="28"/>
        </w:rPr>
      </w:pPr>
      <w:r>
        <w:rPr>
          <w:rFonts w:hint="eastAsia"/>
          <w:color w:val="auto"/>
          <w:sz w:val="28"/>
          <w:szCs w:val="28"/>
        </w:rPr>
        <w:t>2、购买</w:t>
      </w:r>
      <w:r>
        <w:rPr>
          <w:rFonts w:hint="eastAsia" w:ascii="宋体" w:hAnsi="宋体"/>
          <w:color w:val="auto"/>
          <w:sz w:val="28"/>
          <w:szCs w:val="28"/>
        </w:rPr>
        <w:t>货物（设备）的名称、型号、制造单位、单价、数量和合同价：</w:t>
      </w:r>
    </w:p>
    <w:tbl>
      <w:tblPr>
        <w:tblStyle w:val="5"/>
        <w:tblW w:w="97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6"/>
        <w:gridCol w:w="1062"/>
        <w:gridCol w:w="1413"/>
        <w:gridCol w:w="1716"/>
        <w:gridCol w:w="971"/>
        <w:gridCol w:w="888"/>
        <w:gridCol w:w="1500"/>
        <w:gridCol w:w="14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8" w:hRule="atLeast"/>
          <w:jc w:val="center"/>
        </w:trPr>
        <w:tc>
          <w:tcPr>
            <w:tcW w:w="786" w:type="dxa"/>
            <w:vAlign w:val="center"/>
          </w:tcPr>
          <w:p>
            <w:pPr>
              <w:rPr>
                <w:rFonts w:hint="eastAsia" w:ascii="宋体" w:hAnsi="宋体"/>
                <w:b/>
                <w:color w:val="auto"/>
                <w:sz w:val="28"/>
                <w:szCs w:val="28"/>
              </w:rPr>
            </w:pPr>
            <w:r>
              <w:rPr>
                <w:rFonts w:hint="eastAsia" w:ascii="宋体" w:hAnsi="宋体"/>
                <w:b/>
                <w:color w:val="auto"/>
                <w:sz w:val="28"/>
                <w:szCs w:val="28"/>
              </w:rPr>
              <w:t>序号</w:t>
            </w:r>
          </w:p>
        </w:tc>
        <w:tc>
          <w:tcPr>
            <w:tcW w:w="1062" w:type="dxa"/>
            <w:vAlign w:val="center"/>
          </w:tcPr>
          <w:p>
            <w:pPr>
              <w:rPr>
                <w:rFonts w:hint="eastAsia" w:ascii="宋体" w:hAnsi="宋体"/>
                <w:b/>
                <w:color w:val="auto"/>
                <w:sz w:val="28"/>
                <w:szCs w:val="28"/>
              </w:rPr>
            </w:pPr>
            <w:r>
              <w:rPr>
                <w:rFonts w:hint="eastAsia" w:ascii="宋体" w:hAnsi="宋体"/>
                <w:b/>
                <w:color w:val="auto"/>
                <w:sz w:val="28"/>
                <w:szCs w:val="28"/>
              </w:rPr>
              <w:t>名称</w:t>
            </w:r>
          </w:p>
        </w:tc>
        <w:tc>
          <w:tcPr>
            <w:tcW w:w="1413" w:type="dxa"/>
            <w:vAlign w:val="center"/>
          </w:tcPr>
          <w:p>
            <w:pPr>
              <w:rPr>
                <w:rFonts w:hint="eastAsia" w:ascii="宋体" w:hAnsi="宋体"/>
                <w:b/>
                <w:color w:val="auto"/>
                <w:sz w:val="28"/>
                <w:szCs w:val="28"/>
              </w:rPr>
            </w:pPr>
            <w:r>
              <w:rPr>
                <w:rFonts w:hint="eastAsia" w:ascii="宋体" w:hAnsi="宋体"/>
                <w:b/>
                <w:color w:val="auto"/>
                <w:sz w:val="28"/>
                <w:szCs w:val="28"/>
              </w:rPr>
              <w:t>品牌型号</w:t>
            </w:r>
          </w:p>
        </w:tc>
        <w:tc>
          <w:tcPr>
            <w:tcW w:w="1716" w:type="dxa"/>
            <w:vAlign w:val="center"/>
          </w:tcPr>
          <w:p>
            <w:pPr>
              <w:ind w:firstLine="121" w:firstLineChars="43"/>
              <w:jc w:val="center"/>
              <w:rPr>
                <w:rFonts w:hint="eastAsia" w:ascii="宋体" w:hAnsi="宋体"/>
                <w:b/>
                <w:color w:val="auto"/>
                <w:sz w:val="28"/>
                <w:szCs w:val="28"/>
              </w:rPr>
            </w:pPr>
            <w:r>
              <w:rPr>
                <w:rFonts w:hint="eastAsia" w:ascii="宋体" w:hAnsi="宋体"/>
                <w:b/>
                <w:color w:val="auto"/>
                <w:sz w:val="28"/>
                <w:szCs w:val="28"/>
              </w:rPr>
              <w:t>制造商</w:t>
            </w:r>
          </w:p>
        </w:tc>
        <w:tc>
          <w:tcPr>
            <w:tcW w:w="971" w:type="dxa"/>
            <w:vAlign w:val="center"/>
          </w:tcPr>
          <w:p>
            <w:pPr>
              <w:rPr>
                <w:rFonts w:hint="eastAsia" w:ascii="宋体" w:hAnsi="宋体"/>
                <w:b/>
                <w:color w:val="auto"/>
                <w:sz w:val="28"/>
                <w:szCs w:val="28"/>
              </w:rPr>
            </w:pPr>
            <w:r>
              <w:rPr>
                <w:rFonts w:hint="eastAsia" w:ascii="宋体" w:hAnsi="宋体"/>
                <w:b/>
                <w:color w:val="auto"/>
                <w:sz w:val="28"/>
                <w:szCs w:val="28"/>
              </w:rPr>
              <w:t>单位</w:t>
            </w:r>
          </w:p>
        </w:tc>
        <w:tc>
          <w:tcPr>
            <w:tcW w:w="888" w:type="dxa"/>
            <w:vAlign w:val="center"/>
          </w:tcPr>
          <w:p>
            <w:pPr>
              <w:rPr>
                <w:rFonts w:hint="eastAsia" w:ascii="宋体" w:hAnsi="宋体"/>
                <w:b/>
                <w:color w:val="auto"/>
                <w:sz w:val="28"/>
                <w:szCs w:val="28"/>
              </w:rPr>
            </w:pPr>
            <w:r>
              <w:rPr>
                <w:rFonts w:hint="eastAsia" w:ascii="宋体" w:hAnsi="宋体"/>
                <w:b/>
                <w:color w:val="auto"/>
                <w:sz w:val="28"/>
                <w:szCs w:val="28"/>
              </w:rPr>
              <w:t>数量</w:t>
            </w:r>
          </w:p>
        </w:tc>
        <w:tc>
          <w:tcPr>
            <w:tcW w:w="1500" w:type="dxa"/>
            <w:vAlign w:val="center"/>
          </w:tcPr>
          <w:p>
            <w:pPr>
              <w:rPr>
                <w:rFonts w:hint="eastAsia" w:ascii="宋体" w:hAnsi="宋体"/>
                <w:b/>
                <w:color w:val="auto"/>
                <w:sz w:val="28"/>
                <w:szCs w:val="28"/>
              </w:rPr>
            </w:pPr>
            <w:r>
              <w:rPr>
                <w:rFonts w:hint="eastAsia" w:ascii="宋体" w:hAnsi="宋体"/>
                <w:b/>
                <w:color w:val="auto"/>
                <w:sz w:val="28"/>
                <w:szCs w:val="28"/>
              </w:rPr>
              <w:t>单价（元）</w:t>
            </w:r>
          </w:p>
        </w:tc>
        <w:tc>
          <w:tcPr>
            <w:tcW w:w="1409" w:type="dxa"/>
            <w:vAlign w:val="center"/>
          </w:tcPr>
          <w:p>
            <w:pPr>
              <w:rPr>
                <w:rFonts w:hint="eastAsia" w:ascii="宋体" w:hAnsi="宋体"/>
                <w:b/>
                <w:color w:val="auto"/>
                <w:sz w:val="28"/>
                <w:szCs w:val="28"/>
              </w:rPr>
            </w:pPr>
            <w:r>
              <w:rPr>
                <w:rFonts w:hint="eastAsia" w:ascii="宋体" w:hAnsi="宋体"/>
                <w:b/>
                <w:color w:val="auto"/>
                <w:sz w:val="28"/>
                <w:szCs w:val="28"/>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786" w:type="dxa"/>
            <w:vAlign w:val="center"/>
          </w:tcPr>
          <w:p>
            <w:pPr>
              <w:adjustRightInd w:val="0"/>
              <w:jc w:val="center"/>
              <w:rPr>
                <w:rFonts w:hint="eastAsia" w:ascii="宋体" w:hAnsi="宋体" w:cs="宋体"/>
                <w:color w:val="auto"/>
                <w:szCs w:val="21"/>
              </w:rPr>
            </w:pPr>
            <w:r>
              <w:rPr>
                <w:rFonts w:hint="eastAsia" w:ascii="宋体" w:hAnsi="宋体" w:cs="宋体"/>
                <w:color w:val="auto"/>
                <w:szCs w:val="21"/>
              </w:rPr>
              <w:t>1</w:t>
            </w:r>
          </w:p>
        </w:tc>
        <w:tc>
          <w:tcPr>
            <w:tcW w:w="1062" w:type="dxa"/>
            <w:vAlign w:val="center"/>
          </w:tcPr>
          <w:p>
            <w:pPr>
              <w:adjustRightInd w:val="0"/>
              <w:jc w:val="center"/>
              <w:rPr>
                <w:rFonts w:hint="eastAsia" w:ascii="宋体" w:hAnsi="宋体"/>
                <w:color w:val="auto"/>
                <w:sz w:val="28"/>
                <w:szCs w:val="28"/>
              </w:rPr>
            </w:pPr>
            <w:r>
              <w:rPr>
                <w:rFonts w:hint="eastAsia" w:ascii="宋体" w:hAnsi="宋体" w:cs="宋体"/>
                <w:color w:val="auto"/>
                <w:szCs w:val="21"/>
              </w:rPr>
              <w:t>高内涵活细胞分析成像系统</w:t>
            </w:r>
          </w:p>
        </w:tc>
        <w:tc>
          <w:tcPr>
            <w:tcW w:w="1413" w:type="dxa"/>
            <w:vAlign w:val="center"/>
          </w:tcPr>
          <w:p>
            <w:pPr>
              <w:adjustRightInd w:val="0"/>
              <w:jc w:val="center"/>
              <w:rPr>
                <w:rFonts w:hint="eastAsia" w:ascii="宋体" w:hAnsi="宋体"/>
                <w:color w:val="auto"/>
                <w:sz w:val="28"/>
                <w:szCs w:val="28"/>
              </w:rPr>
            </w:pPr>
            <w:r>
              <w:rPr>
                <w:rFonts w:hint="eastAsia" w:ascii="宋体" w:hAnsi="宋体" w:cs="宋体"/>
                <w:bCs/>
                <w:color w:val="auto"/>
                <w:szCs w:val="21"/>
              </w:rPr>
              <w:t>Revvity、Operetta CLS</w:t>
            </w:r>
          </w:p>
        </w:tc>
        <w:tc>
          <w:tcPr>
            <w:tcW w:w="1716" w:type="dxa"/>
            <w:vAlign w:val="center"/>
          </w:tcPr>
          <w:p>
            <w:pPr>
              <w:jc w:val="center"/>
              <w:rPr>
                <w:rFonts w:hint="eastAsia" w:ascii="宋体" w:hAnsi="宋体"/>
                <w:color w:val="auto"/>
                <w:sz w:val="28"/>
                <w:szCs w:val="28"/>
              </w:rPr>
            </w:pPr>
            <w:r>
              <w:rPr>
                <w:rFonts w:hint="eastAsia" w:ascii="宋体" w:hAnsi="宋体" w:cs="宋体"/>
                <w:bCs/>
                <w:color w:val="auto"/>
                <w:szCs w:val="21"/>
              </w:rPr>
              <w:t>Revvity Inc.</w:t>
            </w:r>
          </w:p>
        </w:tc>
        <w:tc>
          <w:tcPr>
            <w:tcW w:w="971" w:type="dxa"/>
            <w:vAlign w:val="center"/>
          </w:tcPr>
          <w:p>
            <w:pPr>
              <w:adjustRightInd w:val="0"/>
              <w:jc w:val="center"/>
              <w:rPr>
                <w:rFonts w:hint="eastAsia" w:ascii="宋体" w:hAnsi="宋体"/>
                <w:color w:val="auto"/>
                <w:sz w:val="28"/>
                <w:szCs w:val="28"/>
              </w:rPr>
            </w:pPr>
            <w:r>
              <w:rPr>
                <w:rFonts w:hint="eastAsia" w:ascii="宋体" w:hAnsi="宋体" w:cs="宋体"/>
                <w:bCs/>
                <w:color w:val="auto"/>
              </w:rPr>
              <w:t>套</w:t>
            </w:r>
          </w:p>
        </w:tc>
        <w:tc>
          <w:tcPr>
            <w:tcW w:w="888" w:type="dxa"/>
            <w:vAlign w:val="center"/>
          </w:tcPr>
          <w:p>
            <w:pPr>
              <w:adjustRightInd w:val="0"/>
              <w:jc w:val="center"/>
              <w:rPr>
                <w:rFonts w:hint="eastAsia" w:ascii="宋体" w:hAnsi="宋体"/>
                <w:color w:val="auto"/>
                <w:sz w:val="28"/>
                <w:szCs w:val="28"/>
              </w:rPr>
            </w:pPr>
            <w:r>
              <w:rPr>
                <w:rFonts w:hint="eastAsia" w:ascii="宋体" w:hAnsi="宋体" w:cs="宋体"/>
                <w:bCs/>
                <w:color w:val="auto"/>
              </w:rPr>
              <w:t>1</w:t>
            </w:r>
          </w:p>
        </w:tc>
        <w:tc>
          <w:tcPr>
            <w:tcW w:w="1500" w:type="dxa"/>
            <w:vAlign w:val="center"/>
          </w:tcPr>
          <w:p>
            <w:pPr>
              <w:adjustRightInd w:val="0"/>
              <w:jc w:val="center"/>
              <w:rPr>
                <w:rFonts w:hint="eastAsia" w:ascii="宋体" w:hAnsi="宋体"/>
                <w:color w:val="auto"/>
                <w:sz w:val="28"/>
                <w:szCs w:val="28"/>
              </w:rPr>
            </w:pPr>
            <w:r>
              <w:rPr>
                <w:rFonts w:hint="eastAsia" w:ascii="宋体" w:hAnsi="宋体" w:cs="宋体"/>
                <w:bCs/>
                <w:color w:val="auto"/>
                <w:szCs w:val="21"/>
              </w:rPr>
              <w:t>4130000.00</w:t>
            </w:r>
          </w:p>
        </w:tc>
        <w:tc>
          <w:tcPr>
            <w:tcW w:w="1409" w:type="dxa"/>
            <w:vAlign w:val="center"/>
          </w:tcPr>
          <w:p>
            <w:pPr>
              <w:adjustRightInd w:val="0"/>
              <w:jc w:val="center"/>
              <w:rPr>
                <w:rFonts w:hint="eastAsia" w:ascii="宋体" w:hAnsi="宋体"/>
                <w:color w:val="auto"/>
                <w:sz w:val="28"/>
                <w:szCs w:val="28"/>
              </w:rPr>
            </w:pPr>
            <w:r>
              <w:rPr>
                <w:rFonts w:hint="eastAsia" w:ascii="宋体" w:hAnsi="宋体" w:cs="宋体"/>
                <w:bCs/>
                <w:color w:val="auto"/>
                <w:szCs w:val="21"/>
              </w:rPr>
              <w:t>4130000.00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786" w:type="dxa"/>
            <w:vAlign w:val="center"/>
          </w:tcPr>
          <w:p>
            <w:pPr>
              <w:adjustRightInd w:val="0"/>
              <w:jc w:val="center"/>
              <w:rPr>
                <w:rFonts w:hint="eastAsia" w:ascii="宋体" w:hAnsi="宋体" w:cs="宋体"/>
                <w:color w:val="auto"/>
                <w:szCs w:val="21"/>
              </w:rPr>
            </w:pPr>
            <w:r>
              <w:rPr>
                <w:rFonts w:hint="eastAsia" w:ascii="宋体" w:hAnsi="宋体" w:cs="宋体"/>
                <w:color w:val="auto"/>
                <w:szCs w:val="21"/>
              </w:rPr>
              <w:t>2</w:t>
            </w:r>
          </w:p>
        </w:tc>
        <w:tc>
          <w:tcPr>
            <w:tcW w:w="1062" w:type="dxa"/>
            <w:vAlign w:val="center"/>
          </w:tcPr>
          <w:p>
            <w:pPr>
              <w:adjustRightInd w:val="0"/>
              <w:jc w:val="center"/>
              <w:rPr>
                <w:rFonts w:hint="eastAsia" w:ascii="宋体" w:hAnsi="宋体"/>
                <w:color w:val="auto"/>
                <w:sz w:val="28"/>
                <w:szCs w:val="28"/>
              </w:rPr>
            </w:pPr>
            <w:r>
              <w:rPr>
                <w:rFonts w:hint="eastAsia" w:ascii="宋体" w:hAnsi="宋体" w:cs="宋体"/>
                <w:color w:val="auto"/>
                <w:szCs w:val="21"/>
              </w:rPr>
              <w:t>原位单细胞空间转录组高分辨率分析系统</w:t>
            </w:r>
          </w:p>
        </w:tc>
        <w:tc>
          <w:tcPr>
            <w:tcW w:w="1413" w:type="dxa"/>
            <w:vAlign w:val="center"/>
          </w:tcPr>
          <w:p>
            <w:pPr>
              <w:adjustRightInd w:val="0"/>
              <w:jc w:val="center"/>
              <w:rPr>
                <w:rFonts w:hint="eastAsia" w:ascii="宋体" w:hAnsi="宋体"/>
                <w:color w:val="auto"/>
                <w:sz w:val="28"/>
                <w:szCs w:val="28"/>
              </w:rPr>
            </w:pPr>
            <w:r>
              <w:rPr>
                <w:rFonts w:hint="eastAsia" w:ascii="宋体" w:hAnsi="宋体" w:cs="宋体"/>
                <w:bCs/>
                <w:color w:val="auto"/>
                <w:szCs w:val="21"/>
              </w:rPr>
              <w:t>Vizgen、Merscope</w:t>
            </w:r>
          </w:p>
        </w:tc>
        <w:tc>
          <w:tcPr>
            <w:tcW w:w="1716" w:type="dxa"/>
            <w:vAlign w:val="center"/>
          </w:tcPr>
          <w:p>
            <w:pPr>
              <w:jc w:val="center"/>
              <w:rPr>
                <w:rFonts w:hint="eastAsia" w:ascii="宋体" w:hAnsi="宋体"/>
                <w:color w:val="auto"/>
                <w:sz w:val="28"/>
                <w:szCs w:val="28"/>
              </w:rPr>
            </w:pPr>
            <w:r>
              <w:rPr>
                <w:rFonts w:hint="eastAsia" w:ascii="宋体" w:hAnsi="宋体" w:cs="宋体"/>
                <w:bCs/>
                <w:color w:val="auto"/>
                <w:szCs w:val="21"/>
              </w:rPr>
              <w:t>Vizgen Inc.</w:t>
            </w:r>
          </w:p>
        </w:tc>
        <w:tc>
          <w:tcPr>
            <w:tcW w:w="971" w:type="dxa"/>
            <w:vAlign w:val="center"/>
          </w:tcPr>
          <w:p>
            <w:pPr>
              <w:adjustRightInd w:val="0"/>
              <w:jc w:val="center"/>
              <w:rPr>
                <w:rFonts w:hint="eastAsia" w:ascii="宋体" w:hAnsi="宋体"/>
                <w:color w:val="auto"/>
                <w:sz w:val="28"/>
                <w:szCs w:val="28"/>
              </w:rPr>
            </w:pPr>
            <w:r>
              <w:rPr>
                <w:rFonts w:hint="eastAsia" w:ascii="宋体" w:hAnsi="宋体" w:cs="宋体"/>
                <w:bCs/>
                <w:color w:val="auto"/>
              </w:rPr>
              <w:t>套</w:t>
            </w:r>
          </w:p>
        </w:tc>
        <w:tc>
          <w:tcPr>
            <w:tcW w:w="888" w:type="dxa"/>
            <w:vAlign w:val="center"/>
          </w:tcPr>
          <w:p>
            <w:pPr>
              <w:adjustRightInd w:val="0"/>
              <w:jc w:val="center"/>
              <w:rPr>
                <w:rFonts w:hint="eastAsia" w:ascii="宋体" w:hAnsi="宋体"/>
                <w:color w:val="auto"/>
                <w:sz w:val="28"/>
                <w:szCs w:val="28"/>
              </w:rPr>
            </w:pPr>
            <w:r>
              <w:rPr>
                <w:rFonts w:hint="eastAsia" w:ascii="宋体" w:hAnsi="宋体" w:cs="宋体"/>
                <w:bCs/>
                <w:color w:val="auto"/>
              </w:rPr>
              <w:t>1</w:t>
            </w:r>
          </w:p>
        </w:tc>
        <w:tc>
          <w:tcPr>
            <w:tcW w:w="1500" w:type="dxa"/>
            <w:vAlign w:val="center"/>
          </w:tcPr>
          <w:p>
            <w:pPr>
              <w:adjustRightInd w:val="0"/>
              <w:jc w:val="center"/>
              <w:rPr>
                <w:rFonts w:hint="eastAsia" w:ascii="宋体" w:hAnsi="宋体"/>
                <w:color w:val="auto"/>
                <w:sz w:val="28"/>
                <w:szCs w:val="28"/>
              </w:rPr>
            </w:pPr>
            <w:r>
              <w:rPr>
                <w:rFonts w:hint="eastAsia" w:ascii="宋体" w:hAnsi="宋体" w:cs="宋体"/>
                <w:bCs/>
                <w:color w:val="auto"/>
                <w:szCs w:val="21"/>
              </w:rPr>
              <w:t>4680000.00</w:t>
            </w:r>
          </w:p>
        </w:tc>
        <w:tc>
          <w:tcPr>
            <w:tcW w:w="1409" w:type="dxa"/>
            <w:vAlign w:val="center"/>
          </w:tcPr>
          <w:p>
            <w:pPr>
              <w:adjustRightInd w:val="0"/>
              <w:jc w:val="center"/>
              <w:rPr>
                <w:rFonts w:hint="eastAsia" w:ascii="宋体" w:hAnsi="宋体"/>
                <w:color w:val="auto"/>
                <w:sz w:val="28"/>
                <w:szCs w:val="28"/>
              </w:rPr>
            </w:pPr>
            <w:r>
              <w:rPr>
                <w:rFonts w:hint="eastAsia" w:ascii="宋体" w:hAnsi="宋体" w:cs="宋体"/>
                <w:bCs/>
                <w:color w:val="auto"/>
                <w:szCs w:val="21"/>
              </w:rPr>
              <w:t>4680000.00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786" w:type="dxa"/>
            <w:vAlign w:val="center"/>
          </w:tcPr>
          <w:p>
            <w:pPr>
              <w:rPr>
                <w:rFonts w:hint="eastAsia" w:ascii="宋体" w:hAnsi="宋体"/>
                <w:color w:val="auto"/>
                <w:sz w:val="28"/>
                <w:szCs w:val="28"/>
              </w:rPr>
            </w:pPr>
          </w:p>
        </w:tc>
        <w:tc>
          <w:tcPr>
            <w:tcW w:w="8959" w:type="dxa"/>
            <w:gridSpan w:val="7"/>
          </w:tcPr>
          <w:p>
            <w:pPr>
              <w:rPr>
                <w:rFonts w:hint="eastAsia" w:ascii="宋体" w:hAnsi="宋体"/>
                <w:b/>
                <w:color w:val="auto"/>
                <w:sz w:val="28"/>
                <w:szCs w:val="28"/>
              </w:rPr>
            </w:pPr>
            <w:r>
              <w:rPr>
                <w:rFonts w:hint="eastAsia" w:ascii="宋体" w:hAnsi="宋体"/>
                <w:b/>
                <w:color w:val="auto"/>
                <w:sz w:val="28"/>
                <w:szCs w:val="28"/>
              </w:rPr>
              <w:t>总价（大写）：人民币捌佰捌拾壹万元整（小写）：¥8810000.00</w:t>
            </w:r>
          </w:p>
        </w:tc>
      </w:tr>
    </w:tbl>
    <w:p>
      <w:pPr>
        <w:spacing w:line="360" w:lineRule="auto"/>
        <w:ind w:firstLine="560" w:firstLineChars="200"/>
        <w:rPr>
          <w:color w:val="auto"/>
          <w:sz w:val="28"/>
          <w:szCs w:val="28"/>
        </w:rPr>
      </w:pPr>
      <w:r>
        <w:rPr>
          <w:rFonts w:hint="eastAsia"/>
          <w:color w:val="auto"/>
          <w:sz w:val="28"/>
          <w:szCs w:val="28"/>
        </w:rPr>
        <w:t>3、详细的技术规格、质保方案及售后服务标准见附件。</w:t>
      </w:r>
    </w:p>
    <w:p>
      <w:pPr>
        <w:spacing w:line="360" w:lineRule="auto"/>
        <w:ind w:firstLine="562" w:firstLineChars="200"/>
        <w:rPr>
          <w:b/>
          <w:color w:val="auto"/>
          <w:sz w:val="28"/>
          <w:szCs w:val="28"/>
        </w:rPr>
      </w:pPr>
      <w:r>
        <w:rPr>
          <w:rFonts w:hint="eastAsia"/>
          <w:b/>
          <w:color w:val="auto"/>
          <w:sz w:val="28"/>
          <w:szCs w:val="28"/>
        </w:rPr>
        <w:t>三、安装调试</w:t>
      </w:r>
    </w:p>
    <w:p>
      <w:pPr>
        <w:spacing w:line="360" w:lineRule="auto"/>
        <w:ind w:firstLine="560" w:firstLineChars="200"/>
        <w:rPr>
          <w:color w:val="auto"/>
          <w:sz w:val="28"/>
          <w:szCs w:val="28"/>
        </w:rPr>
      </w:pPr>
      <w:r>
        <w:rPr>
          <w:rFonts w:hint="eastAsia"/>
          <w:color w:val="auto"/>
          <w:sz w:val="28"/>
          <w:szCs w:val="28"/>
        </w:rPr>
        <w:t>乙方负责对货物（设备）免费进行安装调试，并使其投入正常运行，并经双方人员签字验收。</w:t>
      </w:r>
    </w:p>
    <w:p>
      <w:pPr>
        <w:spacing w:line="360" w:lineRule="auto"/>
        <w:ind w:firstLine="562" w:firstLineChars="200"/>
        <w:rPr>
          <w:b/>
          <w:color w:val="auto"/>
          <w:sz w:val="28"/>
          <w:szCs w:val="28"/>
        </w:rPr>
      </w:pPr>
      <w:r>
        <w:rPr>
          <w:rFonts w:hint="eastAsia"/>
          <w:b/>
          <w:color w:val="auto"/>
          <w:sz w:val="28"/>
          <w:szCs w:val="28"/>
        </w:rPr>
        <w:t>四、人员技术培训</w:t>
      </w:r>
    </w:p>
    <w:p>
      <w:pPr>
        <w:spacing w:line="360" w:lineRule="auto"/>
        <w:ind w:firstLine="560" w:firstLineChars="200"/>
        <w:rPr>
          <w:color w:val="auto"/>
          <w:sz w:val="28"/>
          <w:szCs w:val="28"/>
        </w:rPr>
      </w:pPr>
      <w:r>
        <w:rPr>
          <w:rFonts w:hint="eastAsia"/>
          <w:color w:val="auto"/>
          <w:sz w:val="28"/>
          <w:szCs w:val="28"/>
        </w:rPr>
        <w:t>乙方应当安排技术人员免费为甲方人员进行技术培训和现场指导，使购买的货物（设备）国家规定运行标准和使用要求。</w:t>
      </w:r>
    </w:p>
    <w:p>
      <w:pPr>
        <w:spacing w:line="360" w:lineRule="auto"/>
        <w:ind w:firstLine="562" w:firstLineChars="200"/>
        <w:rPr>
          <w:b/>
          <w:color w:val="auto"/>
          <w:sz w:val="28"/>
          <w:szCs w:val="28"/>
        </w:rPr>
      </w:pPr>
      <w:r>
        <w:rPr>
          <w:rFonts w:hint="eastAsia"/>
          <w:b/>
          <w:color w:val="auto"/>
          <w:sz w:val="28"/>
          <w:szCs w:val="28"/>
        </w:rPr>
        <w:t>五、交付的时间、地点、运输方式、</w:t>
      </w:r>
      <w:r>
        <w:rPr>
          <w:rFonts w:hint="eastAsia" w:ascii="宋体" w:hAnsi="宋体"/>
          <w:b/>
          <w:color w:val="auto"/>
          <w:sz w:val="28"/>
          <w:szCs w:val="28"/>
        </w:rPr>
        <w:t>运输费用及风险承担</w:t>
      </w:r>
    </w:p>
    <w:p>
      <w:pPr>
        <w:spacing w:line="360" w:lineRule="auto"/>
        <w:ind w:firstLine="560" w:firstLineChars="200"/>
        <w:rPr>
          <w:color w:val="auto"/>
          <w:sz w:val="28"/>
          <w:szCs w:val="28"/>
        </w:rPr>
      </w:pPr>
      <w:r>
        <w:rPr>
          <w:rFonts w:hint="eastAsia"/>
          <w:color w:val="auto"/>
          <w:sz w:val="28"/>
          <w:szCs w:val="28"/>
        </w:rPr>
        <w:t>1、交货时间、地点：于合同生效之日</w:t>
      </w:r>
      <w:r>
        <w:rPr>
          <w:rFonts w:hint="eastAsia" w:ascii="宋体" w:hAnsi="宋体"/>
          <w:color w:val="auto"/>
          <w:sz w:val="28"/>
          <w:szCs w:val="28"/>
        </w:rPr>
        <w:t>起</w:t>
      </w:r>
      <w:r>
        <w:rPr>
          <w:rFonts w:hint="eastAsia" w:ascii="宋体" w:hAnsi="宋体"/>
          <w:color w:val="auto"/>
          <w:sz w:val="28"/>
          <w:szCs w:val="28"/>
          <w:u w:val="single"/>
        </w:rPr>
        <w:t>90</w:t>
      </w:r>
      <w:r>
        <w:rPr>
          <w:rFonts w:hint="eastAsia"/>
          <w:color w:val="auto"/>
          <w:sz w:val="28"/>
          <w:szCs w:val="28"/>
        </w:rPr>
        <w:t>日历日内（按投标承诺时间），乙方按甲方指定地点将货物免费送达。甲方或最终用户在乙方收货确认单签字盖章，或者甲方或最终用户在乙方的物流配送单据上予以签字或盖章，作为双方结算的依据。</w:t>
      </w:r>
    </w:p>
    <w:p>
      <w:pPr>
        <w:spacing w:line="360" w:lineRule="auto"/>
        <w:ind w:firstLine="560" w:firstLineChars="200"/>
        <w:rPr>
          <w:color w:val="auto"/>
          <w:sz w:val="28"/>
          <w:szCs w:val="28"/>
        </w:rPr>
      </w:pPr>
      <w:r>
        <w:rPr>
          <w:rFonts w:hint="eastAsia"/>
          <w:color w:val="auto"/>
          <w:sz w:val="28"/>
          <w:szCs w:val="28"/>
        </w:rPr>
        <w:t>2、产品运输过程中由乙方按国家有关设备供应的规定标准进行包装、供应，产生的相关费用由乙方承担。</w:t>
      </w:r>
    </w:p>
    <w:p>
      <w:pPr>
        <w:spacing w:line="360" w:lineRule="auto"/>
        <w:ind w:firstLine="560" w:firstLineChars="200"/>
        <w:rPr>
          <w:color w:val="auto"/>
          <w:sz w:val="28"/>
          <w:szCs w:val="28"/>
        </w:rPr>
      </w:pPr>
      <w:r>
        <w:rPr>
          <w:rFonts w:hint="eastAsia"/>
          <w:color w:val="auto"/>
          <w:sz w:val="28"/>
          <w:szCs w:val="28"/>
        </w:rPr>
        <w:t>3、乙方应在交货时向甲方提供货物（设备）生产制造标准、使用说明书、检验合格证明及相关的随机备品备件、配件、工具、软件等资料。</w:t>
      </w:r>
    </w:p>
    <w:p>
      <w:pPr>
        <w:ind w:firstLine="560" w:firstLineChars="200"/>
        <w:rPr>
          <w:rFonts w:hint="eastAsia" w:ascii="宋体" w:hAnsi="宋体"/>
          <w:color w:val="auto"/>
          <w:sz w:val="28"/>
          <w:szCs w:val="28"/>
        </w:rPr>
      </w:pPr>
      <w:r>
        <w:rPr>
          <w:rFonts w:hint="eastAsia"/>
          <w:color w:val="auto"/>
          <w:sz w:val="28"/>
          <w:szCs w:val="28"/>
        </w:rPr>
        <w:t>4、</w:t>
      </w:r>
      <w:r>
        <w:rPr>
          <w:rFonts w:hint="eastAsia" w:ascii="宋体" w:hAnsi="宋体"/>
          <w:color w:val="auto"/>
          <w:sz w:val="28"/>
          <w:szCs w:val="28"/>
        </w:rPr>
        <w:t>合同货物（设备）验收前的货物毁损、灭失的风险由乙方承担，验收合格后的货物灭失的风险由甲方承担。如合同商品参加保险，保险赔偿款由风险承担者享有。</w:t>
      </w:r>
    </w:p>
    <w:p>
      <w:pPr>
        <w:spacing w:line="360" w:lineRule="auto"/>
        <w:ind w:firstLine="562" w:firstLineChars="200"/>
        <w:rPr>
          <w:b/>
          <w:color w:val="auto"/>
          <w:sz w:val="28"/>
          <w:szCs w:val="28"/>
        </w:rPr>
      </w:pPr>
      <w:r>
        <w:rPr>
          <w:rFonts w:hint="eastAsia"/>
          <w:b/>
          <w:color w:val="auto"/>
          <w:sz w:val="28"/>
          <w:szCs w:val="28"/>
        </w:rPr>
        <w:t>六、</w:t>
      </w:r>
      <w:r>
        <w:rPr>
          <w:rFonts w:hint="eastAsia" w:ascii="宋体" w:hAnsi="宋体"/>
          <w:b/>
          <w:color w:val="auto"/>
          <w:sz w:val="28"/>
          <w:szCs w:val="28"/>
        </w:rPr>
        <w:t>货物（设备）</w:t>
      </w:r>
      <w:r>
        <w:rPr>
          <w:rFonts w:hint="eastAsia"/>
          <w:b/>
          <w:color w:val="auto"/>
          <w:sz w:val="28"/>
          <w:szCs w:val="28"/>
        </w:rPr>
        <w:t>验收标准、验收方式</w:t>
      </w:r>
    </w:p>
    <w:p>
      <w:pPr>
        <w:spacing w:line="360" w:lineRule="auto"/>
        <w:ind w:firstLine="560" w:firstLineChars="200"/>
        <w:rPr>
          <w:color w:val="auto"/>
          <w:sz w:val="28"/>
          <w:szCs w:val="28"/>
        </w:rPr>
      </w:pPr>
      <w:r>
        <w:rPr>
          <w:rFonts w:hint="eastAsia"/>
          <w:color w:val="auto"/>
          <w:sz w:val="28"/>
          <w:szCs w:val="28"/>
        </w:rPr>
        <w:t>1、按国家现行验收标准、规范等有关规定执行，甲方在收到货物（设备）后可以在合理期限内提出异议。</w:t>
      </w:r>
    </w:p>
    <w:p>
      <w:pPr>
        <w:spacing w:line="360" w:lineRule="auto"/>
        <w:ind w:firstLine="560" w:firstLineChars="200"/>
        <w:rPr>
          <w:color w:val="auto"/>
          <w:sz w:val="28"/>
          <w:szCs w:val="28"/>
        </w:rPr>
      </w:pPr>
      <w:r>
        <w:rPr>
          <w:rFonts w:hint="eastAsia"/>
          <w:color w:val="auto"/>
          <w:sz w:val="28"/>
          <w:szCs w:val="28"/>
        </w:rPr>
        <w:t>2、货物（设备）使用单位应在货物（设备）交付后，根据初验结果以及安装、调试、培训等情况正常运行一段时间后向甲方提出货物（设备）验收申请。</w:t>
      </w:r>
    </w:p>
    <w:p>
      <w:pPr>
        <w:spacing w:line="360" w:lineRule="auto"/>
        <w:ind w:firstLine="560" w:firstLineChars="200"/>
        <w:rPr>
          <w:color w:val="auto"/>
          <w:sz w:val="28"/>
          <w:szCs w:val="28"/>
        </w:rPr>
      </w:pPr>
      <w:r>
        <w:rPr>
          <w:rFonts w:hint="eastAsia"/>
          <w:color w:val="auto"/>
          <w:sz w:val="28"/>
          <w:szCs w:val="28"/>
        </w:rPr>
        <w:t>3、根据验收申请，甲方组织相关人员进行正式验收，也可以根据实际需要增加出厂检验、安装调试检验等多种验收环节，特殊情况下可以组织第三方共同验收。</w:t>
      </w:r>
    </w:p>
    <w:p>
      <w:pPr>
        <w:spacing w:line="360" w:lineRule="auto"/>
        <w:ind w:firstLine="562" w:firstLineChars="200"/>
        <w:rPr>
          <w:b/>
          <w:color w:val="auto"/>
          <w:sz w:val="28"/>
          <w:szCs w:val="28"/>
        </w:rPr>
      </w:pPr>
      <w:r>
        <w:rPr>
          <w:rFonts w:hint="eastAsia"/>
          <w:b/>
          <w:color w:val="auto"/>
          <w:sz w:val="28"/>
          <w:szCs w:val="28"/>
        </w:rPr>
        <w:t>七、</w:t>
      </w:r>
      <w:r>
        <w:rPr>
          <w:rFonts w:hint="eastAsia" w:ascii="宋体" w:hAnsi="宋体"/>
          <w:b/>
          <w:color w:val="auto"/>
          <w:sz w:val="28"/>
          <w:szCs w:val="28"/>
        </w:rPr>
        <w:t>货物（设备）</w:t>
      </w:r>
      <w:r>
        <w:rPr>
          <w:rFonts w:hint="eastAsia"/>
          <w:b/>
          <w:color w:val="auto"/>
          <w:sz w:val="28"/>
          <w:szCs w:val="28"/>
        </w:rPr>
        <w:t>付款时间、支付方式和支付条件</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1、合同签订后甲方收到乙方银行保函形式的预付款担保函(合同总金额的40%，保函有效期6个月)和相等金额收款收据之日起 20个工作日内，甲方向乙方支付合同总金额的40%(大写:叁佰伍拾贰万肆仟元整、小写:3524000.00元)作为合同预付款；</w:t>
      </w:r>
    </w:p>
    <w:p>
      <w:pPr>
        <w:spacing w:line="360" w:lineRule="auto"/>
        <w:ind w:firstLine="560" w:firstLineChars="200"/>
        <w:rPr>
          <w:rFonts w:hint="eastAsia" w:asciiTheme="minorEastAsia" w:hAnsiTheme="minorEastAsia" w:eastAsiaTheme="minorEastAsia" w:cstheme="minorEastAsia"/>
          <w:color w:val="auto"/>
          <w:sz w:val="24"/>
        </w:rPr>
      </w:pPr>
      <w:r>
        <w:rPr>
          <w:rFonts w:hint="eastAsia" w:ascii="宋体" w:hAnsi="宋体"/>
          <w:color w:val="auto"/>
          <w:sz w:val="28"/>
          <w:szCs w:val="28"/>
        </w:rPr>
        <w:t>货物（设备）到达合同约定的交货地点并经甲、乙双方进行验收合格后，乙方向甲方提供本合同总金额5%的银行保函（有效期同质保期，首次有效期24个月），甲方收到银行保函并查验无误后，向乙方支付剩余货款(总合同金额的60%，大写:伍佰贰拾捌万陆仟元、小写:5286000.00元)。</w:t>
      </w:r>
    </w:p>
    <w:p>
      <w:pPr>
        <w:spacing w:line="360" w:lineRule="auto"/>
        <w:ind w:firstLine="560" w:firstLineChars="200"/>
        <w:rPr>
          <w:rFonts w:hint="eastAsia" w:asciiTheme="minorEastAsia" w:hAnsiTheme="minorEastAsia" w:eastAsiaTheme="minorEastAsia" w:cstheme="minorEastAsia"/>
          <w:color w:val="auto"/>
          <w:sz w:val="24"/>
        </w:rPr>
      </w:pPr>
      <w:r>
        <w:rPr>
          <w:rFonts w:hint="eastAsia" w:ascii="宋体" w:hAnsi="宋体"/>
          <w:color w:val="auto"/>
          <w:sz w:val="28"/>
          <w:szCs w:val="28"/>
        </w:rPr>
        <w:t>以上涉及金额部分均为人民币计价，合同期内由于汇率变动产生的经营风险由乙方承担,乙方放弃以情势变更为理由要求变更甲方的付款金额。如遇不可抗力或不归责于甲方原因造成的付款延迟，甲方无需承担延迟付款的违约责任。</w:t>
      </w:r>
    </w:p>
    <w:p>
      <w:pPr>
        <w:spacing w:line="360" w:lineRule="auto"/>
        <w:ind w:firstLine="686" w:firstLineChars="245"/>
        <w:rPr>
          <w:rFonts w:hint="eastAsia" w:ascii="宋体" w:hAnsi="宋体"/>
          <w:color w:val="auto"/>
          <w:sz w:val="28"/>
          <w:szCs w:val="28"/>
        </w:rPr>
      </w:pPr>
      <w:r>
        <w:rPr>
          <w:rFonts w:hint="eastAsia" w:ascii="宋体" w:hAnsi="宋体"/>
          <w:color w:val="auto"/>
          <w:sz w:val="28"/>
          <w:szCs w:val="28"/>
        </w:rPr>
        <w:t>2、支付方式：</w:t>
      </w:r>
    </w:p>
    <w:p>
      <w:pPr>
        <w:spacing w:line="360" w:lineRule="auto"/>
        <w:ind w:firstLine="688" w:firstLineChars="246"/>
        <w:rPr>
          <w:color w:val="auto"/>
          <w:sz w:val="28"/>
          <w:szCs w:val="28"/>
        </w:rPr>
      </w:pPr>
      <w:r>
        <w:rPr>
          <w:rFonts w:hint="eastAsia" w:ascii="宋体" w:hAnsi="宋体"/>
          <w:color w:val="auto"/>
          <w:sz w:val="28"/>
          <w:szCs w:val="28"/>
        </w:rPr>
        <w:t>本合同项下所有结算款全部支付至乙方（中标方）在中国银行郑州高新技术产业开发区支行营业部</w:t>
      </w:r>
      <w:r>
        <w:rPr>
          <w:rFonts w:hint="eastAsia"/>
          <w:color w:val="auto"/>
          <w:sz w:val="28"/>
          <w:szCs w:val="28"/>
        </w:rPr>
        <w:t>开立的监管账户，该回款账户未经河南莱帕克物联装备技术有限公司同意后不得更改，具体账户信息如下：</w:t>
      </w:r>
    </w:p>
    <w:p>
      <w:pPr>
        <w:spacing w:line="360" w:lineRule="auto"/>
        <w:ind w:firstLine="688" w:firstLineChars="246"/>
        <w:rPr>
          <w:rFonts w:hint="eastAsia" w:ascii="宋体" w:hAnsi="宋体"/>
          <w:color w:val="auto"/>
          <w:sz w:val="28"/>
          <w:szCs w:val="28"/>
        </w:rPr>
      </w:pPr>
      <w:r>
        <w:rPr>
          <w:rFonts w:hint="eastAsia" w:ascii="宋体" w:hAnsi="宋体"/>
          <w:color w:val="auto"/>
          <w:sz w:val="28"/>
          <w:szCs w:val="28"/>
        </w:rPr>
        <w:t>统一社会信用代码：91410100MA45DMN30W</w:t>
      </w:r>
    </w:p>
    <w:p>
      <w:pPr>
        <w:spacing w:line="360" w:lineRule="auto"/>
        <w:ind w:firstLine="688" w:firstLineChars="246"/>
        <w:rPr>
          <w:rFonts w:hint="eastAsia" w:ascii="宋体" w:hAnsi="宋体"/>
          <w:color w:val="auto"/>
          <w:sz w:val="28"/>
          <w:szCs w:val="28"/>
        </w:rPr>
      </w:pPr>
      <w:r>
        <w:rPr>
          <w:rFonts w:hint="eastAsia" w:ascii="宋体" w:hAnsi="宋体"/>
          <w:color w:val="auto"/>
          <w:sz w:val="28"/>
          <w:szCs w:val="28"/>
        </w:rPr>
        <w:t>账户名称：河南莱帕克物联装备技术有限公司</w:t>
      </w:r>
    </w:p>
    <w:p>
      <w:pPr>
        <w:spacing w:line="360" w:lineRule="auto"/>
        <w:ind w:firstLine="688" w:firstLineChars="246"/>
        <w:rPr>
          <w:rFonts w:hint="eastAsia" w:ascii="宋体" w:hAnsi="宋体"/>
          <w:color w:val="auto"/>
          <w:sz w:val="28"/>
          <w:szCs w:val="28"/>
        </w:rPr>
      </w:pPr>
      <w:r>
        <w:rPr>
          <w:rFonts w:hint="eastAsia" w:ascii="宋体" w:hAnsi="宋体"/>
          <w:color w:val="auto"/>
          <w:sz w:val="28"/>
          <w:szCs w:val="28"/>
        </w:rPr>
        <w:t>账号：2637 6139 5734</w:t>
      </w:r>
    </w:p>
    <w:p>
      <w:pPr>
        <w:spacing w:line="400" w:lineRule="exact"/>
        <w:ind w:firstLine="688" w:firstLineChars="246"/>
        <w:rPr>
          <w:color w:val="auto"/>
          <w:sz w:val="28"/>
          <w:szCs w:val="28"/>
        </w:rPr>
      </w:pPr>
      <w:r>
        <w:rPr>
          <w:rFonts w:hint="eastAsia" w:ascii="宋体" w:hAnsi="宋体"/>
          <w:color w:val="auto"/>
          <w:sz w:val="28"/>
          <w:szCs w:val="28"/>
        </w:rPr>
        <w:t>开户银行：中国银行郑州高新技术产业开发区支行营业部</w:t>
      </w:r>
    </w:p>
    <w:p>
      <w:pPr>
        <w:spacing w:line="520" w:lineRule="exact"/>
        <w:ind w:firstLine="560" w:firstLineChars="200"/>
        <w:rPr>
          <w:rFonts w:hint="eastAsia" w:ascii="宋体" w:hAnsi="宋体"/>
          <w:color w:val="auto"/>
          <w:sz w:val="28"/>
          <w:szCs w:val="28"/>
        </w:rPr>
      </w:pPr>
      <w:r>
        <w:rPr>
          <w:rFonts w:hint="eastAsia" w:ascii="宋体" w:hAnsi="宋体"/>
          <w:color w:val="auto"/>
          <w:sz w:val="28"/>
          <w:szCs w:val="28"/>
        </w:rPr>
        <w:t>3、合同支付预付款的，乙方应先向甲方提供预付款相等金额收款收据;待货物(设备)到达合同约定地点并经甲乙双方验收合格后，乙方按合同约定金额全额开具符合国家规定的发票，甲方收到发票并通过国家税务部门官方网站检验发票真伪后按付款流程支付合同价款。</w:t>
      </w:r>
    </w:p>
    <w:p>
      <w:pPr>
        <w:spacing w:line="520" w:lineRule="exact"/>
        <w:ind w:firstLine="560" w:firstLineChars="200"/>
        <w:rPr>
          <w:color w:val="auto"/>
          <w:sz w:val="28"/>
          <w:szCs w:val="28"/>
        </w:rPr>
      </w:pPr>
      <w:r>
        <w:rPr>
          <w:rFonts w:hint="eastAsia" w:ascii="宋体" w:hAnsi="宋体"/>
          <w:color w:val="auto"/>
          <w:sz w:val="28"/>
          <w:szCs w:val="28"/>
        </w:rPr>
        <w:t>4、乙方必须提供真实、合法的发票。若乙方提供虚假发票，自发现之日起三日内乙方应无条件提供正规发票并承担甲方因此所遭受的所有损失。</w:t>
      </w:r>
      <w:r>
        <w:rPr>
          <w:rFonts w:hint="eastAsia"/>
          <w:color w:val="auto"/>
          <w:sz w:val="28"/>
          <w:szCs w:val="28"/>
        </w:rPr>
        <w:t>发票上记载的款项甲方有权不再支付，从合同款中扣减。</w:t>
      </w:r>
    </w:p>
    <w:p>
      <w:pPr>
        <w:ind w:firstLine="560" w:firstLineChars="200"/>
        <w:rPr>
          <w:rFonts w:hint="eastAsia" w:ascii="宋体" w:hAnsi="宋体"/>
          <w:bCs/>
          <w:color w:val="auto"/>
          <w:sz w:val="28"/>
          <w:szCs w:val="28"/>
        </w:rPr>
      </w:pPr>
      <w:r>
        <w:rPr>
          <w:rFonts w:hint="eastAsia" w:ascii="宋体" w:hAnsi="宋体"/>
          <w:color w:val="auto"/>
          <w:sz w:val="28"/>
          <w:szCs w:val="28"/>
        </w:rPr>
        <w:t>5、甲方在合同履行过程中，根据采购需求需求，需要追加与合同标的相同货物或服务的，可以签订补充协议，追加</w:t>
      </w:r>
      <w:r>
        <w:rPr>
          <w:rFonts w:hint="eastAsia" w:ascii="宋体" w:hAnsi="宋体"/>
          <w:bCs/>
          <w:color w:val="auto"/>
          <w:sz w:val="28"/>
          <w:szCs w:val="28"/>
        </w:rPr>
        <w:t>部分的价款不应超出合同价款的10%。</w:t>
      </w:r>
    </w:p>
    <w:p>
      <w:pPr>
        <w:spacing w:line="360" w:lineRule="auto"/>
        <w:ind w:firstLine="562" w:firstLineChars="200"/>
        <w:rPr>
          <w:b/>
          <w:color w:val="auto"/>
          <w:sz w:val="28"/>
          <w:szCs w:val="28"/>
        </w:rPr>
      </w:pPr>
      <w:r>
        <w:rPr>
          <w:rFonts w:hint="eastAsia"/>
          <w:b/>
          <w:color w:val="auto"/>
          <w:sz w:val="28"/>
          <w:szCs w:val="28"/>
        </w:rPr>
        <w:t>八、违约责任</w:t>
      </w:r>
    </w:p>
    <w:p>
      <w:pPr>
        <w:spacing w:line="360" w:lineRule="auto"/>
        <w:ind w:firstLine="560" w:firstLineChars="200"/>
        <w:rPr>
          <w:color w:val="auto"/>
          <w:sz w:val="28"/>
          <w:szCs w:val="28"/>
        </w:rPr>
      </w:pPr>
      <w:r>
        <w:rPr>
          <w:rFonts w:hint="eastAsia"/>
          <w:color w:val="auto"/>
          <w:sz w:val="28"/>
          <w:szCs w:val="28"/>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30%的违约金。同时，乙方应赔偿由于逾期供货给甲方造成的全部损失；如违约金不足以赔偿甲方损失的，乙方还应当赔偿全部损失。</w:t>
      </w:r>
    </w:p>
    <w:p>
      <w:pPr>
        <w:spacing w:line="360" w:lineRule="auto"/>
        <w:ind w:firstLine="560" w:firstLineChars="200"/>
        <w:rPr>
          <w:color w:val="auto"/>
          <w:sz w:val="28"/>
          <w:szCs w:val="28"/>
        </w:rPr>
      </w:pPr>
      <w:r>
        <w:rPr>
          <w:rFonts w:hint="eastAsia"/>
          <w:color w:val="auto"/>
          <w:sz w:val="28"/>
          <w:szCs w:val="28"/>
        </w:rPr>
        <w:t>2、乙方所提供的设备品种、型号、规格、质量不符合国家规定及本合同规定标准的，甲方有权拒收设备，并有权单方解除合同，乙方应向甲方支付不超过设备款总值30%的违约金。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乙方应向甲方支付不超过设备（货物）合同款总值30%的违约金，并按二种商品之间差价的二倍金额赔偿甲方的损失。</w:t>
      </w:r>
    </w:p>
    <w:p>
      <w:pPr>
        <w:spacing w:line="360" w:lineRule="auto"/>
        <w:ind w:firstLine="560" w:firstLineChars="200"/>
        <w:rPr>
          <w:color w:val="auto"/>
          <w:sz w:val="28"/>
          <w:szCs w:val="28"/>
        </w:rPr>
      </w:pPr>
      <w:r>
        <w:rPr>
          <w:rFonts w:hint="eastAsia"/>
          <w:color w:val="auto"/>
          <w:sz w:val="28"/>
          <w:szCs w:val="28"/>
        </w:rPr>
        <w:t>3、乙方提供的货物（设备）是由于在装卸、运输或包装造成的产品破损，乙方应负责补足合格产品数量并承担相应费用。</w:t>
      </w:r>
    </w:p>
    <w:p>
      <w:pPr>
        <w:spacing w:line="360" w:lineRule="auto"/>
        <w:ind w:firstLine="560" w:firstLineChars="200"/>
        <w:rPr>
          <w:color w:val="auto"/>
          <w:sz w:val="28"/>
          <w:szCs w:val="28"/>
        </w:rPr>
      </w:pPr>
      <w:r>
        <w:rPr>
          <w:rFonts w:hint="eastAsia"/>
          <w:color w:val="auto"/>
          <w:sz w:val="28"/>
          <w:szCs w:val="28"/>
        </w:rPr>
        <w:t>4、乙方应对提供的货物（设备）在使用过程中给甲方或任何第三方造成的人身伤害或财产损失应当承担全部责任。</w:t>
      </w:r>
    </w:p>
    <w:p>
      <w:pPr>
        <w:pStyle w:val="16"/>
        <w:spacing w:line="360" w:lineRule="auto"/>
        <w:ind w:firstLine="548" w:firstLineChars="196"/>
        <w:rPr>
          <w:rFonts w:cs="Times New Roman"/>
          <w:color w:val="auto"/>
          <w:sz w:val="28"/>
          <w:szCs w:val="28"/>
        </w:rPr>
      </w:pPr>
      <w:r>
        <w:rPr>
          <w:rFonts w:hint="eastAsia"/>
          <w:color w:val="auto"/>
          <w:sz w:val="28"/>
          <w:szCs w:val="28"/>
        </w:rPr>
        <w:t>5、本货物（设备）的质保期</w:t>
      </w:r>
      <w:r>
        <w:rPr>
          <w:rFonts w:hint="eastAsia"/>
          <w:color w:val="auto"/>
          <w:sz w:val="28"/>
          <w:szCs w:val="28"/>
          <w:u w:val="single"/>
        </w:rPr>
        <w:t>高内涵活细胞分析成像系统：26个月、原位单细胞空间转录组高分辨率分析系统：3年</w:t>
      </w:r>
      <w:r>
        <w:rPr>
          <w:rFonts w:hint="eastAsia"/>
          <w:color w:val="auto"/>
          <w:sz w:val="28"/>
          <w:szCs w:val="28"/>
        </w:rPr>
        <w:t>，</w:t>
      </w:r>
      <w:r>
        <w:rPr>
          <w:rFonts w:hint="eastAsia" w:cs="Times New Roman"/>
          <w:color w:val="auto"/>
          <w:sz w:val="28"/>
          <w:szCs w:val="28"/>
        </w:rPr>
        <w:t>如乙方违反《售后服务计划》约定未及时履行保修义务的，每发生一次，乙方应向甲方支付违约金10000元。甲方因乙方违约而委托第三方进行维修所产生的相应维修费用，乙方无条件同意并承担由此产生的所有费用和责任。</w:t>
      </w:r>
    </w:p>
    <w:p>
      <w:pPr>
        <w:pStyle w:val="16"/>
        <w:spacing w:line="360" w:lineRule="auto"/>
        <w:ind w:firstLine="548" w:firstLineChars="196"/>
        <w:rPr>
          <w:rFonts w:hint="eastAsia" w:ascii="宋体" w:hAnsi="宋体" w:cs="Times New Roman"/>
          <w:bCs/>
          <w:color w:val="auto"/>
          <w:sz w:val="28"/>
          <w:szCs w:val="28"/>
        </w:rPr>
      </w:pPr>
      <w:r>
        <w:rPr>
          <w:rFonts w:hint="eastAsia" w:cs="Times New Roman"/>
          <w:color w:val="auto"/>
          <w:sz w:val="28"/>
          <w:szCs w:val="28"/>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pPr>
        <w:adjustRightInd w:val="0"/>
        <w:snapToGrid w:val="0"/>
        <w:spacing w:line="360" w:lineRule="auto"/>
        <w:ind w:firstLine="562" w:firstLineChars="200"/>
        <w:jc w:val="left"/>
        <w:rPr>
          <w:b/>
          <w:color w:val="auto"/>
          <w:sz w:val="28"/>
          <w:szCs w:val="28"/>
        </w:rPr>
      </w:pPr>
      <w:r>
        <w:rPr>
          <w:rFonts w:hint="eastAsia"/>
          <w:b/>
          <w:color w:val="auto"/>
          <w:sz w:val="28"/>
          <w:szCs w:val="28"/>
        </w:rPr>
        <w:t>九、特别约定</w:t>
      </w:r>
    </w:p>
    <w:p>
      <w:pPr>
        <w:adjustRightInd w:val="0"/>
        <w:snapToGrid w:val="0"/>
        <w:spacing w:line="360" w:lineRule="auto"/>
        <w:ind w:firstLine="560" w:firstLineChars="200"/>
        <w:jc w:val="left"/>
        <w:rPr>
          <w:color w:val="auto"/>
          <w:sz w:val="28"/>
          <w:szCs w:val="28"/>
        </w:rPr>
      </w:pPr>
      <w:r>
        <w:rPr>
          <w:rFonts w:hint="eastAsia"/>
          <w:color w:val="auto"/>
          <w:sz w:val="28"/>
          <w:szCs w:val="28"/>
        </w:rPr>
        <w:t>1、甲、乙双方应严格遵守投标要求和投标人须知，如有违反，按投标要求和投标人须知规定予以处理。</w:t>
      </w:r>
      <w:r>
        <w:rPr>
          <w:color w:val="auto"/>
          <w:sz w:val="28"/>
          <w:szCs w:val="28"/>
        </w:rPr>
        <w:t>因设备的质量问题发生争议，</w:t>
      </w:r>
      <w:r>
        <w:rPr>
          <w:rFonts w:hint="eastAsia"/>
          <w:color w:val="auto"/>
          <w:sz w:val="28"/>
          <w:szCs w:val="28"/>
        </w:rPr>
        <w:t>可</w:t>
      </w:r>
      <w:r>
        <w:rPr>
          <w:color w:val="auto"/>
          <w:sz w:val="28"/>
          <w:szCs w:val="28"/>
        </w:rPr>
        <w:t>由法定的技术鉴定单位进行质量鉴定</w:t>
      </w:r>
      <w:r>
        <w:rPr>
          <w:rFonts w:hint="eastAsia"/>
          <w:color w:val="auto"/>
          <w:sz w:val="28"/>
          <w:szCs w:val="28"/>
        </w:rPr>
        <w:t>，经鉴定产品设备存在质量问题的，因此发生的鉴定费用及其他合理费用由乙方全部承担</w:t>
      </w:r>
      <w:r>
        <w:rPr>
          <w:color w:val="auto"/>
          <w:sz w:val="28"/>
          <w:szCs w:val="28"/>
        </w:rPr>
        <w:t>。</w:t>
      </w:r>
    </w:p>
    <w:p>
      <w:pPr>
        <w:pStyle w:val="4"/>
        <w:adjustRightInd w:val="0"/>
        <w:snapToGrid w:val="0"/>
        <w:spacing w:before="0" w:beforeAutospacing="0" w:after="0" w:afterAutospacing="0" w:line="360" w:lineRule="auto"/>
        <w:ind w:firstLine="560" w:firstLineChars="200"/>
        <w:rPr>
          <w:rFonts w:ascii="Times New Roman" w:hAnsi="Times New Roman" w:cs="Times New Roman"/>
          <w:color w:val="auto"/>
          <w:kern w:val="2"/>
          <w:sz w:val="28"/>
          <w:szCs w:val="28"/>
        </w:rPr>
      </w:pPr>
      <w:r>
        <w:rPr>
          <w:rFonts w:hint="eastAsia" w:ascii="Times New Roman" w:hAnsi="Times New Roman" w:cs="Times New Roman"/>
          <w:color w:val="auto"/>
          <w:kern w:val="2"/>
          <w:sz w:val="28"/>
          <w:szCs w:val="28"/>
        </w:rPr>
        <w:t>2、本合同</w:t>
      </w:r>
      <w:r>
        <w:rPr>
          <w:rFonts w:ascii="Times New Roman" w:hAnsi="Times New Roman" w:cs="Times New Roman"/>
          <w:color w:val="auto"/>
          <w:kern w:val="2"/>
          <w:sz w:val="28"/>
          <w:szCs w:val="28"/>
        </w:rPr>
        <w:t>采购文件及其修改、投标文件及其修改、澄清</w:t>
      </w:r>
      <w:r>
        <w:rPr>
          <w:rFonts w:hint="eastAsia" w:ascii="Times New Roman" w:hAnsi="Times New Roman" w:cs="Times New Roman"/>
          <w:color w:val="auto"/>
          <w:kern w:val="2"/>
          <w:sz w:val="28"/>
          <w:szCs w:val="28"/>
        </w:rPr>
        <w:t>、合同附件均</w:t>
      </w:r>
      <w:r>
        <w:rPr>
          <w:rFonts w:ascii="Times New Roman" w:hAnsi="Times New Roman" w:cs="Times New Roman"/>
          <w:color w:val="auto"/>
          <w:kern w:val="2"/>
          <w:sz w:val="28"/>
          <w:szCs w:val="28"/>
        </w:rPr>
        <w:t>为本合同的组成部分</w:t>
      </w:r>
      <w:r>
        <w:rPr>
          <w:rFonts w:hint="eastAsia" w:ascii="Times New Roman" w:hAnsi="Times New Roman" w:cs="Times New Roman"/>
          <w:color w:val="auto"/>
          <w:kern w:val="2"/>
          <w:sz w:val="28"/>
          <w:szCs w:val="28"/>
        </w:rPr>
        <w:t>，具有同等法律效力；与本合同约定不一致之处，以本合同为准。</w:t>
      </w:r>
    </w:p>
    <w:p>
      <w:pPr>
        <w:spacing w:line="360" w:lineRule="auto"/>
        <w:ind w:firstLine="560" w:firstLineChars="200"/>
        <w:rPr>
          <w:color w:val="auto"/>
          <w:sz w:val="28"/>
          <w:szCs w:val="28"/>
        </w:rPr>
      </w:pPr>
      <w:r>
        <w:rPr>
          <w:rFonts w:hint="eastAsia"/>
          <w:color w:val="auto"/>
          <w:sz w:val="28"/>
          <w:szCs w:val="28"/>
        </w:rPr>
        <w:t>3、本合同的任何修改、补充应以书面形式进行，并经双方的授权代表签字并加盖公章后方为有效。</w:t>
      </w:r>
    </w:p>
    <w:p>
      <w:pPr>
        <w:spacing w:line="360" w:lineRule="auto"/>
        <w:ind w:firstLine="562" w:firstLineChars="200"/>
        <w:rPr>
          <w:b/>
          <w:color w:val="auto"/>
          <w:sz w:val="28"/>
          <w:szCs w:val="28"/>
        </w:rPr>
      </w:pPr>
      <w:r>
        <w:rPr>
          <w:rFonts w:hint="eastAsia"/>
          <w:b/>
          <w:color w:val="auto"/>
          <w:sz w:val="28"/>
          <w:szCs w:val="28"/>
        </w:rPr>
        <w:t>十、争议解决方式和管辖</w:t>
      </w:r>
    </w:p>
    <w:p>
      <w:pPr>
        <w:spacing w:line="360" w:lineRule="auto"/>
        <w:ind w:firstLine="560" w:firstLineChars="200"/>
        <w:rPr>
          <w:color w:val="auto"/>
          <w:sz w:val="28"/>
          <w:szCs w:val="28"/>
        </w:rPr>
      </w:pPr>
      <w:r>
        <w:rPr>
          <w:rFonts w:hint="eastAsia"/>
          <w:color w:val="auto"/>
          <w:sz w:val="28"/>
          <w:szCs w:val="28"/>
        </w:rPr>
        <w:t>因货物（设备）的质量问题发生争议以及履行本合同发生争议的，以本合同条款为标准协商解决，若协商无果，任何一方均可向合同签订地的人民法院提起诉讼。</w:t>
      </w:r>
    </w:p>
    <w:p>
      <w:pPr>
        <w:spacing w:line="360" w:lineRule="auto"/>
        <w:ind w:firstLine="562" w:firstLineChars="200"/>
        <w:rPr>
          <w:b/>
          <w:color w:val="auto"/>
          <w:sz w:val="28"/>
          <w:szCs w:val="28"/>
        </w:rPr>
      </w:pPr>
      <w:r>
        <w:rPr>
          <w:rFonts w:hint="eastAsia"/>
          <w:b/>
          <w:color w:val="auto"/>
          <w:sz w:val="28"/>
          <w:szCs w:val="28"/>
        </w:rPr>
        <w:t>十一、生效及其它</w:t>
      </w:r>
    </w:p>
    <w:p>
      <w:pPr>
        <w:spacing w:line="360" w:lineRule="auto"/>
        <w:ind w:firstLine="560" w:firstLineChars="200"/>
        <w:rPr>
          <w:color w:val="auto"/>
          <w:sz w:val="28"/>
          <w:szCs w:val="28"/>
        </w:rPr>
      </w:pPr>
      <w:r>
        <w:rPr>
          <w:rFonts w:hint="eastAsia"/>
          <w:color w:val="auto"/>
          <w:sz w:val="28"/>
          <w:szCs w:val="28"/>
        </w:rPr>
        <w:t>1、本合同自甲、乙双方签字、盖章之日起生效。</w:t>
      </w:r>
    </w:p>
    <w:p>
      <w:pPr>
        <w:spacing w:line="360" w:lineRule="auto"/>
        <w:ind w:firstLine="560" w:firstLineChars="200"/>
        <w:rPr>
          <w:color w:val="auto"/>
          <w:sz w:val="28"/>
          <w:szCs w:val="28"/>
        </w:rPr>
      </w:pPr>
      <w:r>
        <w:rPr>
          <w:rFonts w:hint="eastAsia"/>
          <w:color w:val="auto"/>
          <w:sz w:val="28"/>
          <w:szCs w:val="28"/>
        </w:rPr>
        <w:t>2、如有未尽事宜，甲、乙双方可另行协商签订补充协议，补充协议及招、投标文件、质疑答复、附件和本合同具有同等法律效力。</w:t>
      </w:r>
    </w:p>
    <w:p>
      <w:pPr>
        <w:spacing w:line="360" w:lineRule="auto"/>
        <w:ind w:firstLine="560" w:firstLineChars="200"/>
        <w:rPr>
          <w:color w:val="auto"/>
          <w:sz w:val="28"/>
          <w:szCs w:val="28"/>
        </w:rPr>
      </w:pPr>
      <w:r>
        <w:rPr>
          <w:rFonts w:hint="eastAsia"/>
          <w:color w:val="auto"/>
          <w:sz w:val="28"/>
          <w:szCs w:val="28"/>
        </w:rPr>
        <w:t>3、本合同一式七份，甲方</w:t>
      </w:r>
      <w:r>
        <w:rPr>
          <w:rFonts w:hint="eastAsia"/>
          <w:color w:val="auto"/>
          <w:sz w:val="28"/>
          <w:szCs w:val="28"/>
          <w:u w:val="single"/>
        </w:rPr>
        <w:t>四</w:t>
      </w:r>
      <w:r>
        <w:rPr>
          <w:rFonts w:hint="eastAsia"/>
          <w:color w:val="auto"/>
          <w:sz w:val="28"/>
          <w:szCs w:val="28"/>
        </w:rPr>
        <w:t>份、乙方</w:t>
      </w:r>
      <w:r>
        <w:rPr>
          <w:rFonts w:hint="eastAsia"/>
          <w:color w:val="auto"/>
          <w:sz w:val="28"/>
          <w:szCs w:val="28"/>
          <w:u w:val="single"/>
        </w:rPr>
        <w:t>二</w:t>
      </w:r>
      <w:r>
        <w:rPr>
          <w:rFonts w:hint="eastAsia"/>
          <w:color w:val="auto"/>
          <w:sz w:val="28"/>
          <w:szCs w:val="28"/>
        </w:rPr>
        <w:t>份、招标公司</w:t>
      </w:r>
      <w:r>
        <w:rPr>
          <w:rFonts w:hint="eastAsia"/>
          <w:color w:val="auto"/>
          <w:sz w:val="28"/>
          <w:szCs w:val="28"/>
          <w:u w:val="single"/>
        </w:rPr>
        <w:t>一</w:t>
      </w:r>
      <w:r>
        <w:rPr>
          <w:rFonts w:hint="eastAsia"/>
          <w:color w:val="auto"/>
          <w:sz w:val="28"/>
          <w:szCs w:val="28"/>
        </w:rPr>
        <w:t>份，具有同等法律效力。</w:t>
      </w:r>
    </w:p>
    <w:p>
      <w:pPr>
        <w:spacing w:line="360" w:lineRule="auto"/>
        <w:rPr>
          <w:color w:val="auto"/>
          <w:sz w:val="28"/>
          <w:szCs w:val="28"/>
        </w:rPr>
      </w:pPr>
      <w:r>
        <w:rPr>
          <w:rFonts w:hint="eastAsia"/>
          <w:color w:val="auto"/>
          <w:sz w:val="28"/>
          <w:szCs w:val="28"/>
        </w:rPr>
        <w:t>（以下无正文，为合同签署页）</w:t>
      </w:r>
    </w:p>
    <w:p>
      <w:pPr>
        <w:rPr>
          <w:b/>
          <w:color w:val="auto"/>
          <w:sz w:val="28"/>
          <w:szCs w:val="28"/>
        </w:rPr>
      </w:pPr>
      <w:r>
        <w:rPr>
          <w:b/>
          <w:color w:val="auto"/>
          <w:sz w:val="28"/>
          <w:szCs w:val="28"/>
        </w:rPr>
        <w:br w:type="page"/>
      </w:r>
    </w:p>
    <w:p>
      <w:pPr>
        <w:rPr>
          <w:b/>
          <w:color w:val="auto"/>
          <w:sz w:val="28"/>
          <w:szCs w:val="28"/>
        </w:rPr>
      </w:pPr>
    </w:p>
    <w:p>
      <w:pPr>
        <w:spacing w:line="360" w:lineRule="auto"/>
        <w:rPr>
          <w:rFonts w:hint="eastAsia" w:eastAsia="宋体"/>
          <w:color w:val="auto"/>
          <w:sz w:val="28"/>
          <w:szCs w:val="28"/>
          <w:lang w:eastAsia="zh-CN"/>
        </w:rPr>
      </w:pPr>
      <w:r>
        <w:rPr>
          <w:rFonts w:hint="eastAsia" w:eastAsia="宋体"/>
          <w:color w:val="auto"/>
          <w:sz w:val="28"/>
          <w:szCs w:val="28"/>
          <w:lang w:eastAsia="zh-CN"/>
        </w:rPr>
        <w:drawing>
          <wp:inline distT="0" distB="0" distL="114300" distR="114300">
            <wp:extent cx="5871845" cy="6282055"/>
            <wp:effectExtent l="0" t="0" r="4445" b="14605"/>
            <wp:docPr id="3" name="图片 3" descr="ecaa898291970be7c64bbbaccf1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caa898291970be7c64bbbaccf11977"/>
                    <pic:cNvPicPr>
                      <a:picLocks noChangeAspect="1"/>
                    </pic:cNvPicPr>
                  </pic:nvPicPr>
                  <pic:blipFill>
                    <a:blip r:embed="rId8"/>
                    <a:srcRect l="-378" t="-297" r="40841" b="297"/>
                    <a:stretch>
                      <a:fillRect/>
                    </a:stretch>
                  </pic:blipFill>
                  <pic:spPr>
                    <a:xfrm rot="5400000">
                      <a:off x="0" y="0"/>
                      <a:ext cx="5871845" cy="6282055"/>
                    </a:xfrm>
                    <a:prstGeom prst="rect">
                      <a:avLst/>
                    </a:prstGeom>
                  </pic:spPr>
                </pic:pic>
              </a:graphicData>
            </a:graphic>
          </wp:inline>
        </w:drawing>
      </w:r>
    </w:p>
    <w:p>
      <w:pPr>
        <w:rPr>
          <w:color w:val="auto"/>
          <w:sz w:val="28"/>
          <w:szCs w:val="28"/>
        </w:rPr>
      </w:pPr>
    </w:p>
    <w:p>
      <w:pPr>
        <w:rPr>
          <w:color w:val="auto"/>
          <w:sz w:val="28"/>
          <w:szCs w:val="28"/>
        </w:rPr>
      </w:pPr>
    </w:p>
    <w:p>
      <w:pPr>
        <w:rPr>
          <w:color w:val="auto"/>
          <w:sz w:val="28"/>
          <w:szCs w:val="28"/>
        </w:rPr>
      </w:pPr>
    </w:p>
    <w:p>
      <w:pPr>
        <w:spacing w:line="480" w:lineRule="auto"/>
        <w:rPr>
          <w:b/>
          <w:color w:val="auto"/>
          <w:sz w:val="28"/>
          <w:szCs w:val="28"/>
        </w:rPr>
        <w:sectPr>
          <w:footerReference r:id="rId6" w:type="default"/>
          <w:pgSz w:w="11906" w:h="16838"/>
          <w:pgMar w:top="1440" w:right="1134" w:bottom="1440" w:left="1417" w:header="851" w:footer="992" w:gutter="0"/>
          <w:pgNumType w:start="1"/>
          <w:cols w:space="720" w:num="1"/>
          <w:docGrid w:type="lines" w:linePitch="312" w:charSpace="0"/>
        </w:sectPr>
      </w:pPr>
    </w:p>
    <w:p>
      <w:pPr>
        <w:spacing w:line="320" w:lineRule="exact"/>
        <w:jc w:val="left"/>
        <w:rPr>
          <w:rFonts w:hint="eastAsia" w:ascii="宋体" w:hAnsi="宋体" w:cs="Calibri"/>
          <w:b/>
          <w:color w:val="auto"/>
          <w:sz w:val="28"/>
          <w:szCs w:val="28"/>
        </w:rPr>
      </w:pPr>
      <w:r>
        <w:rPr>
          <w:rFonts w:hint="eastAsia"/>
          <w:b/>
          <w:color w:val="auto"/>
          <w:sz w:val="28"/>
          <w:szCs w:val="28"/>
        </w:rPr>
        <w:t>附件（1）：详细技术参数、规格及</w:t>
      </w:r>
      <w:r>
        <w:rPr>
          <w:rFonts w:hint="eastAsia" w:ascii="宋体" w:hAnsi="宋体" w:cs="Calibri"/>
          <w:b/>
          <w:color w:val="auto"/>
          <w:sz w:val="28"/>
          <w:szCs w:val="28"/>
        </w:rPr>
        <w:t>配置清单</w:t>
      </w:r>
    </w:p>
    <w:p>
      <w:pPr>
        <w:spacing w:line="320" w:lineRule="exact"/>
        <w:jc w:val="left"/>
        <w:rPr>
          <w:rFonts w:hint="eastAsia" w:ascii="宋体" w:hAnsi="宋体" w:cs="Calibri"/>
          <w:b/>
          <w:color w:val="auto"/>
          <w:sz w:val="28"/>
          <w:szCs w:val="28"/>
        </w:rPr>
      </w:pPr>
    </w:p>
    <w:tbl>
      <w:tblPr>
        <w:tblStyle w:val="5"/>
        <w:tblW w:w="9146" w:type="dxa"/>
        <w:jc w:val="center"/>
        <w:tblLayout w:type="fixed"/>
        <w:tblCellMar>
          <w:top w:w="0" w:type="dxa"/>
          <w:left w:w="108" w:type="dxa"/>
          <w:bottom w:w="0" w:type="dxa"/>
          <w:right w:w="108" w:type="dxa"/>
        </w:tblCellMar>
      </w:tblPr>
      <w:tblGrid>
        <w:gridCol w:w="1234"/>
        <w:gridCol w:w="1294"/>
        <w:gridCol w:w="4629"/>
        <w:gridCol w:w="992"/>
        <w:gridCol w:w="997"/>
      </w:tblGrid>
      <w:tr>
        <w:tblPrEx>
          <w:tblCellMar>
            <w:top w:w="0" w:type="dxa"/>
            <w:left w:w="108" w:type="dxa"/>
            <w:bottom w:w="0" w:type="dxa"/>
            <w:right w:w="108" w:type="dxa"/>
          </w:tblCellMar>
        </w:tblPrEx>
        <w:trPr>
          <w:trHeight w:val="889" w:hRule="atLeast"/>
          <w:jc w:val="center"/>
        </w:trPr>
        <w:tc>
          <w:tcPr>
            <w:tcW w:w="12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rPr>
            </w:pPr>
            <w:r>
              <w:rPr>
                <w:rFonts w:hint="eastAsia" w:ascii="宋体" w:hAnsi="宋体"/>
                <w:b/>
                <w:bCs/>
                <w:color w:val="auto"/>
                <w:spacing w:val="10"/>
                <w:kern w:val="0"/>
                <w:sz w:val="28"/>
                <w:szCs w:val="28"/>
              </w:rPr>
              <w:t>名称</w:t>
            </w:r>
          </w:p>
        </w:tc>
        <w:tc>
          <w:tcPr>
            <w:tcW w:w="129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rPr>
            </w:pPr>
            <w:r>
              <w:rPr>
                <w:rFonts w:hint="eastAsia" w:ascii="宋体" w:hAnsi="宋体"/>
                <w:b/>
                <w:bCs/>
                <w:color w:val="auto"/>
                <w:spacing w:val="10"/>
                <w:kern w:val="0"/>
                <w:sz w:val="28"/>
                <w:szCs w:val="28"/>
              </w:rPr>
              <w:t>型号</w:t>
            </w:r>
          </w:p>
        </w:tc>
        <w:tc>
          <w:tcPr>
            <w:tcW w:w="4629"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rPr>
            </w:pPr>
            <w:r>
              <w:rPr>
                <w:rFonts w:hint="eastAsia" w:ascii="宋体" w:hAnsi="宋体"/>
                <w:b/>
                <w:bCs/>
                <w:color w:val="auto"/>
                <w:spacing w:val="10"/>
                <w:kern w:val="0"/>
                <w:sz w:val="28"/>
                <w:szCs w:val="28"/>
              </w:rPr>
              <w:t>规格、参数</w:t>
            </w:r>
          </w:p>
        </w:tc>
        <w:tc>
          <w:tcPr>
            <w:tcW w:w="992"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rPr>
            </w:pPr>
            <w:r>
              <w:rPr>
                <w:rFonts w:hint="eastAsia" w:ascii="宋体" w:hAnsi="宋体"/>
                <w:b/>
                <w:bCs/>
                <w:color w:val="auto"/>
                <w:spacing w:val="10"/>
                <w:kern w:val="0"/>
                <w:sz w:val="28"/>
                <w:szCs w:val="28"/>
              </w:rPr>
              <w:t>原产地</w:t>
            </w:r>
          </w:p>
        </w:tc>
        <w:tc>
          <w:tcPr>
            <w:tcW w:w="997"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hint="eastAsia" w:ascii="宋体" w:hAnsi="宋体"/>
                <w:b/>
                <w:bCs/>
                <w:color w:val="auto"/>
                <w:spacing w:val="10"/>
                <w:kern w:val="0"/>
                <w:sz w:val="28"/>
                <w:szCs w:val="28"/>
              </w:rPr>
            </w:pPr>
            <w:r>
              <w:rPr>
                <w:rFonts w:hint="eastAsia" w:ascii="宋体" w:hAnsi="宋体"/>
                <w:b/>
                <w:bCs/>
                <w:color w:val="auto"/>
                <w:spacing w:val="10"/>
                <w:kern w:val="0"/>
                <w:sz w:val="28"/>
                <w:szCs w:val="28"/>
              </w:rPr>
              <w:t>生产厂家</w:t>
            </w:r>
          </w:p>
        </w:tc>
      </w:tr>
      <w:tr>
        <w:tblPrEx>
          <w:tblCellMar>
            <w:top w:w="0" w:type="dxa"/>
            <w:left w:w="108" w:type="dxa"/>
            <w:bottom w:w="0" w:type="dxa"/>
            <w:right w:w="108" w:type="dxa"/>
          </w:tblCellMar>
        </w:tblPrEx>
        <w:trPr>
          <w:trHeight w:val="888"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jc w:val="center"/>
              <w:rPr>
                <w:rFonts w:hint="eastAsia" w:ascii="宋体" w:hAnsi="宋体" w:cs="宋体"/>
                <w:color w:val="auto"/>
                <w:szCs w:val="21"/>
              </w:rPr>
            </w:pPr>
            <w:r>
              <w:rPr>
                <w:rFonts w:hint="eastAsia" w:ascii="宋体" w:hAnsi="宋体" w:cs="宋体"/>
                <w:color w:val="auto"/>
                <w:szCs w:val="21"/>
              </w:rPr>
              <w:t>高内涵活细胞分析成像系统</w:t>
            </w:r>
          </w:p>
        </w:tc>
        <w:tc>
          <w:tcPr>
            <w:tcW w:w="1294" w:type="dxa"/>
            <w:tcBorders>
              <w:top w:val="single" w:color="000000" w:sz="4" w:space="0"/>
              <w:left w:val="nil"/>
              <w:bottom w:val="single" w:color="000000" w:sz="4" w:space="0"/>
              <w:right w:val="single" w:color="000000" w:sz="4" w:space="0"/>
            </w:tcBorders>
            <w:shd w:val="clear" w:color="auto" w:fill="auto"/>
            <w:vAlign w:val="center"/>
          </w:tcPr>
          <w:p>
            <w:pPr>
              <w:adjustRightInd w:val="0"/>
              <w:jc w:val="center"/>
              <w:rPr>
                <w:rFonts w:hint="eastAsia" w:ascii="宋体" w:hAnsi="宋体" w:cs="宋体"/>
                <w:bCs/>
                <w:color w:val="auto"/>
                <w:szCs w:val="21"/>
              </w:rPr>
            </w:pPr>
            <w:r>
              <w:rPr>
                <w:rFonts w:hint="eastAsia" w:ascii="宋体" w:hAnsi="宋体" w:cs="宋体"/>
                <w:bCs/>
                <w:color w:val="auto"/>
                <w:szCs w:val="21"/>
              </w:rPr>
              <w:t>Revvity、Operetta CLS</w:t>
            </w:r>
          </w:p>
        </w:tc>
        <w:tc>
          <w:tcPr>
            <w:tcW w:w="4629" w:type="dxa"/>
            <w:tcBorders>
              <w:top w:val="single" w:color="000000" w:sz="4" w:space="0"/>
              <w:left w:val="nil"/>
              <w:bottom w:val="single" w:color="000000" w:sz="4" w:space="0"/>
              <w:right w:val="single" w:color="000000" w:sz="4" w:space="0"/>
            </w:tcBorders>
            <w:shd w:val="clear" w:color="auto" w:fill="auto"/>
            <w:vAlign w:val="center"/>
          </w:tcPr>
          <w:p>
            <w:pPr>
              <w:autoSpaceDE w:val="0"/>
              <w:autoSpaceDN w:val="0"/>
              <w:rPr>
                <w:rFonts w:hint="eastAsia" w:ascii="宋体" w:hAnsi="宋体" w:cs="宋体"/>
                <w:color w:val="auto"/>
                <w:szCs w:val="21"/>
              </w:rPr>
            </w:pPr>
            <w:r>
              <w:rPr>
                <w:rFonts w:hint="eastAsia" w:ascii="宋体" w:hAnsi="宋体" w:cs="宋体"/>
                <w:color w:val="auto"/>
                <w:szCs w:val="21"/>
              </w:rPr>
              <w:t>技术参数：</w:t>
            </w:r>
          </w:p>
          <w:p>
            <w:pPr>
              <w:autoSpaceDE w:val="0"/>
              <w:autoSpaceDN w:val="0"/>
              <w:rPr>
                <w:rFonts w:hint="eastAsia" w:ascii="宋体" w:hAnsi="宋体" w:cs="宋体"/>
                <w:color w:val="auto"/>
                <w:szCs w:val="21"/>
              </w:rPr>
            </w:pPr>
            <w:r>
              <w:rPr>
                <w:rFonts w:hint="eastAsia" w:ascii="宋体" w:hAnsi="宋体" w:cs="宋体"/>
                <w:color w:val="auto"/>
                <w:szCs w:val="21"/>
              </w:rPr>
              <w:t>1.功能：</w:t>
            </w:r>
          </w:p>
          <w:p>
            <w:pPr>
              <w:autoSpaceDE w:val="0"/>
              <w:autoSpaceDN w:val="0"/>
              <w:rPr>
                <w:rFonts w:hint="eastAsia" w:ascii="宋体" w:hAnsi="宋体" w:cs="宋体"/>
                <w:color w:val="auto"/>
                <w:szCs w:val="21"/>
              </w:rPr>
            </w:pPr>
            <w:r>
              <w:rPr>
                <w:rFonts w:hint="eastAsia" w:ascii="宋体" w:hAnsi="宋体" w:cs="宋体"/>
                <w:color w:val="auto"/>
                <w:szCs w:val="21"/>
              </w:rPr>
              <w:t>主要应用于细胞生物学、细胞与基因治疗、干细胞与再生医学、脑科学、类器官等研究的细胞、组织或者模式生物检测筛选与分析，可应用于细胞生物学、细胞与基因治疗、干细胞与再生医学、脑科学、类器官等研究的各个阶段。在保持细胞结构和功能完整性的前提下，对细胞进行多通道、多靶点的荧光或可见光的全面扫描、检测细胞形态、生长、分化、迁移、凋亡、代谢途径及信号转导等各个环节，在单一实验中获取大量相关信息；应用高分辨率的成像系统，在细胞水平上检测多个指标的多元化、功能性筛选技术，要求获得细胞实时快速的生物效应信息；检测应用范围包括：靶点激活、细胞凋亡、分裂指数、蛋白转位、细胞活力、细胞迁移、受体内化、细胞毒性、细胞周期和信号转导等；高通量的获得大量高质量的细胞显微图像，并对大量的数据进行高通量的管理和分析。</w:t>
            </w:r>
          </w:p>
          <w:p>
            <w:pPr>
              <w:autoSpaceDE w:val="0"/>
              <w:autoSpaceDN w:val="0"/>
              <w:rPr>
                <w:rFonts w:hint="eastAsia" w:ascii="宋体" w:hAnsi="宋体" w:cs="宋体"/>
                <w:color w:val="auto"/>
                <w:szCs w:val="21"/>
              </w:rPr>
            </w:pPr>
            <w:r>
              <w:rPr>
                <w:rFonts w:hint="eastAsia" w:ascii="宋体" w:hAnsi="宋体" w:cs="宋体"/>
                <w:color w:val="auto"/>
                <w:szCs w:val="21"/>
              </w:rPr>
              <w:t>2.配置清单：</w:t>
            </w:r>
          </w:p>
          <w:p>
            <w:pPr>
              <w:autoSpaceDE w:val="0"/>
              <w:autoSpaceDN w:val="0"/>
              <w:rPr>
                <w:rFonts w:hint="eastAsia" w:ascii="宋体" w:hAnsi="宋体" w:cs="宋体"/>
                <w:color w:val="auto"/>
                <w:szCs w:val="21"/>
              </w:rPr>
            </w:pPr>
            <w:r>
              <w:rPr>
                <w:rFonts w:hint="eastAsia" w:ascii="宋体" w:hAnsi="宋体" w:cs="宋体"/>
                <w:color w:val="auto"/>
                <w:szCs w:val="21"/>
              </w:rPr>
              <w:t>2.1 主机一套</w:t>
            </w:r>
          </w:p>
          <w:p>
            <w:pPr>
              <w:autoSpaceDE w:val="0"/>
              <w:autoSpaceDN w:val="0"/>
              <w:rPr>
                <w:rFonts w:hint="eastAsia" w:ascii="宋体" w:hAnsi="宋体" w:cs="宋体"/>
                <w:color w:val="auto"/>
                <w:szCs w:val="21"/>
              </w:rPr>
            </w:pPr>
            <w:r>
              <w:rPr>
                <w:rFonts w:hint="eastAsia" w:ascii="宋体" w:hAnsi="宋体" w:cs="宋体"/>
                <w:color w:val="auto"/>
                <w:szCs w:val="21"/>
              </w:rPr>
              <w:t>2.2 转盘共聚焦模块一套</w:t>
            </w:r>
          </w:p>
          <w:p>
            <w:pPr>
              <w:autoSpaceDE w:val="0"/>
              <w:autoSpaceDN w:val="0"/>
              <w:rPr>
                <w:rFonts w:hint="eastAsia" w:ascii="宋体" w:hAnsi="宋体" w:cs="宋体"/>
                <w:color w:val="auto"/>
                <w:szCs w:val="21"/>
              </w:rPr>
            </w:pPr>
            <w:r>
              <w:rPr>
                <w:rFonts w:hint="eastAsia" w:ascii="宋体" w:hAnsi="宋体" w:cs="宋体"/>
                <w:color w:val="auto"/>
                <w:szCs w:val="21"/>
              </w:rPr>
              <w:t>2.3 四波段固态长寿命高能LED（375 nm，475 nm，550 nm，630 nm）一套</w:t>
            </w:r>
          </w:p>
          <w:p>
            <w:pPr>
              <w:autoSpaceDE w:val="0"/>
              <w:autoSpaceDN w:val="0"/>
              <w:rPr>
                <w:rFonts w:hint="eastAsia" w:ascii="宋体" w:hAnsi="宋体" w:cs="宋体"/>
                <w:color w:val="auto"/>
                <w:szCs w:val="21"/>
              </w:rPr>
            </w:pPr>
            <w:r>
              <w:rPr>
                <w:rFonts w:hint="eastAsia" w:ascii="宋体" w:hAnsi="宋体" w:cs="宋体"/>
                <w:color w:val="auto"/>
                <w:szCs w:val="21"/>
              </w:rPr>
              <w:t>2.4 5X 长工作距离物镜一个</w:t>
            </w:r>
          </w:p>
          <w:p>
            <w:pPr>
              <w:autoSpaceDE w:val="0"/>
              <w:autoSpaceDN w:val="0"/>
              <w:rPr>
                <w:rFonts w:hint="eastAsia" w:ascii="宋体" w:hAnsi="宋体" w:cs="宋体"/>
                <w:color w:val="auto"/>
                <w:szCs w:val="21"/>
              </w:rPr>
            </w:pPr>
            <w:r>
              <w:rPr>
                <w:rFonts w:hint="eastAsia" w:ascii="宋体" w:hAnsi="宋体" w:cs="宋体"/>
                <w:color w:val="auto"/>
                <w:szCs w:val="21"/>
              </w:rPr>
              <w:t>2.5 10X 长工作距离物镜一个</w:t>
            </w:r>
          </w:p>
          <w:p>
            <w:pPr>
              <w:autoSpaceDE w:val="0"/>
              <w:autoSpaceDN w:val="0"/>
              <w:rPr>
                <w:rFonts w:hint="eastAsia" w:ascii="宋体" w:hAnsi="宋体" w:cs="宋体"/>
                <w:color w:val="auto"/>
                <w:szCs w:val="21"/>
              </w:rPr>
            </w:pPr>
            <w:r>
              <w:rPr>
                <w:rFonts w:hint="eastAsia" w:ascii="宋体" w:hAnsi="宋体" w:cs="宋体"/>
                <w:color w:val="auto"/>
                <w:szCs w:val="21"/>
              </w:rPr>
              <w:t>2.6 20X 长工作距离物镜一个</w:t>
            </w:r>
          </w:p>
          <w:p>
            <w:pPr>
              <w:autoSpaceDE w:val="0"/>
              <w:autoSpaceDN w:val="0"/>
              <w:rPr>
                <w:rFonts w:hint="eastAsia" w:ascii="宋体" w:hAnsi="宋体" w:cs="宋体"/>
                <w:color w:val="auto"/>
                <w:szCs w:val="21"/>
              </w:rPr>
            </w:pPr>
            <w:r>
              <w:rPr>
                <w:rFonts w:hint="eastAsia" w:ascii="宋体" w:hAnsi="宋体" w:cs="宋体"/>
                <w:color w:val="auto"/>
                <w:szCs w:val="21"/>
              </w:rPr>
              <w:t>2.7 40X 长工作距离物镜一个</w:t>
            </w:r>
          </w:p>
          <w:p>
            <w:pPr>
              <w:autoSpaceDE w:val="0"/>
              <w:autoSpaceDN w:val="0"/>
              <w:rPr>
                <w:rFonts w:hint="eastAsia" w:ascii="宋体" w:hAnsi="宋体" w:cs="宋体"/>
                <w:color w:val="auto"/>
                <w:szCs w:val="21"/>
              </w:rPr>
            </w:pPr>
            <w:r>
              <w:rPr>
                <w:rFonts w:hint="eastAsia" w:ascii="宋体" w:hAnsi="宋体" w:cs="宋体"/>
                <w:color w:val="auto"/>
                <w:szCs w:val="21"/>
              </w:rPr>
              <w:t>2.8 63X 高数值孔径水浸物镜一个</w:t>
            </w:r>
          </w:p>
          <w:p>
            <w:pPr>
              <w:autoSpaceDE w:val="0"/>
              <w:autoSpaceDN w:val="0"/>
              <w:rPr>
                <w:rFonts w:hint="eastAsia" w:ascii="宋体" w:hAnsi="宋体" w:cs="宋体"/>
                <w:color w:val="auto"/>
                <w:szCs w:val="21"/>
              </w:rPr>
            </w:pPr>
            <w:r>
              <w:rPr>
                <w:rFonts w:hint="eastAsia" w:ascii="宋体" w:hAnsi="宋体" w:cs="宋体"/>
                <w:color w:val="auto"/>
                <w:szCs w:val="21"/>
              </w:rPr>
              <w:t>2.9 全自动物镜补水循环系统一套</w:t>
            </w:r>
          </w:p>
          <w:p>
            <w:pPr>
              <w:autoSpaceDE w:val="0"/>
              <w:autoSpaceDN w:val="0"/>
              <w:rPr>
                <w:rFonts w:hint="eastAsia" w:ascii="宋体" w:hAnsi="宋体" w:cs="宋体"/>
                <w:color w:val="auto"/>
                <w:szCs w:val="21"/>
              </w:rPr>
            </w:pPr>
            <w:r>
              <w:rPr>
                <w:rFonts w:hint="eastAsia" w:ascii="宋体" w:hAnsi="宋体" w:cs="宋体"/>
                <w:color w:val="auto"/>
                <w:szCs w:val="21"/>
              </w:rPr>
              <w:t>2.10 玻片适配器一套</w:t>
            </w:r>
          </w:p>
          <w:p>
            <w:pPr>
              <w:autoSpaceDE w:val="0"/>
              <w:autoSpaceDN w:val="0"/>
              <w:rPr>
                <w:rFonts w:hint="eastAsia" w:ascii="宋体" w:hAnsi="宋体" w:cs="宋体"/>
                <w:color w:val="auto"/>
                <w:szCs w:val="21"/>
              </w:rPr>
            </w:pPr>
            <w:r>
              <w:rPr>
                <w:rFonts w:hint="eastAsia" w:ascii="宋体" w:hAnsi="宋体" w:cs="宋体"/>
                <w:color w:val="auto"/>
                <w:szCs w:val="21"/>
              </w:rPr>
              <w:t>2.11环境控制单元（温控，CO</w:t>
            </w:r>
            <w:r>
              <w:rPr>
                <w:rFonts w:hint="eastAsia" w:ascii="宋体" w:hAnsi="宋体" w:cs="宋体"/>
                <w:color w:val="auto"/>
                <w:szCs w:val="21"/>
                <w:vertAlign w:val="subscript"/>
              </w:rPr>
              <w:t>2</w:t>
            </w:r>
            <w:r>
              <w:rPr>
                <w:rFonts w:hint="eastAsia" w:ascii="宋体" w:hAnsi="宋体" w:cs="宋体"/>
                <w:color w:val="auto"/>
                <w:szCs w:val="21"/>
              </w:rPr>
              <w:t>）一套</w:t>
            </w:r>
          </w:p>
          <w:p>
            <w:pPr>
              <w:autoSpaceDE w:val="0"/>
              <w:autoSpaceDN w:val="0"/>
              <w:rPr>
                <w:rFonts w:hint="eastAsia" w:ascii="宋体" w:hAnsi="宋体" w:cs="宋体"/>
                <w:color w:val="auto"/>
                <w:szCs w:val="21"/>
              </w:rPr>
            </w:pPr>
            <w:r>
              <w:rPr>
                <w:rFonts w:hint="eastAsia" w:ascii="宋体" w:hAnsi="宋体" w:cs="宋体"/>
                <w:color w:val="auto"/>
                <w:szCs w:val="21"/>
              </w:rPr>
              <w:t>2.12标准图像工作站一套</w:t>
            </w:r>
          </w:p>
          <w:p>
            <w:pPr>
              <w:autoSpaceDE w:val="0"/>
              <w:autoSpaceDN w:val="0"/>
              <w:rPr>
                <w:rFonts w:hint="eastAsia" w:ascii="宋体" w:hAnsi="宋体" w:cs="宋体"/>
                <w:color w:val="auto"/>
                <w:szCs w:val="21"/>
              </w:rPr>
            </w:pPr>
            <w:r>
              <w:rPr>
                <w:rFonts w:hint="eastAsia" w:ascii="宋体" w:hAnsi="宋体" w:cs="宋体"/>
                <w:color w:val="auto"/>
                <w:szCs w:val="21"/>
              </w:rPr>
              <w:t>2.13采集和分析软件及软件自学习模块一套</w:t>
            </w:r>
          </w:p>
          <w:p>
            <w:pPr>
              <w:autoSpaceDE w:val="0"/>
              <w:autoSpaceDN w:val="0"/>
              <w:rPr>
                <w:rFonts w:hint="eastAsia" w:ascii="宋体" w:hAnsi="宋体" w:cs="宋体"/>
                <w:color w:val="auto"/>
                <w:szCs w:val="21"/>
              </w:rPr>
            </w:pPr>
            <w:r>
              <w:rPr>
                <w:rFonts w:hint="eastAsia" w:ascii="宋体" w:hAnsi="宋体" w:cs="宋体"/>
                <w:color w:val="auto"/>
                <w:szCs w:val="21"/>
              </w:rPr>
              <w:t>3技术指标：</w:t>
            </w:r>
          </w:p>
          <w:p>
            <w:pPr>
              <w:autoSpaceDE w:val="0"/>
              <w:autoSpaceDN w:val="0"/>
              <w:rPr>
                <w:rFonts w:hint="eastAsia" w:ascii="宋体" w:hAnsi="宋体" w:cs="宋体"/>
                <w:color w:val="auto"/>
                <w:szCs w:val="21"/>
              </w:rPr>
            </w:pPr>
            <w:r>
              <w:rPr>
                <w:rFonts w:hint="eastAsia" w:ascii="宋体" w:hAnsi="宋体" w:cs="宋体"/>
                <w:color w:val="auto"/>
                <w:szCs w:val="21"/>
              </w:rPr>
              <w:t>3.1 检测模式：具有宽场荧光成像、明场成像、明场无标记成像和共聚焦荧光成像四种检测模式。</w:t>
            </w:r>
          </w:p>
          <w:p>
            <w:pPr>
              <w:autoSpaceDE w:val="0"/>
              <w:autoSpaceDN w:val="0"/>
              <w:rPr>
                <w:rFonts w:hint="eastAsia" w:ascii="宋体" w:hAnsi="宋体" w:cs="宋体"/>
                <w:color w:val="auto"/>
                <w:szCs w:val="21"/>
              </w:rPr>
            </w:pPr>
            <w:r>
              <w:rPr>
                <w:rFonts w:hint="eastAsia" w:ascii="宋体" w:hAnsi="宋体" w:cs="宋体"/>
                <w:color w:val="auto"/>
                <w:szCs w:val="21"/>
              </w:rPr>
              <w:t>3.2 高内涵光路系统：</w:t>
            </w:r>
          </w:p>
          <w:p>
            <w:pPr>
              <w:autoSpaceDE w:val="0"/>
              <w:autoSpaceDN w:val="0"/>
              <w:rPr>
                <w:rFonts w:hint="eastAsia" w:ascii="宋体" w:hAnsi="宋体" w:cs="宋体"/>
                <w:color w:val="auto"/>
                <w:szCs w:val="21"/>
              </w:rPr>
            </w:pPr>
            <w:r>
              <w:rPr>
                <w:rFonts w:hint="eastAsia" w:ascii="宋体" w:hAnsi="宋体" w:cs="宋体"/>
                <w:color w:val="auto"/>
                <w:szCs w:val="21"/>
              </w:rPr>
              <w:t>3.2.1 采用光路一体化、一体机设计，操作时无需避光，可避免外接光路、外接光源、振动对活细胞成像稳定性的影响。</w:t>
            </w:r>
          </w:p>
          <w:p>
            <w:pPr>
              <w:autoSpaceDE w:val="0"/>
              <w:autoSpaceDN w:val="0"/>
              <w:rPr>
                <w:rFonts w:hint="eastAsia" w:ascii="宋体" w:hAnsi="宋体" w:cs="宋体"/>
                <w:color w:val="auto"/>
                <w:szCs w:val="21"/>
              </w:rPr>
            </w:pPr>
            <w:r>
              <w:rPr>
                <w:rFonts w:hint="eastAsia" w:ascii="宋体" w:hAnsi="宋体" w:cs="宋体"/>
                <w:color w:val="auto"/>
                <w:szCs w:val="21"/>
              </w:rPr>
              <w:t>3.2.2 具备暗室实验进度指示灯显示实验进程。</w:t>
            </w:r>
          </w:p>
          <w:p>
            <w:pPr>
              <w:autoSpaceDE w:val="0"/>
              <w:autoSpaceDN w:val="0"/>
              <w:rPr>
                <w:rFonts w:hint="eastAsia" w:ascii="宋体" w:hAnsi="宋体" w:cs="宋体"/>
                <w:color w:val="auto"/>
                <w:szCs w:val="21"/>
              </w:rPr>
            </w:pPr>
            <w:r>
              <w:rPr>
                <w:rFonts w:hint="eastAsia" w:ascii="宋体" w:hAnsi="宋体" w:cs="宋体"/>
                <w:color w:val="auto"/>
                <w:szCs w:val="21"/>
              </w:rPr>
              <w:t>3.3 光源：配置4波段固态光源和740 nm近红外LED 双光源系统。</w:t>
            </w:r>
          </w:p>
          <w:p>
            <w:pPr>
              <w:autoSpaceDE w:val="0"/>
              <w:autoSpaceDN w:val="0"/>
              <w:rPr>
                <w:rFonts w:hint="eastAsia" w:ascii="宋体" w:hAnsi="宋体" w:cs="宋体"/>
                <w:color w:val="auto"/>
                <w:szCs w:val="21"/>
              </w:rPr>
            </w:pPr>
            <w:r>
              <w:rPr>
                <w:rFonts w:hint="eastAsia" w:ascii="宋体" w:hAnsi="宋体" w:cs="宋体"/>
                <w:color w:val="auto"/>
                <w:szCs w:val="21"/>
              </w:rPr>
              <w:t>3.3.1 荧光光源:</w:t>
            </w:r>
          </w:p>
          <w:p>
            <w:pPr>
              <w:autoSpaceDE w:val="0"/>
              <w:autoSpaceDN w:val="0"/>
              <w:rPr>
                <w:rFonts w:hint="eastAsia" w:ascii="宋体" w:hAnsi="宋体" w:cs="宋体"/>
                <w:color w:val="auto"/>
                <w:szCs w:val="21"/>
              </w:rPr>
            </w:pPr>
            <w:r>
              <w:rPr>
                <w:rFonts w:hint="eastAsia" w:ascii="宋体" w:hAnsi="宋体" w:cs="宋体"/>
                <w:color w:val="auto"/>
                <w:szCs w:val="21"/>
              </w:rPr>
              <w:t>3.3.1.1 光源类型:4波段固态LED，功率100mW使用寿命≥100,000小时</w:t>
            </w:r>
          </w:p>
          <w:p>
            <w:pPr>
              <w:autoSpaceDE w:val="0"/>
              <w:autoSpaceDN w:val="0"/>
              <w:rPr>
                <w:rFonts w:hint="eastAsia" w:ascii="宋体" w:hAnsi="宋体" w:cs="宋体"/>
                <w:color w:val="auto"/>
                <w:szCs w:val="21"/>
              </w:rPr>
            </w:pPr>
            <w:r>
              <w:rPr>
                <w:rFonts w:hint="eastAsia" w:ascii="宋体" w:hAnsi="宋体" w:cs="宋体"/>
                <w:color w:val="auto"/>
                <w:szCs w:val="21"/>
              </w:rPr>
              <w:t>3.3.1.2 光源设计：采用免光纤设计。</w:t>
            </w:r>
          </w:p>
          <w:p>
            <w:pPr>
              <w:autoSpaceDE w:val="0"/>
              <w:autoSpaceDN w:val="0"/>
              <w:rPr>
                <w:rFonts w:hint="eastAsia" w:ascii="宋体" w:hAnsi="宋体" w:cs="宋体"/>
                <w:color w:val="auto"/>
                <w:szCs w:val="21"/>
              </w:rPr>
            </w:pPr>
            <w:r>
              <w:rPr>
                <w:rFonts w:hint="eastAsia" w:ascii="宋体" w:hAnsi="宋体" w:cs="宋体"/>
                <w:color w:val="auto"/>
                <w:szCs w:val="21"/>
              </w:rPr>
              <w:t>3.3.1.3 激发波长包括： 375 nm，475 nm，550 nm，630 nm</w:t>
            </w:r>
          </w:p>
          <w:p>
            <w:pPr>
              <w:autoSpaceDE w:val="0"/>
              <w:autoSpaceDN w:val="0"/>
              <w:rPr>
                <w:rFonts w:hint="eastAsia" w:ascii="宋体" w:hAnsi="宋体" w:cs="宋体"/>
                <w:color w:val="auto"/>
                <w:szCs w:val="21"/>
              </w:rPr>
            </w:pPr>
            <w:r>
              <w:rPr>
                <w:rFonts w:hint="eastAsia" w:ascii="宋体" w:hAnsi="宋体" w:cs="宋体"/>
                <w:color w:val="auto"/>
                <w:szCs w:val="21"/>
              </w:rPr>
              <w:t>3.3.2明场光源</w:t>
            </w:r>
          </w:p>
          <w:p>
            <w:pPr>
              <w:autoSpaceDE w:val="0"/>
              <w:autoSpaceDN w:val="0"/>
              <w:rPr>
                <w:rFonts w:hint="eastAsia" w:ascii="宋体" w:hAnsi="宋体" w:cs="宋体"/>
                <w:color w:val="auto"/>
                <w:szCs w:val="21"/>
              </w:rPr>
            </w:pPr>
            <w:r>
              <w:rPr>
                <w:rFonts w:hint="eastAsia" w:ascii="宋体" w:hAnsi="宋体" w:cs="宋体"/>
                <w:color w:val="auto"/>
                <w:szCs w:val="21"/>
              </w:rPr>
              <w:t>3.3.2.1 光源类型：LED 光源</w:t>
            </w:r>
          </w:p>
          <w:p>
            <w:pPr>
              <w:autoSpaceDE w:val="0"/>
              <w:autoSpaceDN w:val="0"/>
              <w:rPr>
                <w:rFonts w:hint="eastAsia" w:ascii="宋体" w:hAnsi="宋体" w:cs="宋体"/>
                <w:color w:val="auto"/>
                <w:szCs w:val="21"/>
              </w:rPr>
            </w:pPr>
            <w:r>
              <w:rPr>
                <w:rFonts w:hint="eastAsia" w:ascii="宋体" w:hAnsi="宋体" w:cs="宋体"/>
                <w:color w:val="auto"/>
                <w:szCs w:val="21"/>
              </w:rPr>
              <w:t>3.3.2.2光源功率170mW，使用寿命≥100,000小时</w:t>
            </w:r>
          </w:p>
          <w:p>
            <w:pPr>
              <w:autoSpaceDE w:val="0"/>
              <w:autoSpaceDN w:val="0"/>
              <w:rPr>
                <w:rFonts w:hint="eastAsia" w:ascii="宋体" w:hAnsi="宋体" w:cs="宋体"/>
                <w:color w:val="auto"/>
                <w:szCs w:val="21"/>
              </w:rPr>
            </w:pPr>
            <w:r>
              <w:rPr>
                <w:rFonts w:hint="eastAsia" w:ascii="宋体" w:hAnsi="宋体" w:cs="宋体"/>
                <w:color w:val="auto"/>
                <w:szCs w:val="21"/>
              </w:rPr>
              <w:t>3.3.2.3 可实现全息景深包围纹理成像，在无标记细胞成像中达到“0”背景超高信噪比</w:t>
            </w:r>
          </w:p>
          <w:p>
            <w:pPr>
              <w:autoSpaceDE w:val="0"/>
              <w:autoSpaceDN w:val="0"/>
              <w:rPr>
                <w:rFonts w:hint="eastAsia" w:ascii="宋体" w:hAnsi="宋体" w:cs="宋体"/>
                <w:color w:val="auto"/>
                <w:szCs w:val="21"/>
              </w:rPr>
            </w:pPr>
            <w:r>
              <w:rPr>
                <w:rFonts w:hint="eastAsia" w:ascii="宋体" w:hAnsi="宋体" w:cs="宋体"/>
                <w:color w:val="auto"/>
                <w:szCs w:val="21"/>
              </w:rPr>
              <w:t>3.4 共聚焦光路：</w:t>
            </w:r>
          </w:p>
          <w:p>
            <w:pPr>
              <w:autoSpaceDE w:val="0"/>
              <w:autoSpaceDN w:val="0"/>
              <w:rPr>
                <w:rFonts w:hint="eastAsia" w:ascii="宋体" w:hAnsi="宋体" w:cs="宋体"/>
                <w:color w:val="auto"/>
                <w:szCs w:val="21"/>
              </w:rPr>
            </w:pPr>
            <w:r>
              <w:rPr>
                <w:rFonts w:hint="eastAsia" w:ascii="宋体" w:hAnsi="宋体" w:cs="宋体"/>
                <w:color w:val="auto"/>
                <w:szCs w:val="21"/>
              </w:rPr>
              <w:t>3.4.1 共聚焦类型：微孔阵列式转盘共聚焦</w:t>
            </w:r>
          </w:p>
          <w:p>
            <w:pPr>
              <w:autoSpaceDE w:val="0"/>
              <w:autoSpaceDN w:val="0"/>
              <w:rPr>
                <w:rFonts w:hint="eastAsia" w:ascii="宋体" w:hAnsi="宋体" w:cs="宋体"/>
                <w:color w:val="auto"/>
                <w:szCs w:val="21"/>
              </w:rPr>
            </w:pPr>
            <w:r>
              <w:rPr>
                <w:rFonts w:hint="eastAsia" w:ascii="宋体" w:hAnsi="宋体" w:cs="宋体"/>
                <w:color w:val="auto"/>
                <w:szCs w:val="21"/>
              </w:rPr>
              <w:t>3.4.2 转盘转速：1500 rpm</w:t>
            </w:r>
          </w:p>
          <w:p>
            <w:pPr>
              <w:autoSpaceDE w:val="0"/>
              <w:autoSpaceDN w:val="0"/>
              <w:rPr>
                <w:rFonts w:hint="eastAsia" w:ascii="宋体" w:hAnsi="宋体" w:cs="宋体"/>
                <w:color w:val="auto"/>
                <w:szCs w:val="21"/>
              </w:rPr>
            </w:pPr>
            <w:r>
              <w:rPr>
                <w:rFonts w:hint="eastAsia" w:ascii="宋体" w:hAnsi="宋体" w:cs="宋体"/>
                <w:color w:val="auto"/>
                <w:szCs w:val="21"/>
              </w:rPr>
              <w:t>3.5 检测器：</w:t>
            </w:r>
          </w:p>
          <w:p>
            <w:pPr>
              <w:autoSpaceDE w:val="0"/>
              <w:autoSpaceDN w:val="0"/>
              <w:rPr>
                <w:rFonts w:hint="eastAsia" w:ascii="宋体" w:hAnsi="宋体" w:cs="宋体"/>
                <w:color w:val="auto"/>
                <w:szCs w:val="21"/>
              </w:rPr>
            </w:pPr>
            <w:r>
              <w:rPr>
                <w:rFonts w:hint="eastAsia" w:ascii="宋体" w:hAnsi="宋体" w:cs="宋体"/>
                <w:color w:val="auto"/>
                <w:szCs w:val="21"/>
              </w:rPr>
              <w:t>3.5.1 检测器类型：sCMOS相机</w:t>
            </w:r>
          </w:p>
          <w:p>
            <w:pPr>
              <w:autoSpaceDE w:val="0"/>
              <w:autoSpaceDN w:val="0"/>
              <w:rPr>
                <w:rFonts w:hint="eastAsia" w:ascii="宋体" w:hAnsi="宋体" w:cs="宋体"/>
                <w:color w:val="auto"/>
                <w:szCs w:val="21"/>
              </w:rPr>
            </w:pPr>
            <w:r>
              <w:rPr>
                <w:rFonts w:hint="eastAsia" w:ascii="宋体" w:hAnsi="宋体" w:cs="宋体"/>
                <w:color w:val="auto"/>
                <w:szCs w:val="21"/>
              </w:rPr>
              <w:t>3.5.2 像素规格2160 x 2160 pixel</w:t>
            </w:r>
          </w:p>
          <w:p>
            <w:pPr>
              <w:autoSpaceDE w:val="0"/>
              <w:autoSpaceDN w:val="0"/>
              <w:rPr>
                <w:rFonts w:hint="eastAsia" w:ascii="宋体" w:hAnsi="宋体" w:cs="宋体"/>
                <w:color w:val="auto"/>
                <w:szCs w:val="21"/>
              </w:rPr>
            </w:pPr>
            <w:r>
              <w:rPr>
                <w:rFonts w:hint="eastAsia" w:ascii="宋体" w:hAnsi="宋体" w:cs="宋体"/>
                <w:color w:val="auto"/>
                <w:szCs w:val="21"/>
              </w:rPr>
              <w:t>3.5.3 像素尺寸6.5 μm x 6.5 μm 。</w:t>
            </w:r>
          </w:p>
          <w:p>
            <w:pPr>
              <w:autoSpaceDE w:val="0"/>
              <w:autoSpaceDN w:val="0"/>
              <w:rPr>
                <w:rFonts w:hint="eastAsia" w:ascii="宋体" w:hAnsi="宋体" w:cs="宋体"/>
                <w:color w:val="auto"/>
                <w:szCs w:val="21"/>
              </w:rPr>
            </w:pPr>
            <w:r>
              <w:rPr>
                <w:rFonts w:hint="eastAsia" w:ascii="宋体" w:hAnsi="宋体" w:cs="宋体"/>
                <w:color w:val="auto"/>
                <w:szCs w:val="21"/>
              </w:rPr>
              <w:t>3.6 发射滤光片</w:t>
            </w:r>
          </w:p>
          <w:p>
            <w:pPr>
              <w:autoSpaceDE w:val="0"/>
              <w:autoSpaceDN w:val="0"/>
              <w:rPr>
                <w:rFonts w:hint="eastAsia" w:ascii="宋体" w:hAnsi="宋体" w:cs="宋体"/>
                <w:color w:val="auto"/>
                <w:szCs w:val="21"/>
              </w:rPr>
            </w:pPr>
            <w:r>
              <w:rPr>
                <w:rFonts w:hint="eastAsia" w:ascii="宋体" w:hAnsi="宋体" w:cs="宋体"/>
                <w:color w:val="auto"/>
                <w:szCs w:val="21"/>
              </w:rPr>
              <w:t>3.6.1 发射滤光片转轮8孔位满载</w:t>
            </w:r>
          </w:p>
          <w:p>
            <w:pPr>
              <w:autoSpaceDE w:val="0"/>
              <w:autoSpaceDN w:val="0"/>
              <w:rPr>
                <w:rFonts w:hint="eastAsia" w:ascii="宋体" w:hAnsi="宋体" w:cs="宋体"/>
                <w:color w:val="auto"/>
                <w:szCs w:val="21"/>
              </w:rPr>
            </w:pPr>
            <w:r>
              <w:rPr>
                <w:rFonts w:hint="eastAsia" w:ascii="宋体" w:hAnsi="宋体" w:cs="宋体"/>
                <w:color w:val="auto"/>
                <w:szCs w:val="21"/>
              </w:rPr>
              <w:t>3.6.2 配置读码器，支持条形码识别</w:t>
            </w:r>
          </w:p>
          <w:p>
            <w:pPr>
              <w:autoSpaceDE w:val="0"/>
              <w:autoSpaceDN w:val="0"/>
              <w:rPr>
                <w:rFonts w:hint="eastAsia" w:ascii="宋体" w:hAnsi="宋体" w:cs="宋体"/>
                <w:color w:val="auto"/>
                <w:szCs w:val="21"/>
              </w:rPr>
            </w:pPr>
            <w:r>
              <w:rPr>
                <w:rFonts w:hint="eastAsia" w:ascii="宋体" w:hAnsi="宋体" w:cs="宋体"/>
                <w:color w:val="auto"/>
                <w:szCs w:val="21"/>
              </w:rPr>
              <w:t>3.7 二向色镜</w:t>
            </w:r>
          </w:p>
          <w:p>
            <w:pPr>
              <w:autoSpaceDE w:val="0"/>
              <w:autoSpaceDN w:val="0"/>
              <w:rPr>
                <w:rFonts w:hint="eastAsia" w:ascii="宋体" w:hAnsi="宋体" w:cs="宋体"/>
                <w:color w:val="auto"/>
                <w:szCs w:val="21"/>
              </w:rPr>
            </w:pPr>
            <w:r>
              <w:rPr>
                <w:rFonts w:hint="eastAsia" w:ascii="宋体" w:hAnsi="宋体" w:cs="宋体"/>
                <w:color w:val="auto"/>
                <w:szCs w:val="21"/>
              </w:rPr>
              <w:t>3.7.1 提供8孔位二向色镜转轮，与激发光源、发射光转轮一一对应。</w:t>
            </w:r>
          </w:p>
          <w:p>
            <w:pPr>
              <w:autoSpaceDE w:val="0"/>
              <w:autoSpaceDN w:val="0"/>
              <w:rPr>
                <w:rFonts w:hint="eastAsia" w:ascii="宋体" w:hAnsi="宋体" w:cs="宋体"/>
                <w:color w:val="auto"/>
                <w:szCs w:val="21"/>
              </w:rPr>
            </w:pPr>
            <w:r>
              <w:rPr>
                <w:rFonts w:hint="eastAsia" w:ascii="宋体" w:hAnsi="宋体" w:cs="宋体"/>
                <w:color w:val="auto"/>
                <w:szCs w:val="21"/>
              </w:rPr>
              <w:t>3.7.2配置读码器，支持条形码识别</w:t>
            </w:r>
          </w:p>
          <w:p>
            <w:pPr>
              <w:autoSpaceDE w:val="0"/>
              <w:autoSpaceDN w:val="0"/>
              <w:rPr>
                <w:rFonts w:hint="eastAsia" w:ascii="宋体" w:hAnsi="宋体" w:cs="宋体"/>
                <w:color w:val="auto"/>
                <w:szCs w:val="21"/>
              </w:rPr>
            </w:pPr>
            <w:r>
              <w:rPr>
                <w:rFonts w:hint="eastAsia" w:ascii="宋体" w:hAnsi="宋体" w:cs="宋体"/>
                <w:color w:val="auto"/>
                <w:szCs w:val="21"/>
              </w:rPr>
              <w:t>3.8 物镜</w:t>
            </w:r>
          </w:p>
          <w:p>
            <w:pPr>
              <w:autoSpaceDE w:val="0"/>
              <w:autoSpaceDN w:val="0"/>
              <w:rPr>
                <w:rFonts w:hint="eastAsia" w:ascii="宋体" w:hAnsi="宋体" w:cs="宋体"/>
                <w:color w:val="auto"/>
                <w:szCs w:val="21"/>
              </w:rPr>
            </w:pPr>
            <w:r>
              <w:rPr>
                <w:rFonts w:hint="eastAsia" w:ascii="宋体" w:hAnsi="宋体" w:cs="宋体"/>
                <w:color w:val="auto"/>
                <w:szCs w:val="21"/>
              </w:rPr>
              <w:t>3.8.1 配置6位物镜转轮。</w:t>
            </w:r>
          </w:p>
          <w:p>
            <w:pPr>
              <w:autoSpaceDE w:val="0"/>
              <w:autoSpaceDN w:val="0"/>
              <w:rPr>
                <w:rFonts w:hint="eastAsia" w:ascii="宋体" w:hAnsi="宋体" w:cs="宋体"/>
                <w:color w:val="auto"/>
                <w:szCs w:val="21"/>
              </w:rPr>
            </w:pPr>
            <w:r>
              <w:rPr>
                <w:rFonts w:hint="eastAsia" w:ascii="宋体" w:hAnsi="宋体" w:cs="宋体"/>
                <w:color w:val="auto"/>
                <w:szCs w:val="21"/>
              </w:rPr>
              <w:t>3.8.2 长工作距离物镜：5X，10X，20X，40X。</w:t>
            </w:r>
          </w:p>
          <w:p>
            <w:pPr>
              <w:autoSpaceDE w:val="0"/>
              <w:autoSpaceDN w:val="0"/>
              <w:rPr>
                <w:rFonts w:hint="eastAsia" w:ascii="宋体" w:hAnsi="宋体" w:cs="宋体"/>
                <w:color w:val="auto"/>
                <w:szCs w:val="21"/>
              </w:rPr>
            </w:pPr>
            <w:r>
              <w:rPr>
                <w:rFonts w:hint="eastAsia" w:ascii="宋体" w:hAnsi="宋体" w:cs="宋体"/>
                <w:color w:val="auto"/>
                <w:szCs w:val="21"/>
              </w:rPr>
              <w:t>3.8.3 水镜：63X高数值孔径水介质物镜，具有非亲水张力涂层。</w:t>
            </w:r>
          </w:p>
          <w:p>
            <w:pPr>
              <w:autoSpaceDE w:val="0"/>
              <w:autoSpaceDN w:val="0"/>
              <w:rPr>
                <w:rFonts w:hint="eastAsia" w:ascii="宋体" w:hAnsi="宋体" w:cs="宋体"/>
                <w:color w:val="auto"/>
                <w:szCs w:val="21"/>
              </w:rPr>
            </w:pPr>
            <w:r>
              <w:rPr>
                <w:rFonts w:hint="eastAsia" w:ascii="宋体" w:hAnsi="宋体" w:cs="宋体"/>
                <w:color w:val="auto"/>
                <w:szCs w:val="21"/>
              </w:rPr>
              <w:t>3.8.4 配置读码器，支持条形码识别</w:t>
            </w:r>
          </w:p>
          <w:p>
            <w:pPr>
              <w:autoSpaceDE w:val="0"/>
              <w:autoSpaceDN w:val="0"/>
              <w:rPr>
                <w:rFonts w:hint="eastAsia" w:ascii="宋体" w:hAnsi="宋体" w:cs="宋体"/>
                <w:color w:val="auto"/>
                <w:szCs w:val="21"/>
              </w:rPr>
            </w:pPr>
            <w:r>
              <w:rPr>
                <w:rFonts w:hint="eastAsia" w:ascii="宋体" w:hAnsi="宋体" w:cs="宋体"/>
                <w:color w:val="auto"/>
                <w:szCs w:val="21"/>
              </w:rPr>
              <w:t>3.9 同时配置3孔位全角度全自动物镜补水循环系统，含电动水泵，补水管道，自动注水器，可实现整板的水镜高通量全自动扫描。</w:t>
            </w:r>
          </w:p>
          <w:p>
            <w:pPr>
              <w:autoSpaceDE w:val="0"/>
              <w:autoSpaceDN w:val="0"/>
              <w:rPr>
                <w:rFonts w:hint="eastAsia" w:ascii="宋体" w:hAnsi="宋体" w:cs="宋体"/>
                <w:color w:val="auto"/>
                <w:szCs w:val="21"/>
              </w:rPr>
            </w:pPr>
            <w:r>
              <w:rPr>
                <w:rFonts w:hint="eastAsia" w:ascii="宋体" w:hAnsi="宋体" w:cs="宋体"/>
                <w:color w:val="auto"/>
                <w:szCs w:val="21"/>
              </w:rPr>
              <w:t>3.10 载物台：全自动磁悬浮载物台，精度50μm 。</w:t>
            </w:r>
          </w:p>
          <w:p>
            <w:pPr>
              <w:autoSpaceDE w:val="0"/>
              <w:autoSpaceDN w:val="0"/>
              <w:rPr>
                <w:rFonts w:hint="eastAsia" w:ascii="宋体" w:hAnsi="宋体" w:cs="宋体"/>
                <w:color w:val="auto"/>
                <w:szCs w:val="21"/>
              </w:rPr>
            </w:pPr>
            <w:r>
              <w:rPr>
                <w:rFonts w:hint="eastAsia" w:ascii="宋体" w:hAnsi="宋体" w:cs="宋体"/>
                <w:color w:val="auto"/>
                <w:szCs w:val="21"/>
              </w:rPr>
              <w:t>3.11 载物台适配器适用板型：</w:t>
            </w:r>
          </w:p>
          <w:p>
            <w:pPr>
              <w:autoSpaceDE w:val="0"/>
              <w:autoSpaceDN w:val="0"/>
              <w:rPr>
                <w:rFonts w:hint="eastAsia" w:ascii="宋体" w:hAnsi="宋体" w:cs="宋体"/>
                <w:color w:val="auto"/>
                <w:szCs w:val="21"/>
              </w:rPr>
            </w:pPr>
            <w:r>
              <w:rPr>
                <w:rFonts w:hint="eastAsia" w:ascii="宋体" w:hAnsi="宋体" w:cs="宋体"/>
                <w:color w:val="auto"/>
                <w:szCs w:val="21"/>
              </w:rPr>
              <w:t>3.11.1 适合所有标准的6-1536微孔板</w:t>
            </w:r>
          </w:p>
          <w:p>
            <w:pPr>
              <w:autoSpaceDE w:val="0"/>
              <w:autoSpaceDN w:val="0"/>
              <w:rPr>
                <w:rFonts w:hint="eastAsia" w:ascii="宋体" w:hAnsi="宋体" w:cs="宋体"/>
                <w:color w:val="auto"/>
                <w:szCs w:val="21"/>
              </w:rPr>
            </w:pPr>
            <w:r>
              <w:rPr>
                <w:rFonts w:hint="eastAsia" w:ascii="宋体" w:hAnsi="宋体" w:cs="宋体"/>
                <w:color w:val="auto"/>
                <w:szCs w:val="21"/>
              </w:rPr>
              <w:t>3.11.2 支持用户自定义微孔板格式</w:t>
            </w:r>
          </w:p>
          <w:p>
            <w:pPr>
              <w:autoSpaceDE w:val="0"/>
              <w:autoSpaceDN w:val="0"/>
              <w:rPr>
                <w:rFonts w:hint="eastAsia" w:ascii="宋体" w:hAnsi="宋体" w:cs="宋体"/>
                <w:color w:val="auto"/>
                <w:szCs w:val="21"/>
              </w:rPr>
            </w:pPr>
            <w:r>
              <w:rPr>
                <w:rFonts w:hint="eastAsia" w:ascii="宋体" w:hAnsi="宋体" w:cs="宋体"/>
                <w:color w:val="auto"/>
                <w:szCs w:val="21"/>
              </w:rPr>
              <w:t>3.11.3 需配载4片玻片适配器，尺寸125×85mm，进行组织切片或细胞爬片成像和分析。</w:t>
            </w:r>
          </w:p>
          <w:p>
            <w:pPr>
              <w:autoSpaceDE w:val="0"/>
              <w:autoSpaceDN w:val="0"/>
              <w:rPr>
                <w:rFonts w:hint="eastAsia" w:ascii="宋体" w:hAnsi="宋体" w:cs="宋体"/>
                <w:color w:val="auto"/>
                <w:szCs w:val="21"/>
              </w:rPr>
            </w:pPr>
            <w:r>
              <w:rPr>
                <w:rFonts w:hint="eastAsia" w:ascii="宋体" w:hAnsi="宋体" w:cs="宋体"/>
                <w:color w:val="auto"/>
                <w:szCs w:val="21"/>
              </w:rPr>
              <w:t>3.12 具备环境控制单元：温度控制包括：37- 42℃； CO</w:t>
            </w:r>
            <w:r>
              <w:rPr>
                <w:rFonts w:hint="eastAsia" w:ascii="宋体" w:hAnsi="宋体" w:cs="宋体"/>
                <w:color w:val="auto"/>
                <w:szCs w:val="21"/>
                <w:vertAlign w:val="subscript"/>
              </w:rPr>
              <w:t>2</w:t>
            </w:r>
            <w:r>
              <w:rPr>
                <w:rFonts w:hint="eastAsia" w:ascii="宋体" w:hAnsi="宋体" w:cs="宋体"/>
                <w:color w:val="auto"/>
                <w:szCs w:val="21"/>
              </w:rPr>
              <w:t>气体浓度控制包括：1-10％，高内涵软件一体化可监控及调整系统温度及CO</w:t>
            </w:r>
            <w:r>
              <w:rPr>
                <w:rFonts w:hint="eastAsia" w:ascii="宋体" w:hAnsi="宋体" w:cs="宋体"/>
                <w:color w:val="auto"/>
                <w:szCs w:val="21"/>
                <w:vertAlign w:val="subscript"/>
              </w:rPr>
              <w:t>2</w:t>
            </w:r>
            <w:r>
              <w:rPr>
                <w:rFonts w:hint="eastAsia" w:ascii="宋体" w:hAnsi="宋体" w:cs="宋体"/>
                <w:color w:val="auto"/>
                <w:szCs w:val="21"/>
              </w:rPr>
              <w:t>浓度。</w:t>
            </w:r>
          </w:p>
          <w:p>
            <w:pPr>
              <w:autoSpaceDE w:val="0"/>
              <w:autoSpaceDN w:val="0"/>
              <w:rPr>
                <w:rFonts w:hint="eastAsia" w:ascii="宋体" w:hAnsi="宋体" w:cs="宋体"/>
                <w:color w:val="auto"/>
                <w:szCs w:val="21"/>
              </w:rPr>
            </w:pPr>
            <w:r>
              <w:rPr>
                <w:rFonts w:hint="eastAsia" w:ascii="宋体" w:hAnsi="宋体" w:cs="宋体"/>
                <w:color w:val="auto"/>
                <w:szCs w:val="21"/>
              </w:rPr>
              <w:t>3.13软件系统</w:t>
            </w:r>
          </w:p>
          <w:p>
            <w:pPr>
              <w:autoSpaceDE w:val="0"/>
              <w:autoSpaceDN w:val="0"/>
              <w:rPr>
                <w:rFonts w:hint="eastAsia" w:ascii="宋体" w:hAnsi="宋体" w:cs="宋体"/>
                <w:color w:val="auto"/>
                <w:szCs w:val="21"/>
              </w:rPr>
            </w:pPr>
            <w:r>
              <w:rPr>
                <w:rFonts w:hint="eastAsia" w:ascii="宋体" w:hAnsi="宋体" w:cs="宋体"/>
                <w:color w:val="auto"/>
                <w:szCs w:val="21"/>
              </w:rPr>
              <w:t>3.13.1明场无标记细胞分析模块</w:t>
            </w:r>
          </w:p>
          <w:p>
            <w:pPr>
              <w:autoSpaceDE w:val="0"/>
              <w:autoSpaceDN w:val="0"/>
              <w:rPr>
                <w:rFonts w:hint="eastAsia" w:ascii="宋体" w:hAnsi="宋体" w:cs="宋体"/>
                <w:color w:val="auto"/>
                <w:szCs w:val="21"/>
              </w:rPr>
            </w:pPr>
            <w:r>
              <w:rPr>
                <w:rFonts w:hint="eastAsia" w:ascii="宋体" w:hAnsi="宋体" w:cs="宋体"/>
                <w:color w:val="auto"/>
                <w:szCs w:val="21"/>
              </w:rPr>
              <w:t>3.13.1.1 对无标记细胞实现“0”背景，荧光级别高信噪比成像（获取与荧光效果相似的黑背景亮信号灰度图像）；</w:t>
            </w:r>
          </w:p>
          <w:p>
            <w:pPr>
              <w:autoSpaceDE w:val="0"/>
              <w:autoSpaceDN w:val="0"/>
              <w:rPr>
                <w:rFonts w:hint="eastAsia" w:ascii="宋体" w:hAnsi="宋体" w:cs="宋体"/>
                <w:color w:val="auto"/>
                <w:szCs w:val="21"/>
              </w:rPr>
            </w:pPr>
            <w:r>
              <w:rPr>
                <w:rFonts w:hint="eastAsia" w:ascii="宋体" w:hAnsi="宋体" w:cs="宋体"/>
                <w:color w:val="auto"/>
                <w:szCs w:val="21"/>
              </w:rPr>
              <w:t>3.13.1.2 在无标记的条件下，完成细胞密度、计数及形态等分析；</w:t>
            </w:r>
          </w:p>
          <w:p>
            <w:pPr>
              <w:autoSpaceDE w:val="0"/>
              <w:autoSpaceDN w:val="0"/>
              <w:rPr>
                <w:rFonts w:hint="eastAsia" w:ascii="宋体" w:hAnsi="宋体" w:cs="宋体"/>
                <w:color w:val="auto"/>
                <w:szCs w:val="21"/>
              </w:rPr>
            </w:pPr>
            <w:r>
              <w:rPr>
                <w:rFonts w:hint="eastAsia" w:ascii="宋体" w:hAnsi="宋体" w:cs="宋体"/>
                <w:color w:val="auto"/>
                <w:szCs w:val="21"/>
              </w:rPr>
              <w:t>3.13.1.3 实现对单细胞长时间的轨迹追踪，对单个细胞运动特性进行多参数分析；</w:t>
            </w:r>
          </w:p>
          <w:p>
            <w:pPr>
              <w:autoSpaceDE w:val="0"/>
              <w:autoSpaceDN w:val="0"/>
              <w:rPr>
                <w:rFonts w:hint="eastAsia" w:ascii="宋体" w:hAnsi="宋体" w:cs="宋体"/>
                <w:color w:val="auto"/>
                <w:szCs w:val="21"/>
              </w:rPr>
            </w:pPr>
            <w:r>
              <w:rPr>
                <w:rFonts w:hint="eastAsia" w:ascii="宋体" w:hAnsi="宋体" w:cs="宋体"/>
                <w:color w:val="auto"/>
                <w:szCs w:val="21"/>
              </w:rPr>
              <w:t>3.13.1.4 具备多种数学模型模拟并识别细胞分裂过程不同形态特征，可以实现长时间培养细胞的世代分析。</w:t>
            </w:r>
          </w:p>
          <w:p>
            <w:pPr>
              <w:autoSpaceDE w:val="0"/>
              <w:autoSpaceDN w:val="0"/>
              <w:rPr>
                <w:rFonts w:hint="eastAsia" w:ascii="宋体" w:hAnsi="宋体" w:cs="宋体"/>
                <w:color w:val="auto"/>
                <w:szCs w:val="21"/>
              </w:rPr>
            </w:pPr>
            <w:r>
              <w:rPr>
                <w:rFonts w:hint="eastAsia" w:ascii="宋体" w:hAnsi="宋体" w:cs="宋体"/>
                <w:color w:val="auto"/>
                <w:szCs w:val="21"/>
              </w:rPr>
              <w:t>3.13.2 具备全自动平场校正功能：无需任何人工干预，无需准备任何耗材和参考图像进行成像鱼眼效应矫正，提高细胞图像荧光定量的准确度，并且无需随环境变化（温度、湿度等）重新校正。</w:t>
            </w:r>
          </w:p>
          <w:p>
            <w:pPr>
              <w:autoSpaceDE w:val="0"/>
              <w:autoSpaceDN w:val="0"/>
              <w:rPr>
                <w:rFonts w:hint="eastAsia" w:ascii="宋体" w:hAnsi="宋体" w:cs="宋体"/>
                <w:color w:val="auto"/>
                <w:szCs w:val="21"/>
              </w:rPr>
            </w:pPr>
            <w:r>
              <w:rPr>
                <w:rFonts w:hint="eastAsia" w:ascii="宋体" w:hAnsi="宋体" w:cs="宋体"/>
                <w:color w:val="auto"/>
                <w:szCs w:val="21"/>
              </w:rPr>
              <w:t>3.14  具有Z轴切层成像功能：可通过软件控制，实现对不同高度的图像进行采集</w:t>
            </w:r>
          </w:p>
          <w:p>
            <w:pPr>
              <w:autoSpaceDE w:val="0"/>
              <w:autoSpaceDN w:val="0"/>
              <w:rPr>
                <w:rFonts w:hint="eastAsia" w:ascii="宋体" w:hAnsi="宋体" w:cs="宋体"/>
                <w:color w:val="auto"/>
                <w:szCs w:val="21"/>
              </w:rPr>
            </w:pPr>
            <w:r>
              <w:rPr>
                <w:rFonts w:hint="eastAsia" w:ascii="宋体" w:hAnsi="宋体" w:cs="宋体"/>
                <w:color w:val="auto"/>
                <w:szCs w:val="21"/>
              </w:rPr>
              <w:t>3.15 3D分析模块。</w:t>
            </w:r>
          </w:p>
          <w:p>
            <w:pPr>
              <w:autoSpaceDE w:val="0"/>
              <w:autoSpaceDN w:val="0"/>
              <w:rPr>
                <w:rFonts w:hint="eastAsia" w:ascii="宋体" w:hAnsi="宋体" w:cs="宋体"/>
                <w:color w:val="auto"/>
                <w:szCs w:val="21"/>
              </w:rPr>
            </w:pPr>
            <w:r>
              <w:rPr>
                <w:rFonts w:hint="eastAsia" w:ascii="宋体" w:hAnsi="宋体" w:cs="宋体"/>
                <w:color w:val="auto"/>
                <w:szCs w:val="21"/>
              </w:rPr>
              <w:t>3.15.1 软件具有一体化的3D功能，从样品制备-智能化成像-3D数据可视化-3D数据分析，无需其他插件，可实现从拍照到分析、边拍照边分析等功能。</w:t>
            </w:r>
          </w:p>
          <w:p>
            <w:pPr>
              <w:autoSpaceDE w:val="0"/>
              <w:autoSpaceDN w:val="0"/>
              <w:rPr>
                <w:rFonts w:hint="eastAsia" w:ascii="宋体" w:hAnsi="宋体" w:cs="宋体"/>
                <w:color w:val="auto"/>
                <w:szCs w:val="21"/>
              </w:rPr>
            </w:pPr>
            <w:r>
              <w:rPr>
                <w:rFonts w:hint="eastAsia" w:ascii="宋体" w:hAnsi="宋体" w:cs="宋体"/>
                <w:color w:val="auto"/>
                <w:szCs w:val="21"/>
              </w:rPr>
              <w:t>3.15.2 一体化成像分析软件可兼容多种3D耗材模板，如低黏附力板、U型板、各种微流控板以及各种2D，3D芯片。</w:t>
            </w:r>
          </w:p>
          <w:p>
            <w:pPr>
              <w:autoSpaceDE w:val="0"/>
              <w:autoSpaceDN w:val="0"/>
              <w:rPr>
                <w:rFonts w:hint="eastAsia" w:ascii="宋体" w:hAnsi="宋体" w:cs="宋体"/>
                <w:color w:val="auto"/>
                <w:szCs w:val="21"/>
              </w:rPr>
            </w:pPr>
            <w:r>
              <w:rPr>
                <w:rFonts w:hint="eastAsia" w:ascii="宋体" w:hAnsi="宋体" w:cs="宋体"/>
                <w:color w:val="auto"/>
                <w:szCs w:val="21"/>
              </w:rPr>
              <w:t>3.16 智能扫描模块：可以训练软件智能自动寻找并精准定位采集目标区域或细胞。一次实验，可同步获取低倍全景和高倍区域视图。</w:t>
            </w:r>
          </w:p>
          <w:p>
            <w:pPr>
              <w:autoSpaceDE w:val="0"/>
              <w:autoSpaceDN w:val="0"/>
              <w:rPr>
                <w:rFonts w:hint="eastAsia" w:ascii="宋体" w:hAnsi="宋体" w:cs="宋体"/>
                <w:color w:val="auto"/>
                <w:szCs w:val="21"/>
              </w:rPr>
            </w:pPr>
            <w:r>
              <w:rPr>
                <w:rFonts w:hint="eastAsia" w:ascii="宋体" w:hAnsi="宋体" w:cs="宋体"/>
                <w:color w:val="auto"/>
                <w:szCs w:val="21"/>
              </w:rPr>
              <w:t>3.17 实验设计向导：可记录细胞类型、用药浓度、细胞数、药物浓度等信息，可设置对照及重复。实验设计向导文件可存储直接调用，记录信息一键生成EC50 曲线等。</w:t>
            </w:r>
          </w:p>
          <w:p>
            <w:pPr>
              <w:autoSpaceDE w:val="0"/>
              <w:autoSpaceDN w:val="0"/>
              <w:rPr>
                <w:rFonts w:hint="eastAsia" w:ascii="宋体" w:hAnsi="宋体" w:cs="宋体"/>
                <w:color w:val="auto"/>
                <w:szCs w:val="21"/>
              </w:rPr>
            </w:pPr>
            <w:r>
              <w:rPr>
                <w:rFonts w:hint="eastAsia" w:ascii="宋体" w:hAnsi="宋体" w:cs="宋体"/>
                <w:color w:val="auto"/>
                <w:szCs w:val="21"/>
              </w:rPr>
              <w:t>3.18 可预设应用分析解决方案及数据形式</w:t>
            </w:r>
          </w:p>
          <w:p>
            <w:pPr>
              <w:autoSpaceDE w:val="0"/>
              <w:autoSpaceDN w:val="0"/>
              <w:rPr>
                <w:rFonts w:hint="eastAsia" w:ascii="宋体" w:hAnsi="宋体" w:cs="宋体"/>
                <w:color w:val="auto"/>
                <w:szCs w:val="21"/>
              </w:rPr>
            </w:pPr>
            <w:r>
              <w:rPr>
                <w:rFonts w:hint="eastAsia" w:ascii="宋体" w:hAnsi="宋体" w:cs="宋体"/>
                <w:color w:val="auto"/>
                <w:szCs w:val="21"/>
              </w:rPr>
              <w:t>3.19 具有机器自学习功能：</w:t>
            </w:r>
          </w:p>
          <w:p>
            <w:pPr>
              <w:autoSpaceDE w:val="0"/>
              <w:autoSpaceDN w:val="0"/>
              <w:rPr>
                <w:rFonts w:hint="eastAsia" w:ascii="宋体" w:hAnsi="宋体" w:cs="宋体"/>
                <w:color w:val="auto"/>
                <w:szCs w:val="21"/>
              </w:rPr>
            </w:pPr>
            <w:r>
              <w:rPr>
                <w:rFonts w:hint="eastAsia" w:ascii="宋体" w:hAnsi="宋体" w:cs="宋体"/>
                <w:color w:val="auto"/>
                <w:szCs w:val="21"/>
              </w:rPr>
              <w:t>3.19.1 可教导软件识别不同的细胞类群或区域，创建自定义的分析算法。</w:t>
            </w:r>
          </w:p>
          <w:p>
            <w:pPr>
              <w:autoSpaceDE w:val="0"/>
              <w:autoSpaceDN w:val="0"/>
              <w:rPr>
                <w:rFonts w:hint="eastAsia" w:ascii="宋体" w:hAnsi="宋体" w:cs="宋体"/>
                <w:color w:val="auto"/>
                <w:szCs w:val="21"/>
              </w:rPr>
            </w:pPr>
            <w:r>
              <w:rPr>
                <w:rFonts w:hint="eastAsia" w:ascii="宋体" w:hAnsi="宋体" w:cs="宋体"/>
                <w:color w:val="auto"/>
                <w:szCs w:val="21"/>
              </w:rPr>
              <w:t>3.19.2 软件对人工智能分类≥6种表型。</w:t>
            </w:r>
          </w:p>
          <w:p>
            <w:pPr>
              <w:autoSpaceDE w:val="0"/>
              <w:autoSpaceDN w:val="0"/>
              <w:rPr>
                <w:rFonts w:hint="eastAsia" w:ascii="宋体" w:hAnsi="宋体" w:cs="宋体"/>
                <w:color w:val="auto"/>
                <w:szCs w:val="21"/>
              </w:rPr>
            </w:pPr>
            <w:r>
              <w:rPr>
                <w:rFonts w:hint="eastAsia" w:ascii="宋体" w:hAnsi="宋体" w:cs="宋体"/>
                <w:color w:val="auto"/>
                <w:szCs w:val="21"/>
              </w:rPr>
              <w:t>3.19.3 软件可至少对以下表型：细胞大小、形态、亚细胞结构、组织形态结构，信号分布差等参数进行自学习。</w:t>
            </w:r>
          </w:p>
          <w:p>
            <w:pPr>
              <w:autoSpaceDE w:val="0"/>
              <w:autoSpaceDN w:val="0"/>
              <w:rPr>
                <w:rFonts w:hint="eastAsia" w:ascii="宋体" w:hAnsi="宋体" w:cs="宋体"/>
                <w:color w:val="auto"/>
                <w:szCs w:val="21"/>
              </w:rPr>
            </w:pPr>
            <w:r>
              <w:rPr>
                <w:rFonts w:hint="eastAsia" w:ascii="宋体" w:hAnsi="宋体" w:cs="宋体"/>
                <w:color w:val="auto"/>
                <w:szCs w:val="21"/>
              </w:rPr>
              <w:t>3.20 数据类型：除可分析并导出整孔数据，同样可以给出单视野，单细胞的各种参数。</w:t>
            </w:r>
          </w:p>
          <w:p>
            <w:pPr>
              <w:autoSpaceDE w:val="0"/>
              <w:autoSpaceDN w:val="0"/>
              <w:rPr>
                <w:rFonts w:hint="eastAsia" w:ascii="宋体" w:hAnsi="宋体" w:cs="宋体"/>
                <w:color w:val="auto"/>
                <w:szCs w:val="21"/>
              </w:rPr>
            </w:pPr>
            <w:r>
              <w:rPr>
                <w:rFonts w:hint="eastAsia" w:ascii="宋体" w:hAnsi="宋体" w:cs="宋体"/>
                <w:color w:val="auto"/>
                <w:szCs w:val="21"/>
              </w:rPr>
              <w:t>3.21采集、分析、数据可视化可在同一软件完成。可在同一软件一键完成EC50曲线拟合, Z value计算等。无需导出使用其他软件。</w:t>
            </w:r>
          </w:p>
          <w:p>
            <w:pPr>
              <w:autoSpaceDE w:val="0"/>
              <w:autoSpaceDN w:val="0"/>
              <w:rPr>
                <w:rFonts w:hint="eastAsia" w:ascii="宋体" w:hAnsi="宋体" w:cs="宋体"/>
                <w:color w:val="auto"/>
                <w:szCs w:val="21"/>
              </w:rPr>
            </w:pPr>
            <w:r>
              <w:rPr>
                <w:rFonts w:hint="eastAsia" w:ascii="宋体" w:hAnsi="宋体" w:cs="宋体"/>
                <w:color w:val="auto"/>
                <w:szCs w:val="21"/>
              </w:rPr>
              <w:t>3.22 可预设≥35种应用分析解决方案，包括但不限于1）细胞计数或核计数 2）活/死细胞计数 3）核内标志物定量 4）细胞质标志物定量 5）质膜标志物定量 6）胞质向核迁移 7）胞质向膜迁移 8）荧光重分配—细胞骨架 9）Spot分析 10）核内Spots  11）细胞核分析—细胞核皱缩 12）细胞核裂解分析 13）细胞核分类—DNA含量 14）细胞形状—细胞圆度 15）有丝分裂指数 16）细胞周期分类 17）受体内化 18）神经细胞分析 19）克隆形成 20）微核分析 21）迁移 22）脂滴形成分析 23）基于纹理的亚细胞结构分割 24）表型分析 25）细胞分化 26）细胞汇合率分析 27）神经生长—胞体精细分析 28）在线质量控制 29）纹理分析—线粒体分群 30）3 D 微组织分析 31）细胞轨迹追踪32）细胞世代分析等。</w:t>
            </w:r>
          </w:p>
          <w:p>
            <w:pPr>
              <w:autoSpaceDE w:val="0"/>
              <w:autoSpaceDN w:val="0"/>
              <w:rPr>
                <w:rFonts w:hint="eastAsia" w:ascii="宋体" w:hAnsi="宋体" w:cs="宋体"/>
                <w:bCs/>
                <w:color w:val="auto"/>
                <w:szCs w:val="21"/>
              </w:rPr>
            </w:pPr>
            <w:r>
              <w:rPr>
                <w:rFonts w:hint="eastAsia" w:ascii="宋体" w:hAnsi="宋体" w:cs="宋体"/>
                <w:color w:val="auto"/>
                <w:szCs w:val="21"/>
              </w:rPr>
              <w:t>3.23 高内涵成像分析工作站：操作系统：Windows 10 ；处理器：16核，主频3.10GHz；显存：16 GB；内存：64 GB RAM；硬盘：8 TB RAID 5。</w:t>
            </w:r>
          </w:p>
        </w:tc>
        <w:tc>
          <w:tcPr>
            <w:tcW w:w="992" w:type="dxa"/>
            <w:tcBorders>
              <w:top w:val="single" w:color="000000" w:sz="4" w:space="0"/>
              <w:left w:val="nil"/>
              <w:bottom w:val="single" w:color="000000" w:sz="4" w:space="0"/>
              <w:right w:val="single" w:color="000000" w:sz="4" w:space="0"/>
            </w:tcBorders>
            <w:vAlign w:val="center"/>
          </w:tcPr>
          <w:p>
            <w:pPr>
              <w:widowControl/>
              <w:jc w:val="center"/>
              <w:rPr>
                <w:color w:val="auto"/>
                <w:kern w:val="0"/>
                <w:sz w:val="28"/>
                <w:szCs w:val="28"/>
              </w:rPr>
            </w:pPr>
            <w:r>
              <w:rPr>
                <w:rFonts w:hint="eastAsia" w:ascii="宋体" w:hAnsi="宋体" w:cs="宋体"/>
                <w:bCs/>
                <w:color w:val="auto"/>
                <w:szCs w:val="21"/>
              </w:rPr>
              <w:t>英国</w:t>
            </w:r>
          </w:p>
        </w:tc>
        <w:tc>
          <w:tcPr>
            <w:tcW w:w="997" w:type="dxa"/>
            <w:tcBorders>
              <w:top w:val="single" w:color="000000" w:sz="4" w:space="0"/>
              <w:left w:val="nil"/>
              <w:bottom w:val="single" w:color="000000" w:sz="4" w:space="0"/>
              <w:right w:val="single" w:color="000000" w:sz="4" w:space="0"/>
            </w:tcBorders>
            <w:vAlign w:val="center"/>
          </w:tcPr>
          <w:p>
            <w:pPr>
              <w:widowControl/>
              <w:jc w:val="center"/>
              <w:rPr>
                <w:color w:val="auto"/>
                <w:kern w:val="0"/>
                <w:sz w:val="28"/>
                <w:szCs w:val="28"/>
              </w:rPr>
            </w:pPr>
            <w:r>
              <w:rPr>
                <w:rFonts w:hint="eastAsia" w:ascii="宋体" w:hAnsi="宋体" w:cs="宋体"/>
                <w:bCs/>
                <w:color w:val="auto"/>
                <w:szCs w:val="21"/>
              </w:rPr>
              <w:t>Revvity Inc.</w:t>
            </w:r>
          </w:p>
        </w:tc>
      </w:tr>
      <w:tr>
        <w:tblPrEx>
          <w:tblCellMar>
            <w:top w:w="0" w:type="dxa"/>
            <w:left w:w="108" w:type="dxa"/>
            <w:bottom w:w="0" w:type="dxa"/>
            <w:right w:w="108" w:type="dxa"/>
          </w:tblCellMar>
        </w:tblPrEx>
        <w:trPr>
          <w:trHeight w:val="888" w:hRule="atLeast"/>
          <w:jc w:val="center"/>
        </w:trPr>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jc w:val="center"/>
              <w:rPr>
                <w:color w:val="auto"/>
                <w:szCs w:val="21"/>
              </w:rPr>
            </w:pPr>
            <w:r>
              <w:rPr>
                <w:rFonts w:hint="eastAsia" w:ascii="宋体" w:hAnsi="宋体" w:cs="宋体"/>
                <w:color w:val="auto"/>
                <w:szCs w:val="21"/>
              </w:rPr>
              <w:t>原位单细胞空间转录组高分辨率分析系统</w:t>
            </w:r>
          </w:p>
        </w:tc>
        <w:tc>
          <w:tcPr>
            <w:tcW w:w="1294" w:type="dxa"/>
            <w:tcBorders>
              <w:top w:val="single" w:color="000000" w:sz="4" w:space="0"/>
              <w:left w:val="nil"/>
              <w:bottom w:val="single" w:color="000000" w:sz="4" w:space="0"/>
              <w:right w:val="single" w:color="000000" w:sz="4" w:space="0"/>
            </w:tcBorders>
            <w:shd w:val="clear" w:color="auto" w:fill="auto"/>
            <w:vAlign w:val="center"/>
          </w:tcPr>
          <w:p>
            <w:pPr>
              <w:adjustRightInd w:val="0"/>
              <w:jc w:val="center"/>
              <w:rPr>
                <w:bCs/>
                <w:color w:val="auto"/>
                <w:szCs w:val="21"/>
              </w:rPr>
            </w:pPr>
            <w:r>
              <w:rPr>
                <w:rFonts w:hint="eastAsia" w:ascii="宋体" w:hAnsi="宋体" w:cs="宋体"/>
                <w:bCs/>
                <w:color w:val="auto"/>
                <w:szCs w:val="21"/>
              </w:rPr>
              <w:t>Vizgen、Merscope</w:t>
            </w:r>
          </w:p>
        </w:tc>
        <w:tc>
          <w:tcPr>
            <w:tcW w:w="4629" w:type="dxa"/>
            <w:tcBorders>
              <w:top w:val="single" w:color="000000" w:sz="4" w:space="0"/>
              <w:left w:val="nil"/>
              <w:bottom w:val="single" w:color="000000" w:sz="4" w:space="0"/>
              <w:right w:val="single" w:color="000000" w:sz="4" w:space="0"/>
            </w:tcBorders>
            <w:shd w:val="clear" w:color="auto" w:fill="auto"/>
            <w:vAlign w:val="center"/>
          </w:tcPr>
          <w:p>
            <w:pPr>
              <w:autoSpaceDE w:val="0"/>
              <w:autoSpaceDN w:val="0"/>
              <w:rPr>
                <w:rFonts w:hint="eastAsia" w:ascii="宋体" w:hAnsi="宋体" w:cs="宋体"/>
                <w:color w:val="auto"/>
                <w:szCs w:val="21"/>
              </w:rPr>
            </w:pPr>
            <w:r>
              <w:rPr>
                <w:rFonts w:hint="eastAsia" w:ascii="宋体" w:hAnsi="宋体" w:cs="宋体"/>
                <w:color w:val="auto"/>
                <w:szCs w:val="21"/>
              </w:rPr>
              <w:t>1 功能：用于单细胞原位空间转录组研究，对新鲜/固定冰冻、FFPE组织切片或者培养的细胞进行自动化超高分辨率显微成像和分析，得出组织全景图片、元数据、所有检测到的转录本、定位每个转录本在细胞中的空间分布并对其定量、鉴定组织细胞类型的组成，基于胞核染色、转录本以及膜蛋白染色高准确度进行细胞边界分析，鉴定细胞与细胞之间的空间临近、细胞之间的信号传导，更好的揭示组织微环境的组成。同时用于单细胞测序之后的结果验证，同时更加擅长检测到低表达丰度的转录本、发现新的细胞亚型等。</w:t>
            </w:r>
          </w:p>
          <w:p>
            <w:pPr>
              <w:autoSpaceDE w:val="0"/>
              <w:autoSpaceDN w:val="0"/>
              <w:rPr>
                <w:rFonts w:hint="eastAsia" w:ascii="宋体" w:hAnsi="宋体" w:cs="宋体"/>
                <w:color w:val="auto"/>
                <w:szCs w:val="21"/>
              </w:rPr>
            </w:pPr>
            <w:r>
              <w:rPr>
                <w:rFonts w:hint="eastAsia" w:ascii="宋体" w:hAnsi="宋体" w:cs="宋体"/>
                <w:color w:val="auto"/>
                <w:szCs w:val="21"/>
              </w:rPr>
              <w:t>2 配置清单：</w:t>
            </w:r>
          </w:p>
          <w:p>
            <w:pPr>
              <w:autoSpaceDE w:val="0"/>
              <w:autoSpaceDN w:val="0"/>
              <w:rPr>
                <w:rFonts w:hint="eastAsia" w:ascii="宋体" w:hAnsi="宋体" w:cs="宋体"/>
                <w:color w:val="auto"/>
                <w:szCs w:val="21"/>
              </w:rPr>
            </w:pPr>
            <w:r>
              <w:rPr>
                <w:rFonts w:hint="eastAsia" w:ascii="宋体" w:hAnsi="宋体" w:cs="宋体"/>
                <w:color w:val="auto"/>
                <w:szCs w:val="21"/>
              </w:rPr>
              <w:t>2.1 MERSCOPE超分辨成像平台1套；</w:t>
            </w:r>
          </w:p>
          <w:p>
            <w:pPr>
              <w:autoSpaceDE w:val="0"/>
              <w:autoSpaceDN w:val="0"/>
              <w:rPr>
                <w:rFonts w:hint="eastAsia" w:ascii="宋体" w:hAnsi="宋体" w:cs="宋体"/>
                <w:color w:val="auto"/>
                <w:szCs w:val="21"/>
              </w:rPr>
            </w:pPr>
            <w:r>
              <w:rPr>
                <w:rFonts w:hint="eastAsia" w:ascii="宋体" w:hAnsi="宋体" w:cs="宋体"/>
                <w:color w:val="auto"/>
                <w:szCs w:val="21"/>
              </w:rPr>
              <w:t>2.2 组织透明化仪1台；</w:t>
            </w:r>
          </w:p>
          <w:p>
            <w:pPr>
              <w:autoSpaceDE w:val="0"/>
              <w:autoSpaceDN w:val="0"/>
              <w:rPr>
                <w:rFonts w:hint="eastAsia" w:ascii="宋体" w:hAnsi="宋体" w:cs="宋体"/>
                <w:color w:val="auto"/>
                <w:szCs w:val="21"/>
              </w:rPr>
            </w:pPr>
            <w:r>
              <w:rPr>
                <w:rFonts w:hint="eastAsia" w:ascii="宋体" w:hAnsi="宋体" w:cs="宋体"/>
                <w:color w:val="auto"/>
                <w:szCs w:val="21"/>
              </w:rPr>
              <w:t>2.3 基因空间转录组数据深层分析软件1套。</w:t>
            </w:r>
          </w:p>
          <w:p>
            <w:pPr>
              <w:autoSpaceDE w:val="0"/>
              <w:autoSpaceDN w:val="0"/>
              <w:rPr>
                <w:rFonts w:hint="eastAsia" w:ascii="宋体" w:hAnsi="宋体" w:cs="宋体"/>
                <w:color w:val="auto"/>
                <w:szCs w:val="21"/>
              </w:rPr>
            </w:pPr>
            <w:r>
              <w:rPr>
                <w:rFonts w:hint="eastAsia" w:ascii="宋体" w:hAnsi="宋体" w:cs="宋体"/>
                <w:color w:val="auto"/>
                <w:szCs w:val="21"/>
              </w:rPr>
              <w:t>2.4 温控设备：水浴槽 1台（国内采购，产地中国）；</w:t>
            </w:r>
          </w:p>
          <w:p>
            <w:pPr>
              <w:autoSpaceDE w:val="0"/>
              <w:autoSpaceDN w:val="0"/>
              <w:rPr>
                <w:rFonts w:hint="eastAsia" w:ascii="宋体" w:hAnsi="宋体" w:cs="宋体"/>
                <w:color w:val="auto"/>
                <w:szCs w:val="21"/>
              </w:rPr>
            </w:pPr>
            <w:r>
              <w:rPr>
                <w:rFonts w:hint="eastAsia" w:ascii="宋体" w:hAnsi="宋体" w:cs="宋体"/>
                <w:color w:val="auto"/>
                <w:szCs w:val="21"/>
              </w:rPr>
              <w:t>2.5 控制成像系统1套。</w:t>
            </w:r>
          </w:p>
          <w:p>
            <w:pPr>
              <w:autoSpaceDE w:val="0"/>
              <w:autoSpaceDN w:val="0"/>
              <w:rPr>
                <w:rFonts w:hint="eastAsia" w:ascii="宋体" w:hAnsi="宋体" w:cs="宋体"/>
                <w:color w:val="auto"/>
                <w:szCs w:val="21"/>
              </w:rPr>
            </w:pPr>
            <w:r>
              <w:rPr>
                <w:rFonts w:hint="eastAsia" w:ascii="宋体" w:hAnsi="宋体" w:cs="宋体"/>
                <w:color w:val="auto"/>
                <w:szCs w:val="21"/>
              </w:rPr>
              <w:t>2.6 成像液管适配器 1个</w:t>
            </w:r>
          </w:p>
          <w:p>
            <w:pPr>
              <w:autoSpaceDE w:val="0"/>
              <w:autoSpaceDN w:val="0"/>
              <w:rPr>
                <w:rFonts w:hint="eastAsia" w:ascii="宋体" w:hAnsi="宋体" w:cs="宋体"/>
                <w:color w:val="auto"/>
                <w:szCs w:val="21"/>
              </w:rPr>
            </w:pPr>
            <w:r>
              <w:rPr>
                <w:rFonts w:hint="eastAsia" w:ascii="宋体" w:hAnsi="宋体" w:cs="宋体"/>
                <w:color w:val="auto"/>
                <w:szCs w:val="21"/>
              </w:rPr>
              <w:t>2.7 鲁尔锁注射器  1个</w:t>
            </w:r>
          </w:p>
          <w:p>
            <w:pPr>
              <w:autoSpaceDE w:val="0"/>
              <w:autoSpaceDN w:val="0"/>
              <w:rPr>
                <w:rFonts w:hint="eastAsia" w:ascii="宋体" w:hAnsi="宋体" w:cs="宋体"/>
                <w:color w:val="auto"/>
                <w:szCs w:val="21"/>
              </w:rPr>
            </w:pPr>
            <w:r>
              <w:rPr>
                <w:rFonts w:hint="eastAsia" w:ascii="宋体" w:hAnsi="宋体" w:cs="宋体"/>
                <w:color w:val="auto"/>
                <w:szCs w:val="21"/>
              </w:rPr>
              <w:t>2.8 有磁珠玻片20个</w:t>
            </w:r>
          </w:p>
          <w:p>
            <w:pPr>
              <w:autoSpaceDE w:val="0"/>
              <w:autoSpaceDN w:val="0"/>
              <w:rPr>
                <w:rFonts w:hint="eastAsia" w:ascii="宋体" w:hAnsi="宋体" w:cs="宋体"/>
                <w:color w:val="auto"/>
                <w:szCs w:val="21"/>
              </w:rPr>
            </w:pPr>
            <w:r>
              <w:rPr>
                <w:rFonts w:hint="eastAsia" w:ascii="宋体" w:hAnsi="宋体" w:cs="宋体"/>
                <w:color w:val="auto"/>
                <w:szCs w:val="21"/>
              </w:rPr>
              <w:t>2.9 成像活化剂 1套</w:t>
            </w:r>
          </w:p>
          <w:p>
            <w:pPr>
              <w:autoSpaceDE w:val="0"/>
              <w:autoSpaceDN w:val="0"/>
              <w:rPr>
                <w:rFonts w:hint="eastAsia" w:ascii="宋体" w:hAnsi="宋体" w:cs="宋体"/>
                <w:color w:val="auto"/>
                <w:szCs w:val="21"/>
              </w:rPr>
            </w:pPr>
            <w:r>
              <w:rPr>
                <w:rFonts w:hint="eastAsia" w:ascii="宋体" w:hAnsi="宋体" w:cs="宋体"/>
                <w:color w:val="auto"/>
                <w:szCs w:val="21"/>
              </w:rPr>
              <w:t>2.10 DAPI和PolyT染色试剂 1套</w:t>
            </w:r>
          </w:p>
          <w:p>
            <w:pPr>
              <w:autoSpaceDE w:val="0"/>
              <w:autoSpaceDN w:val="0"/>
              <w:rPr>
                <w:rFonts w:hint="eastAsia" w:ascii="宋体" w:hAnsi="宋体" w:cs="宋体"/>
                <w:color w:val="auto"/>
                <w:szCs w:val="21"/>
              </w:rPr>
            </w:pPr>
            <w:r>
              <w:rPr>
                <w:rFonts w:hint="eastAsia" w:ascii="宋体" w:hAnsi="宋体" w:cs="宋体"/>
                <w:color w:val="auto"/>
                <w:szCs w:val="21"/>
              </w:rPr>
              <w:t>2.11 样本验证试剂盒2个</w:t>
            </w:r>
          </w:p>
          <w:p>
            <w:pPr>
              <w:autoSpaceDE w:val="0"/>
              <w:autoSpaceDN w:val="0"/>
              <w:rPr>
                <w:rFonts w:hint="eastAsia" w:ascii="宋体" w:hAnsi="宋体" w:cs="宋体"/>
                <w:color w:val="auto"/>
                <w:szCs w:val="21"/>
              </w:rPr>
            </w:pPr>
            <w:r>
              <w:rPr>
                <w:rFonts w:hint="eastAsia" w:ascii="宋体" w:hAnsi="宋体" w:cs="宋体"/>
                <w:color w:val="auto"/>
                <w:szCs w:val="21"/>
              </w:rPr>
              <w:t>2.12 去RNA酶试剂盒1个</w:t>
            </w:r>
          </w:p>
          <w:p>
            <w:pPr>
              <w:autoSpaceDE w:val="0"/>
              <w:autoSpaceDN w:val="0"/>
              <w:rPr>
                <w:rFonts w:hint="eastAsia" w:ascii="宋体" w:hAnsi="宋体" w:cs="宋体"/>
                <w:color w:val="auto"/>
                <w:szCs w:val="21"/>
              </w:rPr>
            </w:pPr>
            <w:r>
              <w:rPr>
                <w:rFonts w:hint="eastAsia" w:ascii="宋体" w:hAnsi="宋体" w:cs="宋体"/>
                <w:color w:val="auto"/>
                <w:szCs w:val="21"/>
              </w:rPr>
              <w:t>2.13 样本制备试剂盒1个</w:t>
            </w:r>
          </w:p>
          <w:p>
            <w:pPr>
              <w:autoSpaceDE w:val="0"/>
              <w:autoSpaceDN w:val="0"/>
              <w:rPr>
                <w:rFonts w:hint="eastAsia" w:ascii="宋体" w:hAnsi="宋体" w:cs="宋体"/>
                <w:color w:val="auto"/>
                <w:szCs w:val="21"/>
              </w:rPr>
            </w:pPr>
            <w:r>
              <w:rPr>
                <w:rFonts w:hint="eastAsia" w:ascii="宋体" w:hAnsi="宋体" w:cs="宋体"/>
                <w:color w:val="auto"/>
                <w:szCs w:val="21"/>
              </w:rPr>
              <w:t>2.14 基因探针140根</w:t>
            </w:r>
          </w:p>
          <w:p>
            <w:pPr>
              <w:autoSpaceDE w:val="0"/>
              <w:autoSpaceDN w:val="0"/>
              <w:rPr>
                <w:rFonts w:hint="eastAsia" w:ascii="宋体" w:hAnsi="宋体" w:cs="宋体"/>
                <w:color w:val="auto"/>
                <w:szCs w:val="21"/>
              </w:rPr>
            </w:pPr>
            <w:r>
              <w:rPr>
                <w:rFonts w:hint="eastAsia" w:ascii="宋体" w:hAnsi="宋体" w:cs="宋体"/>
                <w:color w:val="auto"/>
                <w:szCs w:val="21"/>
              </w:rPr>
              <w:t>2.15 数据存储工作站1台；</w:t>
            </w:r>
          </w:p>
          <w:p>
            <w:pPr>
              <w:autoSpaceDE w:val="0"/>
              <w:autoSpaceDN w:val="0"/>
              <w:rPr>
                <w:rFonts w:hint="eastAsia" w:ascii="宋体" w:hAnsi="宋体" w:cs="宋体"/>
                <w:color w:val="auto"/>
                <w:szCs w:val="21"/>
              </w:rPr>
            </w:pPr>
            <w:r>
              <w:rPr>
                <w:rFonts w:hint="eastAsia" w:ascii="宋体" w:hAnsi="宋体" w:cs="宋体"/>
                <w:color w:val="auto"/>
                <w:szCs w:val="21"/>
              </w:rPr>
              <w:t>2.16 UPS电源 1套（工作时间≥2小时)（国内采购，产地中国）。</w:t>
            </w:r>
          </w:p>
          <w:p>
            <w:pPr>
              <w:autoSpaceDE w:val="0"/>
              <w:autoSpaceDN w:val="0"/>
              <w:rPr>
                <w:rFonts w:hint="eastAsia" w:ascii="宋体" w:hAnsi="宋体" w:cs="宋体"/>
                <w:color w:val="auto"/>
                <w:szCs w:val="21"/>
              </w:rPr>
            </w:pPr>
            <w:r>
              <w:rPr>
                <w:rFonts w:hint="eastAsia" w:ascii="宋体" w:hAnsi="宋体" w:cs="宋体"/>
                <w:color w:val="auto"/>
                <w:szCs w:val="21"/>
              </w:rPr>
              <w:t>2.17 移液器（具有消毒功能）1套（国内采购，产地中国）；</w:t>
            </w:r>
          </w:p>
          <w:p>
            <w:pPr>
              <w:autoSpaceDE w:val="0"/>
              <w:autoSpaceDN w:val="0"/>
              <w:rPr>
                <w:rFonts w:hint="eastAsia" w:ascii="宋体" w:hAnsi="宋体" w:cs="宋体"/>
                <w:color w:val="auto"/>
                <w:szCs w:val="21"/>
              </w:rPr>
            </w:pPr>
            <w:r>
              <w:rPr>
                <w:rFonts w:hint="eastAsia" w:ascii="宋体" w:hAnsi="宋体" w:cs="宋体"/>
                <w:color w:val="auto"/>
                <w:szCs w:val="21"/>
              </w:rPr>
              <w:t>3 技术指标</w:t>
            </w:r>
          </w:p>
          <w:p>
            <w:pPr>
              <w:autoSpaceDE w:val="0"/>
              <w:autoSpaceDN w:val="0"/>
              <w:rPr>
                <w:rFonts w:hint="eastAsia" w:ascii="宋体" w:hAnsi="宋体" w:cs="宋体"/>
                <w:color w:val="auto"/>
                <w:szCs w:val="21"/>
              </w:rPr>
            </w:pPr>
            <w:r>
              <w:rPr>
                <w:rFonts w:hint="eastAsia" w:ascii="宋体" w:hAnsi="宋体" w:cs="宋体"/>
                <w:color w:val="auto"/>
                <w:szCs w:val="21"/>
              </w:rPr>
              <w:t xml:space="preserve">3.1传感器制冷型sCMOS 相机：像素2048x2048  </w:t>
            </w:r>
          </w:p>
          <w:p>
            <w:pPr>
              <w:autoSpaceDE w:val="0"/>
              <w:autoSpaceDN w:val="0"/>
              <w:rPr>
                <w:rFonts w:hint="eastAsia" w:ascii="宋体" w:hAnsi="宋体" w:cs="宋体"/>
                <w:color w:val="auto"/>
                <w:szCs w:val="21"/>
              </w:rPr>
            </w:pPr>
            <w:r>
              <w:rPr>
                <w:rFonts w:hint="eastAsia" w:ascii="宋体" w:hAnsi="宋体" w:cs="宋体"/>
                <w:color w:val="auto"/>
                <w:szCs w:val="21"/>
              </w:rPr>
              <w:t>3.2 自动化图像处理：具有转录本解码和细胞分割功能</w:t>
            </w:r>
          </w:p>
          <w:p>
            <w:pPr>
              <w:autoSpaceDE w:val="0"/>
              <w:autoSpaceDN w:val="0"/>
              <w:rPr>
                <w:rFonts w:hint="eastAsia" w:ascii="宋体" w:hAnsi="宋体" w:cs="宋体"/>
                <w:color w:val="auto"/>
                <w:szCs w:val="21"/>
              </w:rPr>
            </w:pPr>
            <w:r>
              <w:rPr>
                <w:rFonts w:hint="eastAsia" w:ascii="宋体" w:hAnsi="宋体" w:cs="宋体"/>
                <w:color w:val="auto"/>
                <w:szCs w:val="21"/>
              </w:rPr>
              <w:t>3.3 多组学检测：同一张组织切片上单次实验实现1000种基因的检测以及6种蛋白的检测</w:t>
            </w:r>
          </w:p>
          <w:p>
            <w:pPr>
              <w:autoSpaceDE w:val="0"/>
              <w:autoSpaceDN w:val="0"/>
              <w:rPr>
                <w:rFonts w:hint="eastAsia" w:ascii="宋体" w:hAnsi="宋体" w:cs="宋体"/>
                <w:color w:val="auto"/>
                <w:szCs w:val="21"/>
              </w:rPr>
            </w:pPr>
            <w:r>
              <w:rPr>
                <w:rFonts w:hint="eastAsia" w:ascii="宋体" w:hAnsi="宋体" w:cs="宋体"/>
                <w:color w:val="auto"/>
                <w:szCs w:val="21"/>
              </w:rPr>
              <w:t>3.4 灵活的基因组合：支持完全个性化定制1000个基因的组合，或支持2种预制基因组合，且预制基因组合基因数量可超过500个</w:t>
            </w:r>
          </w:p>
          <w:p>
            <w:pPr>
              <w:autoSpaceDE w:val="0"/>
              <w:autoSpaceDN w:val="0"/>
              <w:rPr>
                <w:rFonts w:hint="eastAsia" w:ascii="宋体" w:hAnsi="宋体" w:cs="宋体"/>
                <w:color w:val="auto"/>
                <w:szCs w:val="21"/>
              </w:rPr>
            </w:pPr>
            <w:r>
              <w:rPr>
                <w:rFonts w:hint="eastAsia" w:ascii="宋体" w:hAnsi="宋体" w:cs="宋体"/>
                <w:color w:val="auto"/>
                <w:szCs w:val="21"/>
              </w:rPr>
              <w:t>3.5 探针设计：每个RNA分子具有20个探针靶向性结合，不需使用扩增方式扩大信号</w:t>
            </w:r>
          </w:p>
          <w:p>
            <w:pPr>
              <w:autoSpaceDE w:val="0"/>
              <w:autoSpaceDN w:val="0"/>
              <w:rPr>
                <w:rFonts w:hint="eastAsia" w:ascii="宋体" w:hAnsi="宋体" w:cs="宋体"/>
                <w:color w:val="auto"/>
                <w:szCs w:val="21"/>
              </w:rPr>
            </w:pPr>
            <w:r>
              <w:rPr>
                <w:rFonts w:hint="eastAsia" w:ascii="宋体" w:hAnsi="宋体" w:cs="宋体"/>
                <w:color w:val="auto"/>
                <w:szCs w:val="21"/>
              </w:rPr>
              <w:t>3.6成像相机的量子效率：95%</w:t>
            </w:r>
          </w:p>
          <w:p>
            <w:pPr>
              <w:autoSpaceDE w:val="0"/>
              <w:autoSpaceDN w:val="0"/>
              <w:rPr>
                <w:rFonts w:hint="eastAsia" w:ascii="宋体" w:hAnsi="宋体" w:cs="宋体"/>
                <w:color w:val="auto"/>
                <w:szCs w:val="21"/>
              </w:rPr>
            </w:pPr>
            <w:r>
              <w:rPr>
                <w:rFonts w:hint="eastAsia" w:ascii="宋体" w:hAnsi="宋体" w:cs="宋体"/>
                <w:color w:val="auto"/>
                <w:szCs w:val="21"/>
              </w:rPr>
              <w:t>3.7 数据存储需支持本地存储，仪器数据存储容量：15TB，数据分析工作站存储容量：15TB，工作站处理器Intel I7-10700，内存32G，操作系统Win10 64位专业版，显示装置23寸，无线网卡。</w:t>
            </w:r>
          </w:p>
          <w:p>
            <w:pPr>
              <w:autoSpaceDE w:val="0"/>
              <w:autoSpaceDN w:val="0"/>
              <w:rPr>
                <w:rFonts w:hint="eastAsia" w:ascii="宋体" w:hAnsi="宋体" w:cs="宋体"/>
                <w:color w:val="auto"/>
                <w:szCs w:val="21"/>
              </w:rPr>
            </w:pPr>
            <w:r>
              <w:rPr>
                <w:rFonts w:hint="eastAsia" w:ascii="宋体" w:hAnsi="宋体" w:cs="宋体"/>
                <w:color w:val="auto"/>
                <w:szCs w:val="21"/>
              </w:rPr>
              <w:t>3.8 光学镜头：60×荧光油镜进行超高分辨率成像，10×荧光物镜寻找组织区域或者细胞，NA均为 1.4</w:t>
            </w:r>
          </w:p>
          <w:p>
            <w:pPr>
              <w:autoSpaceDE w:val="0"/>
              <w:autoSpaceDN w:val="0"/>
              <w:rPr>
                <w:rFonts w:hint="eastAsia" w:ascii="宋体" w:hAnsi="宋体" w:cs="宋体"/>
                <w:color w:val="auto"/>
                <w:szCs w:val="21"/>
              </w:rPr>
            </w:pPr>
            <w:r>
              <w:rPr>
                <w:rFonts w:hint="eastAsia" w:ascii="宋体" w:hAnsi="宋体" w:cs="宋体"/>
                <w:color w:val="auto"/>
                <w:szCs w:val="21"/>
              </w:rPr>
              <w:t>3.9 分辨率：可达100nm亚细胞分辨率，原位显示每个细胞中每个基因的每个转录本</w:t>
            </w:r>
          </w:p>
          <w:p>
            <w:pPr>
              <w:autoSpaceDE w:val="0"/>
              <w:autoSpaceDN w:val="0"/>
              <w:rPr>
                <w:rFonts w:hint="eastAsia" w:ascii="宋体" w:hAnsi="宋体" w:cs="宋体"/>
                <w:color w:val="auto"/>
                <w:szCs w:val="21"/>
              </w:rPr>
            </w:pPr>
            <w:r>
              <w:rPr>
                <w:rFonts w:hint="eastAsia" w:ascii="宋体" w:hAnsi="宋体" w:cs="宋体"/>
                <w:color w:val="auto"/>
                <w:szCs w:val="21"/>
              </w:rPr>
              <w:t>3.10 灵敏度：等同于smFISH可检测单条转录本，能做到检测1个细胞里面的1条转录本</w:t>
            </w:r>
          </w:p>
          <w:p>
            <w:pPr>
              <w:autoSpaceDE w:val="0"/>
              <w:autoSpaceDN w:val="0"/>
              <w:rPr>
                <w:rFonts w:hint="eastAsia" w:ascii="宋体" w:hAnsi="宋体" w:cs="宋体"/>
                <w:color w:val="auto"/>
                <w:szCs w:val="21"/>
              </w:rPr>
            </w:pPr>
            <w:r>
              <w:rPr>
                <w:rFonts w:hint="eastAsia" w:ascii="宋体" w:hAnsi="宋体" w:cs="宋体"/>
                <w:color w:val="auto"/>
                <w:szCs w:val="21"/>
              </w:rPr>
              <w:t>3.11 光源：5根波长特异性固态激光器，包括405nm，488nm，560nm、650nm，750nm 5个波长，激光器功率100W，使用寿命均≥40000小时；</w:t>
            </w:r>
          </w:p>
          <w:p>
            <w:pPr>
              <w:autoSpaceDE w:val="0"/>
              <w:autoSpaceDN w:val="0"/>
              <w:rPr>
                <w:rFonts w:hint="eastAsia" w:ascii="宋体" w:hAnsi="宋体" w:cs="宋体"/>
                <w:color w:val="auto"/>
                <w:szCs w:val="21"/>
              </w:rPr>
            </w:pPr>
            <w:r>
              <w:rPr>
                <w:rFonts w:hint="eastAsia" w:ascii="宋体" w:hAnsi="宋体" w:cs="宋体"/>
                <w:color w:val="auto"/>
                <w:szCs w:val="21"/>
              </w:rPr>
              <w:t>3.12 多轮成像：3色多轮成像，可以实现完全自动化的多轮成像，可实现高精度和可重复的成像效果。成像范围：1cm²，成像精度：分辨率高达100nm；成像速度：500个基因的panel</w:t>
            </w:r>
            <w:r>
              <w:rPr>
                <w:rFonts w:hint="eastAsia" w:ascii="宋体" w:hAnsi="宋体" w:cs="宋体"/>
                <w:color w:val="auto"/>
                <w:kern w:val="0"/>
                <w:szCs w:val="21"/>
                <w:lang w:bidi="ar"/>
              </w:rPr>
              <w:t>可在36小时内成像完成</w:t>
            </w:r>
            <w:r>
              <w:rPr>
                <w:rFonts w:hint="eastAsia" w:ascii="宋体" w:hAnsi="宋体" w:cs="宋体"/>
                <w:color w:val="auto"/>
                <w:szCs w:val="21"/>
              </w:rPr>
              <w:t>。</w:t>
            </w:r>
          </w:p>
          <w:p>
            <w:pPr>
              <w:autoSpaceDE w:val="0"/>
              <w:autoSpaceDN w:val="0"/>
              <w:rPr>
                <w:rFonts w:hint="eastAsia" w:ascii="宋体" w:hAnsi="宋体" w:cs="宋体"/>
                <w:color w:val="auto"/>
                <w:szCs w:val="21"/>
              </w:rPr>
            </w:pPr>
            <w:r>
              <w:rPr>
                <w:rFonts w:hint="eastAsia" w:ascii="宋体" w:hAnsi="宋体" w:cs="宋体"/>
                <w:color w:val="auto"/>
                <w:szCs w:val="21"/>
              </w:rPr>
              <w:t>3.13 检测效率：细胞样品95%；组织样品70%</w:t>
            </w:r>
          </w:p>
          <w:p>
            <w:pPr>
              <w:autoSpaceDE w:val="0"/>
              <w:autoSpaceDN w:val="0"/>
              <w:rPr>
                <w:rFonts w:hint="eastAsia" w:ascii="宋体" w:hAnsi="宋体" w:cs="宋体"/>
                <w:color w:val="auto"/>
                <w:szCs w:val="21"/>
              </w:rPr>
            </w:pPr>
            <w:r>
              <w:rPr>
                <w:rFonts w:hint="eastAsia" w:ascii="宋体" w:hAnsi="宋体" w:cs="宋体"/>
                <w:color w:val="auto"/>
                <w:szCs w:val="21"/>
              </w:rPr>
              <w:t>3.14 样品适用灵活性：适用样品物种包括但不限于小鼠、人，样品类型至少支持新鲜/固定冰冻样本、FFPE样品以及贴壁/悬浮细胞等。</w:t>
            </w:r>
          </w:p>
          <w:p>
            <w:pPr>
              <w:autoSpaceDE w:val="0"/>
              <w:autoSpaceDN w:val="0"/>
              <w:rPr>
                <w:rFonts w:hint="eastAsia" w:ascii="宋体" w:hAnsi="宋体" w:cs="宋体"/>
                <w:color w:val="auto"/>
                <w:szCs w:val="21"/>
              </w:rPr>
            </w:pPr>
            <w:r>
              <w:rPr>
                <w:rFonts w:hint="eastAsia" w:ascii="宋体" w:hAnsi="宋体" w:cs="宋体"/>
                <w:color w:val="auto"/>
                <w:szCs w:val="21"/>
              </w:rPr>
              <w:t>3.15 样本制备环节不需进行组织匀浆和细胞解离，可保留细胞空间位置信息。</w:t>
            </w:r>
          </w:p>
          <w:p>
            <w:pPr>
              <w:autoSpaceDE w:val="0"/>
              <w:autoSpaceDN w:val="0"/>
              <w:rPr>
                <w:rFonts w:hint="eastAsia" w:ascii="宋体" w:hAnsi="宋体" w:cs="宋体"/>
                <w:color w:val="auto"/>
                <w:szCs w:val="21"/>
              </w:rPr>
            </w:pPr>
            <w:r>
              <w:rPr>
                <w:rFonts w:hint="eastAsia" w:ascii="宋体" w:hAnsi="宋体" w:cs="宋体"/>
                <w:color w:val="auto"/>
                <w:szCs w:val="21"/>
              </w:rPr>
              <w:t>3.16 分析的细胞数量：单份样本可分析细胞数10万</w:t>
            </w:r>
          </w:p>
          <w:p>
            <w:pPr>
              <w:autoSpaceDE w:val="0"/>
              <w:autoSpaceDN w:val="0"/>
              <w:rPr>
                <w:rFonts w:hint="eastAsia" w:ascii="宋体" w:hAnsi="宋体" w:cs="宋体"/>
                <w:color w:val="auto"/>
                <w:szCs w:val="21"/>
              </w:rPr>
            </w:pPr>
            <w:r>
              <w:rPr>
                <w:rFonts w:hint="eastAsia" w:ascii="宋体" w:hAnsi="宋体" w:cs="宋体"/>
                <w:color w:val="auto"/>
                <w:szCs w:val="21"/>
              </w:rPr>
              <w:t>3.17 仪器运行时间：1cm²组织区域检测500个基因时，分析时间低至36小时以下。</w:t>
            </w:r>
          </w:p>
          <w:p>
            <w:pPr>
              <w:autoSpaceDE w:val="0"/>
              <w:autoSpaceDN w:val="0"/>
              <w:rPr>
                <w:rFonts w:hint="eastAsia" w:ascii="宋体" w:hAnsi="宋体" w:cs="宋体"/>
                <w:color w:val="auto"/>
                <w:szCs w:val="21"/>
              </w:rPr>
            </w:pPr>
            <w:r>
              <w:rPr>
                <w:rFonts w:hint="eastAsia" w:ascii="宋体" w:hAnsi="宋体" w:cs="宋体"/>
                <w:color w:val="auto"/>
                <w:szCs w:val="21"/>
              </w:rPr>
              <w:t>3.18 高分辨成像区域：每次运行成像1cm²区域</w:t>
            </w:r>
          </w:p>
          <w:p>
            <w:pPr>
              <w:autoSpaceDE w:val="0"/>
              <w:autoSpaceDN w:val="0"/>
              <w:rPr>
                <w:rFonts w:hint="eastAsia" w:ascii="宋体" w:hAnsi="宋体" w:cs="宋体"/>
                <w:color w:val="auto"/>
                <w:szCs w:val="21"/>
              </w:rPr>
            </w:pPr>
            <w:r>
              <w:rPr>
                <w:rFonts w:hint="eastAsia" w:ascii="宋体" w:hAnsi="宋体" w:cs="宋体"/>
                <w:color w:val="auto"/>
                <w:szCs w:val="21"/>
              </w:rPr>
              <w:t>3.19 样本制备流程包含组织透明化处理，提高后续多轮超高分辨率显微成像信噪比。使用组织清除试剂将干扰荧光成像的物质清除，信噪比灵敏度达到：1个拷贝/1细胞有效检出。</w:t>
            </w:r>
          </w:p>
          <w:p>
            <w:pPr>
              <w:autoSpaceDE w:val="0"/>
              <w:autoSpaceDN w:val="0"/>
              <w:rPr>
                <w:rFonts w:hint="eastAsia" w:ascii="宋体" w:hAnsi="宋体" w:cs="宋体"/>
                <w:color w:val="auto"/>
                <w:szCs w:val="21"/>
              </w:rPr>
            </w:pPr>
            <w:r>
              <w:rPr>
                <w:rFonts w:hint="eastAsia" w:ascii="宋体" w:hAnsi="宋体" w:cs="宋体"/>
                <w:color w:val="auto"/>
                <w:szCs w:val="21"/>
              </w:rPr>
              <w:t>3.20 MERSCOPE原位单细胞空间转录组高分辨率分析系统具备完整的成像硬件、分析软件、配套的样本制备耗材和试剂盒、优化好的针对各种样本类型的样本制备流程。</w:t>
            </w:r>
          </w:p>
          <w:p>
            <w:pPr>
              <w:autoSpaceDE w:val="0"/>
              <w:autoSpaceDN w:val="0"/>
              <w:rPr>
                <w:rFonts w:hint="eastAsia" w:ascii="宋体" w:hAnsi="宋体" w:cs="宋体"/>
                <w:color w:val="auto"/>
                <w:szCs w:val="21"/>
              </w:rPr>
            </w:pPr>
            <w:r>
              <w:rPr>
                <w:rFonts w:hint="eastAsia" w:ascii="宋体" w:hAnsi="宋体" w:cs="宋体"/>
                <w:color w:val="auto"/>
                <w:szCs w:val="21"/>
              </w:rPr>
              <w:t>3.21 软件给出的数据包含：所有检测到的转录本(.CSV)、马赛克图片以及高清图片(.TIFF)、每个细胞矩阵的转录本(.CSV)、细胞元(.CSV)、细胞边界(.HDF5)。</w:t>
            </w:r>
          </w:p>
          <w:p>
            <w:pPr>
              <w:autoSpaceDE w:val="0"/>
              <w:autoSpaceDN w:val="0"/>
              <w:rPr>
                <w:rFonts w:hint="eastAsia" w:ascii="宋体" w:hAnsi="宋体" w:cs="宋体"/>
                <w:color w:val="auto"/>
                <w:szCs w:val="21"/>
              </w:rPr>
            </w:pPr>
            <w:r>
              <w:rPr>
                <w:rFonts w:hint="eastAsia" w:ascii="宋体" w:hAnsi="宋体" w:cs="宋体"/>
                <w:color w:val="auto"/>
                <w:szCs w:val="21"/>
              </w:rPr>
              <w:t>3.22仪器单次运行即可同时给出单细胞数据和空间位置信息，无需二次软件重分析定位。</w:t>
            </w:r>
          </w:p>
          <w:p>
            <w:pPr>
              <w:autoSpaceDE w:val="0"/>
              <w:autoSpaceDN w:val="0"/>
              <w:rPr>
                <w:bCs/>
                <w:color w:val="auto"/>
                <w:szCs w:val="21"/>
              </w:rPr>
            </w:pPr>
            <w:r>
              <w:rPr>
                <w:rFonts w:hint="eastAsia" w:ascii="宋体" w:hAnsi="宋体" w:cs="宋体"/>
                <w:color w:val="auto"/>
                <w:szCs w:val="21"/>
              </w:rPr>
              <w:t>3.23生物样本数据库：提供5个开放数据集供用户免费参考使用，包括脑受体数据集、小鼠肝脏数据集、免疫-肿瘤微环境数据集、肿瘤转录组与蛋白共检测数据集、肿瘤通路数据集等。</w:t>
            </w:r>
          </w:p>
        </w:tc>
        <w:tc>
          <w:tcPr>
            <w:tcW w:w="992" w:type="dxa"/>
            <w:tcBorders>
              <w:top w:val="single" w:color="000000" w:sz="4" w:space="0"/>
              <w:left w:val="nil"/>
              <w:bottom w:val="single" w:color="000000" w:sz="4" w:space="0"/>
              <w:right w:val="single" w:color="000000" w:sz="4" w:space="0"/>
            </w:tcBorders>
            <w:vAlign w:val="center"/>
          </w:tcPr>
          <w:p>
            <w:pPr>
              <w:widowControl/>
              <w:jc w:val="center"/>
              <w:rPr>
                <w:bCs/>
                <w:color w:val="auto"/>
                <w:szCs w:val="21"/>
              </w:rPr>
            </w:pPr>
            <w:r>
              <w:rPr>
                <w:rFonts w:hint="eastAsia" w:ascii="宋体" w:hAnsi="宋体" w:cs="宋体"/>
                <w:bCs/>
                <w:color w:val="auto"/>
                <w:szCs w:val="21"/>
              </w:rPr>
              <w:t>美国</w:t>
            </w:r>
          </w:p>
        </w:tc>
        <w:tc>
          <w:tcPr>
            <w:tcW w:w="997" w:type="dxa"/>
            <w:tcBorders>
              <w:top w:val="single" w:color="000000" w:sz="4" w:space="0"/>
              <w:left w:val="nil"/>
              <w:bottom w:val="single" w:color="000000" w:sz="4" w:space="0"/>
              <w:right w:val="single" w:color="000000" w:sz="4" w:space="0"/>
            </w:tcBorders>
            <w:vAlign w:val="center"/>
          </w:tcPr>
          <w:p>
            <w:pPr>
              <w:widowControl/>
              <w:jc w:val="center"/>
              <w:rPr>
                <w:bCs/>
                <w:color w:val="auto"/>
                <w:szCs w:val="21"/>
              </w:rPr>
            </w:pPr>
            <w:r>
              <w:rPr>
                <w:rFonts w:hint="eastAsia" w:ascii="宋体" w:hAnsi="宋体" w:cs="宋体"/>
                <w:bCs/>
                <w:color w:val="auto"/>
                <w:szCs w:val="21"/>
              </w:rPr>
              <w:t>Vizgen Inc.</w:t>
            </w:r>
          </w:p>
        </w:tc>
      </w:tr>
    </w:tbl>
    <w:p>
      <w:pPr>
        <w:rPr>
          <w:rFonts w:hint="eastAsia" w:ascii="宋体" w:hAnsi="宋体"/>
          <w:color w:val="auto"/>
          <w:sz w:val="28"/>
          <w:szCs w:val="28"/>
        </w:rPr>
      </w:pPr>
    </w:p>
    <w:p>
      <w:pPr>
        <w:spacing w:line="320" w:lineRule="exact"/>
        <w:jc w:val="center"/>
        <w:rPr>
          <w:rFonts w:hint="eastAsia" w:ascii="宋体" w:hAnsi="宋体" w:cs="Calibri"/>
          <w:b/>
          <w:color w:val="auto"/>
          <w:sz w:val="28"/>
          <w:szCs w:val="28"/>
        </w:rPr>
      </w:pPr>
    </w:p>
    <w:p>
      <w:pPr>
        <w:spacing w:line="320" w:lineRule="exact"/>
        <w:jc w:val="center"/>
        <w:rPr>
          <w:rFonts w:hint="eastAsia" w:ascii="宋体" w:hAnsi="宋体" w:cs="Calibri"/>
          <w:b/>
          <w:color w:val="auto"/>
          <w:sz w:val="28"/>
          <w:szCs w:val="28"/>
        </w:rPr>
        <w:sectPr>
          <w:pgSz w:w="11906" w:h="16838"/>
          <w:pgMar w:top="1440" w:right="1797" w:bottom="1440" w:left="1797" w:header="851" w:footer="992" w:gutter="0"/>
          <w:cols w:space="720" w:num="1"/>
          <w:docGrid w:type="lines" w:linePitch="312" w:charSpace="0"/>
        </w:sectPr>
      </w:pPr>
    </w:p>
    <w:p>
      <w:pPr>
        <w:spacing w:line="360" w:lineRule="auto"/>
        <w:rPr>
          <w:rFonts w:hint="eastAsia"/>
          <w:b/>
          <w:color w:val="auto"/>
          <w:sz w:val="28"/>
          <w:szCs w:val="28"/>
        </w:rPr>
      </w:pPr>
      <w:r>
        <w:rPr>
          <w:rFonts w:hint="eastAsia"/>
          <w:b/>
          <w:color w:val="auto"/>
          <w:sz w:val="28"/>
          <w:szCs w:val="28"/>
        </w:rPr>
        <w:t>附件（2）：售后服务计划</w:t>
      </w:r>
    </w:p>
    <w:p>
      <w:pPr>
        <w:spacing w:line="360" w:lineRule="auto"/>
        <w:rPr>
          <w:color w:val="auto"/>
          <w:sz w:val="24"/>
          <w:szCs w:val="24"/>
        </w:rPr>
      </w:pPr>
      <w:r>
        <w:rPr>
          <w:rFonts w:hint="eastAsia"/>
          <w:color w:val="auto"/>
          <w:sz w:val="24"/>
          <w:szCs w:val="24"/>
        </w:rPr>
        <w:t>1.质量保证：我方保证所提供货物是全新的、未使用过的全新产品，且所有的配件均符合国家质量检测标准。</w:t>
      </w:r>
    </w:p>
    <w:p>
      <w:pPr>
        <w:spacing w:line="360" w:lineRule="auto"/>
        <w:rPr>
          <w:color w:val="auto"/>
          <w:sz w:val="24"/>
          <w:szCs w:val="24"/>
        </w:rPr>
      </w:pPr>
      <w:r>
        <w:rPr>
          <w:rFonts w:hint="eastAsia"/>
          <w:color w:val="auto"/>
          <w:sz w:val="24"/>
          <w:szCs w:val="24"/>
        </w:rPr>
        <w:t>2.安装调试：在仪器到达用户指定地点</w:t>
      </w:r>
      <w:r>
        <w:rPr>
          <w:color w:val="auto"/>
          <w:sz w:val="24"/>
          <w:szCs w:val="24"/>
        </w:rPr>
        <w:t>7</w:t>
      </w:r>
      <w:r>
        <w:rPr>
          <w:rFonts w:hint="eastAsia"/>
          <w:color w:val="auto"/>
          <w:sz w:val="24"/>
          <w:szCs w:val="24"/>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pPr>
        <w:spacing w:line="360" w:lineRule="auto"/>
        <w:rPr>
          <w:color w:val="auto"/>
          <w:sz w:val="24"/>
          <w:szCs w:val="24"/>
        </w:rPr>
      </w:pPr>
      <w:r>
        <w:rPr>
          <w:rFonts w:hint="eastAsia"/>
          <w:color w:val="auto"/>
          <w:sz w:val="24"/>
          <w:szCs w:val="24"/>
        </w:rPr>
        <w:t>3.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color w:val="auto"/>
          <w:sz w:val="24"/>
          <w:szCs w:val="24"/>
        </w:rPr>
        <w:t>3</w:t>
      </w:r>
      <w:r>
        <w:rPr>
          <w:rFonts w:hint="eastAsia"/>
          <w:color w:val="auto"/>
          <w:sz w:val="24"/>
          <w:szCs w:val="24"/>
        </w:rPr>
        <w:t>个工作日内进行及时更换，所产生的费用由我方承担。</w:t>
      </w:r>
    </w:p>
    <w:p>
      <w:pPr>
        <w:spacing w:line="360" w:lineRule="auto"/>
        <w:rPr>
          <w:rFonts w:hint="eastAsia"/>
          <w:color w:val="auto"/>
          <w:sz w:val="24"/>
          <w:szCs w:val="24"/>
          <w:u w:val="none"/>
        </w:rPr>
      </w:pPr>
      <w:r>
        <w:rPr>
          <w:rFonts w:hint="eastAsia"/>
          <w:color w:val="auto"/>
          <w:sz w:val="24"/>
          <w:szCs w:val="24"/>
        </w:rPr>
        <w:t>4.质保期：从最终验收完成之日起</w:t>
      </w:r>
      <w:r>
        <w:rPr>
          <w:rFonts w:hint="eastAsia"/>
          <w:color w:val="auto"/>
          <w:sz w:val="24"/>
          <w:szCs w:val="24"/>
          <w:u w:val="none"/>
        </w:rPr>
        <w:t>高内涵活细胞分析成像系统：26个月（质保期内，提供原厂免费维修；在用户端完成进行装机、调试。按用户要求时间现场免费培训仪器操作人员至少二名，保证能100%上手实验，每年工程师巡视两次以上，维护培训机器使用，每次两天以上的培训，可录像。质保期外，仪器享有原厂售后服务，如需更换配件，按原厂出厂价格收费，设备软件均为全功能、正版软件，在硬件兼容的前提下，所有软件均终身免费升级）；</w:t>
      </w:r>
    </w:p>
    <w:p>
      <w:pPr>
        <w:spacing w:line="360" w:lineRule="auto"/>
        <w:rPr>
          <w:rFonts w:hint="eastAsia"/>
          <w:color w:val="auto"/>
          <w:sz w:val="24"/>
          <w:szCs w:val="24"/>
        </w:rPr>
      </w:pPr>
      <w:r>
        <w:rPr>
          <w:rFonts w:hint="eastAsia"/>
          <w:color w:val="auto"/>
          <w:sz w:val="24"/>
          <w:szCs w:val="24"/>
          <w:u w:val="none"/>
        </w:rPr>
        <w:t>原位单细胞空间转录组高分辨率分析系统：3年（仪器到达后，在接到通知后2周内进行免费配套安装调试，直至通过验收。按用户要求时间在现场对用户进行操作、使用和日常维修等技术培训，使用户能独立操作使用。维修响应时间4小时，若电话指导无法排除故障，我方技术员在5个工作日内到达现场进行检查维修;质保期内免费更换损坏的零部件；售后培训:仪器培训可分多次进行，每年两次及以上培训，每次培训两天及以上的时间，提供设备可视化电子教程；软件可供用户终身免费使用和升级）</w:t>
      </w:r>
      <w:r>
        <w:rPr>
          <w:rFonts w:hint="eastAsia"/>
          <w:color w:val="auto"/>
          <w:sz w:val="24"/>
          <w:szCs w:val="24"/>
        </w:rPr>
        <w:t>。</w:t>
      </w:r>
    </w:p>
    <w:p>
      <w:pPr>
        <w:spacing w:line="360" w:lineRule="auto"/>
        <w:rPr>
          <w:color w:val="auto"/>
          <w:sz w:val="24"/>
          <w:szCs w:val="24"/>
        </w:rPr>
      </w:pPr>
      <w:r>
        <w:rPr>
          <w:rFonts w:hint="eastAsia"/>
          <w:color w:val="auto"/>
          <w:sz w:val="24"/>
          <w:szCs w:val="24"/>
        </w:rPr>
        <w:t>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pPr>
        <w:spacing w:line="360" w:lineRule="auto"/>
        <w:rPr>
          <w:color w:val="auto"/>
          <w:sz w:val="24"/>
          <w:szCs w:val="24"/>
        </w:rPr>
      </w:pPr>
      <w:r>
        <w:rPr>
          <w:rFonts w:hint="eastAsia"/>
          <w:color w:val="auto"/>
          <w:sz w:val="24"/>
          <w:szCs w:val="24"/>
        </w:rPr>
        <w:t>5.响应时间：我方接到用户报修通知后，2小时内响应， 2 小时内到达现场进行检修，如需制造厂家工程师到达现场的，则在5个工作日内派客户服务工程师到达客户现场检修仪器。</w:t>
      </w:r>
    </w:p>
    <w:p>
      <w:pPr>
        <w:spacing w:line="360" w:lineRule="auto"/>
        <w:rPr>
          <w:color w:val="auto"/>
          <w:sz w:val="24"/>
          <w:szCs w:val="24"/>
        </w:rPr>
      </w:pPr>
      <w:r>
        <w:rPr>
          <w:rFonts w:hint="eastAsia"/>
          <w:color w:val="auto"/>
          <w:sz w:val="24"/>
          <w:szCs w:val="24"/>
        </w:rPr>
        <w:t>6.优惠服务：我方将为用户提供电话咨询和软件升级，及时提供仪器最新技术资料与技术支持，每年内不少于4次上门巡检服务。</w:t>
      </w:r>
    </w:p>
    <w:p>
      <w:pPr>
        <w:spacing w:line="360" w:lineRule="auto"/>
        <w:rPr>
          <w:color w:val="auto"/>
          <w:sz w:val="24"/>
          <w:szCs w:val="24"/>
        </w:rPr>
      </w:pPr>
      <w:r>
        <w:rPr>
          <w:rFonts w:hint="eastAsia"/>
          <w:color w:val="auto"/>
          <w:sz w:val="24"/>
          <w:szCs w:val="24"/>
        </w:rPr>
        <w:t>7.伴随服务：我公司设备均提供一套完整的中文技术资料：包括操作手册、使用说明、维修保养操作手册、操作指南、原理、安装手册、产品合格证等。</w:t>
      </w:r>
    </w:p>
    <w:p>
      <w:pPr>
        <w:spacing w:line="360" w:lineRule="auto"/>
        <w:rPr>
          <w:color w:val="auto"/>
          <w:sz w:val="24"/>
          <w:szCs w:val="24"/>
        </w:rPr>
      </w:pPr>
      <w:r>
        <w:rPr>
          <w:rFonts w:hint="eastAsia"/>
          <w:color w:val="auto"/>
          <w:sz w:val="24"/>
          <w:szCs w:val="24"/>
        </w:rPr>
        <w:t>8.其他服务事项、技术规格要求以厂商售后服务为准。</w:t>
      </w:r>
    </w:p>
    <w:p>
      <w:pPr>
        <w:spacing w:line="360" w:lineRule="auto"/>
        <w:rPr>
          <w:color w:val="auto"/>
          <w:sz w:val="24"/>
          <w:szCs w:val="24"/>
        </w:rPr>
      </w:pPr>
      <w:r>
        <w:rPr>
          <w:rFonts w:hint="eastAsia"/>
          <w:color w:val="auto"/>
          <w:sz w:val="24"/>
          <w:szCs w:val="24"/>
        </w:rPr>
        <w:t>河南维修点</w:t>
      </w:r>
    </w:p>
    <w:p>
      <w:pPr>
        <w:spacing w:line="360" w:lineRule="auto"/>
        <w:rPr>
          <w:color w:val="auto"/>
          <w:sz w:val="24"/>
          <w:szCs w:val="24"/>
        </w:rPr>
      </w:pPr>
      <w:r>
        <w:rPr>
          <w:rFonts w:hint="eastAsia"/>
          <w:color w:val="auto"/>
          <w:sz w:val="24"/>
          <w:szCs w:val="24"/>
        </w:rPr>
        <w:t>【郑州办事处】:</w:t>
      </w:r>
    </w:p>
    <w:p>
      <w:pPr>
        <w:spacing w:line="360" w:lineRule="auto"/>
        <w:rPr>
          <w:color w:val="auto"/>
          <w:sz w:val="24"/>
          <w:szCs w:val="24"/>
        </w:rPr>
      </w:pPr>
      <w:r>
        <w:rPr>
          <w:rFonts w:hint="eastAsia"/>
          <w:color w:val="auto"/>
          <w:sz w:val="24"/>
          <w:szCs w:val="24"/>
        </w:rPr>
        <w:t>地址：河南省郑州市高新技术产业开发区青杨街38号19号楼212</w:t>
      </w:r>
    </w:p>
    <w:p>
      <w:pPr>
        <w:spacing w:line="360" w:lineRule="auto"/>
        <w:rPr>
          <w:color w:val="auto"/>
          <w:sz w:val="24"/>
          <w:szCs w:val="24"/>
        </w:rPr>
      </w:pPr>
      <w:r>
        <w:rPr>
          <w:rFonts w:hint="eastAsia"/>
          <w:color w:val="auto"/>
          <w:sz w:val="24"/>
          <w:szCs w:val="24"/>
        </w:rPr>
        <w:t>电话：0371-67999177</w:t>
      </w:r>
    </w:p>
    <w:p>
      <w:pPr>
        <w:spacing w:line="360" w:lineRule="auto"/>
        <w:rPr>
          <w:color w:val="auto"/>
          <w:sz w:val="24"/>
          <w:szCs w:val="24"/>
        </w:rPr>
      </w:pPr>
      <w:r>
        <w:rPr>
          <w:rFonts w:hint="eastAsia"/>
          <w:color w:val="auto"/>
          <w:sz w:val="24"/>
          <w:szCs w:val="24"/>
        </w:rPr>
        <w:t>售后服务联系人：王航</w:t>
      </w:r>
    </w:p>
    <w:p>
      <w:pPr>
        <w:rPr>
          <w:rFonts w:hint="eastAsia" w:ascii="宋体" w:hAnsi="宋体"/>
          <w:color w:val="auto"/>
          <w:sz w:val="28"/>
          <w:szCs w:val="28"/>
        </w:rPr>
      </w:pPr>
    </w:p>
    <w:p>
      <w:pPr>
        <w:rPr>
          <w:rFonts w:hint="eastAsia" w:ascii="宋体" w:hAnsi="宋体"/>
          <w:color w:val="auto"/>
          <w:sz w:val="28"/>
          <w:szCs w:val="28"/>
        </w:rPr>
      </w:pPr>
      <w:r>
        <w:rPr>
          <w:rFonts w:hint="eastAsia" w:ascii="宋体" w:hAnsi="宋体"/>
          <w:color w:val="auto"/>
          <w:sz w:val="28"/>
          <w:szCs w:val="28"/>
        </w:rPr>
        <w:br w:type="page"/>
      </w:r>
    </w:p>
    <w:p>
      <w:pPr>
        <w:jc w:val="center"/>
        <w:rPr>
          <w:rFonts w:hint="eastAsia" w:ascii="宋体" w:hAnsi="宋体"/>
          <w:color w:val="auto"/>
          <w:sz w:val="28"/>
          <w:szCs w:val="28"/>
        </w:rPr>
      </w:pPr>
      <w:r>
        <w:rPr>
          <w:rFonts w:hint="eastAsia" w:ascii="宋体" w:hAnsi="宋体"/>
          <w:color w:val="auto"/>
          <w:sz w:val="28"/>
          <w:szCs w:val="28"/>
        </w:rPr>
        <w:t>中标通知书</w:t>
      </w:r>
    </w:p>
    <w:p>
      <w:pPr>
        <w:rPr>
          <w:rFonts w:hint="eastAsia" w:ascii="宋体" w:hAnsi="宋体" w:eastAsia="宋体"/>
          <w:color w:val="auto"/>
          <w:sz w:val="28"/>
          <w:szCs w:val="28"/>
          <w:lang w:eastAsia="zh-CN"/>
        </w:rPr>
      </w:pPr>
      <w:r>
        <w:rPr>
          <w:rFonts w:hint="eastAsia" w:ascii="宋体" w:hAnsi="宋体" w:eastAsia="宋体"/>
          <w:color w:val="auto"/>
          <w:sz w:val="28"/>
          <w:szCs w:val="28"/>
          <w:lang w:eastAsia="zh-CN"/>
        </w:rPr>
        <w:drawing>
          <wp:inline distT="0" distB="0" distL="114300" distR="114300">
            <wp:extent cx="5275580" cy="7454900"/>
            <wp:effectExtent l="0" t="0" r="1270" b="12700"/>
            <wp:docPr id="2" name="图片 2" descr="3包--河南莱帕克物联装备技术有限公司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包--河南莱帕克物联装备技术有限公司_00"/>
                    <pic:cNvPicPr>
                      <a:picLocks noChangeAspect="1"/>
                    </pic:cNvPicPr>
                  </pic:nvPicPr>
                  <pic:blipFill>
                    <a:blip r:embed="rId9"/>
                    <a:stretch>
                      <a:fillRect/>
                    </a:stretch>
                  </pic:blipFill>
                  <pic:spPr>
                    <a:xfrm>
                      <a:off x="0" y="0"/>
                      <a:ext cx="5275580" cy="7454900"/>
                    </a:xfrm>
                    <a:prstGeom prst="rect">
                      <a:avLst/>
                    </a:prstGeom>
                  </pic:spPr>
                </pic:pic>
              </a:graphicData>
            </a:graphic>
          </wp:inline>
        </w:drawing>
      </w: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NjgwOWQxYzkzZTYzOGI0YjI0ODg0MjIxNWIwYjYifQ=="/>
    <w:docVar w:name="KSO_WPS_MARK_KEY" w:val="1e76478f-4131-45da-9ed9-6c1f61495dd3"/>
  </w:docVars>
  <w:rsids>
    <w:rsidRoot w:val="00D44405"/>
    <w:rsid w:val="000008D8"/>
    <w:rsid w:val="0001449A"/>
    <w:rsid w:val="000165EA"/>
    <w:rsid w:val="0002027A"/>
    <w:rsid w:val="00022BB4"/>
    <w:rsid w:val="00025D5B"/>
    <w:rsid w:val="00026558"/>
    <w:rsid w:val="00031D6E"/>
    <w:rsid w:val="000721FB"/>
    <w:rsid w:val="0008009B"/>
    <w:rsid w:val="000869B2"/>
    <w:rsid w:val="000876AF"/>
    <w:rsid w:val="000A212F"/>
    <w:rsid w:val="000B54FB"/>
    <w:rsid w:val="000C5C59"/>
    <w:rsid w:val="000E7C9A"/>
    <w:rsid w:val="000F2CAD"/>
    <w:rsid w:val="000F5DAA"/>
    <w:rsid w:val="001036FA"/>
    <w:rsid w:val="001213A2"/>
    <w:rsid w:val="00124103"/>
    <w:rsid w:val="00125C5A"/>
    <w:rsid w:val="001304DD"/>
    <w:rsid w:val="0015038A"/>
    <w:rsid w:val="001513CE"/>
    <w:rsid w:val="001B239F"/>
    <w:rsid w:val="001B5016"/>
    <w:rsid w:val="001C163B"/>
    <w:rsid w:val="001C639A"/>
    <w:rsid w:val="001D2FC3"/>
    <w:rsid w:val="00217E50"/>
    <w:rsid w:val="002253E8"/>
    <w:rsid w:val="00247D9A"/>
    <w:rsid w:val="00251159"/>
    <w:rsid w:val="002514FC"/>
    <w:rsid w:val="002609BB"/>
    <w:rsid w:val="00287810"/>
    <w:rsid w:val="002A1A48"/>
    <w:rsid w:val="002C5F43"/>
    <w:rsid w:val="002C5FAB"/>
    <w:rsid w:val="002D25B8"/>
    <w:rsid w:val="002E3080"/>
    <w:rsid w:val="002E6092"/>
    <w:rsid w:val="002F10DA"/>
    <w:rsid w:val="002F5517"/>
    <w:rsid w:val="0030327C"/>
    <w:rsid w:val="00325F9E"/>
    <w:rsid w:val="003406A8"/>
    <w:rsid w:val="00340B92"/>
    <w:rsid w:val="003475DC"/>
    <w:rsid w:val="00377EE5"/>
    <w:rsid w:val="003848DF"/>
    <w:rsid w:val="00397EE8"/>
    <w:rsid w:val="003A20D8"/>
    <w:rsid w:val="003B28DD"/>
    <w:rsid w:val="003B4BD0"/>
    <w:rsid w:val="003B5011"/>
    <w:rsid w:val="003E1BF4"/>
    <w:rsid w:val="003E7F57"/>
    <w:rsid w:val="00406062"/>
    <w:rsid w:val="0041162B"/>
    <w:rsid w:val="00414500"/>
    <w:rsid w:val="00437333"/>
    <w:rsid w:val="00443DBD"/>
    <w:rsid w:val="00453FC4"/>
    <w:rsid w:val="00457F56"/>
    <w:rsid w:val="004727B9"/>
    <w:rsid w:val="00472EEA"/>
    <w:rsid w:val="00483EE9"/>
    <w:rsid w:val="00492123"/>
    <w:rsid w:val="00494F5E"/>
    <w:rsid w:val="004B1BD9"/>
    <w:rsid w:val="004C2238"/>
    <w:rsid w:val="004D7C07"/>
    <w:rsid w:val="004E3383"/>
    <w:rsid w:val="005137D9"/>
    <w:rsid w:val="00523EBC"/>
    <w:rsid w:val="00541E60"/>
    <w:rsid w:val="00550065"/>
    <w:rsid w:val="0055067B"/>
    <w:rsid w:val="00580360"/>
    <w:rsid w:val="005867A4"/>
    <w:rsid w:val="005A0DE4"/>
    <w:rsid w:val="005A7345"/>
    <w:rsid w:val="005A7B8E"/>
    <w:rsid w:val="005B10E1"/>
    <w:rsid w:val="005C311A"/>
    <w:rsid w:val="005E2AD6"/>
    <w:rsid w:val="005F2202"/>
    <w:rsid w:val="006008B3"/>
    <w:rsid w:val="00603A1A"/>
    <w:rsid w:val="00604521"/>
    <w:rsid w:val="00606FF9"/>
    <w:rsid w:val="006113C6"/>
    <w:rsid w:val="006238C0"/>
    <w:rsid w:val="0064032A"/>
    <w:rsid w:val="00641D7D"/>
    <w:rsid w:val="00642EFC"/>
    <w:rsid w:val="006506D5"/>
    <w:rsid w:val="00655893"/>
    <w:rsid w:val="00655A56"/>
    <w:rsid w:val="00656DB1"/>
    <w:rsid w:val="00663BD1"/>
    <w:rsid w:val="006665AC"/>
    <w:rsid w:val="00670CE2"/>
    <w:rsid w:val="006740FF"/>
    <w:rsid w:val="00675867"/>
    <w:rsid w:val="00695F72"/>
    <w:rsid w:val="006B68E7"/>
    <w:rsid w:val="006F28F7"/>
    <w:rsid w:val="00705352"/>
    <w:rsid w:val="00723C49"/>
    <w:rsid w:val="00736B35"/>
    <w:rsid w:val="00744B51"/>
    <w:rsid w:val="00753652"/>
    <w:rsid w:val="00762710"/>
    <w:rsid w:val="00772B56"/>
    <w:rsid w:val="0077527F"/>
    <w:rsid w:val="00794A04"/>
    <w:rsid w:val="007A5402"/>
    <w:rsid w:val="007B5737"/>
    <w:rsid w:val="007C0558"/>
    <w:rsid w:val="007C366C"/>
    <w:rsid w:val="007C3A23"/>
    <w:rsid w:val="007D3A9A"/>
    <w:rsid w:val="007E0B50"/>
    <w:rsid w:val="007E50B4"/>
    <w:rsid w:val="0083296C"/>
    <w:rsid w:val="008A0A57"/>
    <w:rsid w:val="008A2874"/>
    <w:rsid w:val="008B6819"/>
    <w:rsid w:val="008B7084"/>
    <w:rsid w:val="008B7238"/>
    <w:rsid w:val="008E5E73"/>
    <w:rsid w:val="0090449B"/>
    <w:rsid w:val="00912A18"/>
    <w:rsid w:val="00936264"/>
    <w:rsid w:val="00942887"/>
    <w:rsid w:val="00950789"/>
    <w:rsid w:val="0095139D"/>
    <w:rsid w:val="00973ABD"/>
    <w:rsid w:val="00990EE3"/>
    <w:rsid w:val="00993624"/>
    <w:rsid w:val="009936E3"/>
    <w:rsid w:val="009B20B7"/>
    <w:rsid w:val="009B618C"/>
    <w:rsid w:val="009C3FF2"/>
    <w:rsid w:val="009C7947"/>
    <w:rsid w:val="009E4C44"/>
    <w:rsid w:val="009F1684"/>
    <w:rsid w:val="00A01646"/>
    <w:rsid w:val="00A10095"/>
    <w:rsid w:val="00A12F05"/>
    <w:rsid w:val="00A16EDF"/>
    <w:rsid w:val="00A37EC4"/>
    <w:rsid w:val="00A44AF1"/>
    <w:rsid w:val="00A46E07"/>
    <w:rsid w:val="00A51682"/>
    <w:rsid w:val="00A72D4D"/>
    <w:rsid w:val="00A84A19"/>
    <w:rsid w:val="00AA0DEC"/>
    <w:rsid w:val="00AA2885"/>
    <w:rsid w:val="00AA4009"/>
    <w:rsid w:val="00AA72D7"/>
    <w:rsid w:val="00AB26EA"/>
    <w:rsid w:val="00AD1F63"/>
    <w:rsid w:val="00AE1950"/>
    <w:rsid w:val="00AE4E99"/>
    <w:rsid w:val="00B01D46"/>
    <w:rsid w:val="00B04C1A"/>
    <w:rsid w:val="00B13891"/>
    <w:rsid w:val="00B26563"/>
    <w:rsid w:val="00B27C97"/>
    <w:rsid w:val="00B404D0"/>
    <w:rsid w:val="00B467D7"/>
    <w:rsid w:val="00B6603B"/>
    <w:rsid w:val="00B6631B"/>
    <w:rsid w:val="00B77150"/>
    <w:rsid w:val="00B9030E"/>
    <w:rsid w:val="00B958C9"/>
    <w:rsid w:val="00BB3845"/>
    <w:rsid w:val="00BC2A44"/>
    <w:rsid w:val="00BD1BF3"/>
    <w:rsid w:val="00C035E0"/>
    <w:rsid w:val="00C27780"/>
    <w:rsid w:val="00C41D9B"/>
    <w:rsid w:val="00C445FB"/>
    <w:rsid w:val="00C50F85"/>
    <w:rsid w:val="00C5315D"/>
    <w:rsid w:val="00C55558"/>
    <w:rsid w:val="00C813A4"/>
    <w:rsid w:val="00C835C5"/>
    <w:rsid w:val="00C83ECF"/>
    <w:rsid w:val="00C85628"/>
    <w:rsid w:val="00CA0D57"/>
    <w:rsid w:val="00CA14BF"/>
    <w:rsid w:val="00CB7F7E"/>
    <w:rsid w:val="00CC30A1"/>
    <w:rsid w:val="00CD030D"/>
    <w:rsid w:val="00D020A2"/>
    <w:rsid w:val="00D035DD"/>
    <w:rsid w:val="00D116D8"/>
    <w:rsid w:val="00D21194"/>
    <w:rsid w:val="00D269B4"/>
    <w:rsid w:val="00D317AB"/>
    <w:rsid w:val="00D4202D"/>
    <w:rsid w:val="00D44405"/>
    <w:rsid w:val="00D50AA1"/>
    <w:rsid w:val="00D55637"/>
    <w:rsid w:val="00D653DE"/>
    <w:rsid w:val="00D67C8B"/>
    <w:rsid w:val="00D76062"/>
    <w:rsid w:val="00D763BC"/>
    <w:rsid w:val="00D932AA"/>
    <w:rsid w:val="00DA0F55"/>
    <w:rsid w:val="00DA3C74"/>
    <w:rsid w:val="00DA7852"/>
    <w:rsid w:val="00DB3EAE"/>
    <w:rsid w:val="00DD1538"/>
    <w:rsid w:val="00DD5BB1"/>
    <w:rsid w:val="00DE0068"/>
    <w:rsid w:val="00E00BFF"/>
    <w:rsid w:val="00E17DF7"/>
    <w:rsid w:val="00E25C95"/>
    <w:rsid w:val="00E302AE"/>
    <w:rsid w:val="00E33326"/>
    <w:rsid w:val="00E528C3"/>
    <w:rsid w:val="00E56376"/>
    <w:rsid w:val="00E65D3A"/>
    <w:rsid w:val="00E67A3F"/>
    <w:rsid w:val="00E73FEF"/>
    <w:rsid w:val="00E74585"/>
    <w:rsid w:val="00E762A8"/>
    <w:rsid w:val="00EA439A"/>
    <w:rsid w:val="00EB0FB3"/>
    <w:rsid w:val="00EB1FF6"/>
    <w:rsid w:val="00EB4CDA"/>
    <w:rsid w:val="00EB7BC6"/>
    <w:rsid w:val="00ED3BE0"/>
    <w:rsid w:val="00ED7A5B"/>
    <w:rsid w:val="00EE0149"/>
    <w:rsid w:val="00EE3552"/>
    <w:rsid w:val="00EE3608"/>
    <w:rsid w:val="00EE4A27"/>
    <w:rsid w:val="00EF19A3"/>
    <w:rsid w:val="00EF7C58"/>
    <w:rsid w:val="00F01619"/>
    <w:rsid w:val="00F07B40"/>
    <w:rsid w:val="00F105AB"/>
    <w:rsid w:val="00F20EA4"/>
    <w:rsid w:val="00F24046"/>
    <w:rsid w:val="00F35B8A"/>
    <w:rsid w:val="00F610C6"/>
    <w:rsid w:val="00F913F9"/>
    <w:rsid w:val="00FA0F48"/>
    <w:rsid w:val="00FB2FA0"/>
    <w:rsid w:val="00FC017E"/>
    <w:rsid w:val="00FC0F37"/>
    <w:rsid w:val="00FC5340"/>
    <w:rsid w:val="00FE2ACA"/>
    <w:rsid w:val="00FE3F2E"/>
    <w:rsid w:val="00FF37B3"/>
    <w:rsid w:val="00FF537D"/>
    <w:rsid w:val="023B4544"/>
    <w:rsid w:val="027F6AB2"/>
    <w:rsid w:val="032D29B2"/>
    <w:rsid w:val="04155920"/>
    <w:rsid w:val="06823015"/>
    <w:rsid w:val="0BFA7178"/>
    <w:rsid w:val="0D9C2C0E"/>
    <w:rsid w:val="10E16B8A"/>
    <w:rsid w:val="110236E1"/>
    <w:rsid w:val="19604E8E"/>
    <w:rsid w:val="1B9F179F"/>
    <w:rsid w:val="1E1235C2"/>
    <w:rsid w:val="26F86CAF"/>
    <w:rsid w:val="291C2770"/>
    <w:rsid w:val="2A1134B0"/>
    <w:rsid w:val="2D9B080E"/>
    <w:rsid w:val="2DF53C90"/>
    <w:rsid w:val="2FF84061"/>
    <w:rsid w:val="33B95A18"/>
    <w:rsid w:val="36F01751"/>
    <w:rsid w:val="37CE1367"/>
    <w:rsid w:val="3BD5021D"/>
    <w:rsid w:val="3BF9372C"/>
    <w:rsid w:val="3C9004C5"/>
    <w:rsid w:val="3EB47508"/>
    <w:rsid w:val="41175B2C"/>
    <w:rsid w:val="483B47F6"/>
    <w:rsid w:val="4B5527A8"/>
    <w:rsid w:val="582E1C82"/>
    <w:rsid w:val="59E7183C"/>
    <w:rsid w:val="5E231FA0"/>
    <w:rsid w:val="61C628DE"/>
    <w:rsid w:val="64D911C7"/>
    <w:rsid w:val="65EF0036"/>
    <w:rsid w:val="79AE6327"/>
    <w:rsid w:val="7BFC2289"/>
    <w:rsid w:val="7DCD1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link w:val="3"/>
    <w:qFormat/>
    <w:uiPriority w:val="0"/>
    <w:rPr>
      <w:kern w:val="2"/>
      <w:sz w:val="18"/>
      <w:szCs w:val="18"/>
    </w:rPr>
  </w:style>
  <w:style w:type="character" w:customStyle="1" w:styleId="10">
    <w:name w:val="页脚 字符"/>
    <w:link w:val="2"/>
    <w:qFormat/>
    <w:uiPriority w:val="99"/>
    <w:rPr>
      <w:kern w:val="2"/>
      <w:sz w:val="18"/>
      <w:szCs w:val="18"/>
    </w:rPr>
  </w:style>
  <w:style w:type="paragraph" w:customStyle="1" w:styleId="11">
    <w:name w:val="table_lines"/>
    <w:basedOn w:val="1"/>
    <w:qFormat/>
    <w:uiPriority w:val="0"/>
    <w:pPr>
      <w:widowControl/>
      <w:jc w:val="left"/>
    </w:pPr>
    <w:rPr>
      <w:kern w:val="0"/>
      <w:sz w:val="20"/>
      <w:szCs w:val="20"/>
      <w:lang w:val="de-DE" w:eastAsia="de-DE"/>
    </w:rPr>
  </w:style>
  <w:style w:type="paragraph" w:customStyle="1" w:styleId="12">
    <w:name w:val="Char Char Char1 Char Char Char Char"/>
    <w:basedOn w:val="1"/>
    <w:qFormat/>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13">
    <w:name w:val="table_1stline"/>
    <w:basedOn w:val="1"/>
    <w:qFormat/>
    <w:uiPriority w:val="0"/>
    <w:pPr>
      <w:widowControl/>
      <w:spacing w:before="120"/>
      <w:jc w:val="left"/>
    </w:pPr>
    <w:rPr>
      <w:bCs/>
      <w:kern w:val="0"/>
      <w:sz w:val="20"/>
      <w:szCs w:val="20"/>
      <w:lang w:val="de-DE" w:eastAsia="de-DE"/>
    </w:rPr>
  </w:style>
  <w:style w:type="paragraph" w:styleId="14">
    <w:name w:val="No Spacing"/>
    <w:qFormat/>
    <w:uiPriority w:val="0"/>
    <w:rPr>
      <w:rFonts w:ascii="Times New Roman" w:hAnsi="Times New Roman" w:eastAsia="宋体" w:cs="Times New Roman"/>
      <w:lang w:val="en-US" w:eastAsia="zh-CN" w:bidi="ar-SA"/>
    </w:rPr>
  </w:style>
  <w:style w:type="paragraph" w:customStyle="1" w:styleId="15">
    <w:name w:val="无间隔1"/>
    <w:basedOn w:val="1"/>
    <w:qFormat/>
    <w:uiPriority w:val="1"/>
    <w:pPr>
      <w:spacing w:line="400" w:lineRule="exact"/>
    </w:pPr>
    <w:rPr>
      <w:sz w:val="24"/>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character" w:customStyle="1" w:styleId="17">
    <w:name w:val="font31"/>
    <w:basedOn w:val="7"/>
    <w:qFormat/>
    <w:uiPriority w:val="0"/>
    <w:rPr>
      <w:rFonts w:hint="eastAsia" w:ascii="宋体" w:hAnsi="宋体" w:eastAsia="宋体" w:cs="宋体"/>
      <w:color w:val="000000"/>
      <w:sz w:val="21"/>
      <w:szCs w:val="21"/>
      <w:u w:val="none"/>
    </w:rPr>
  </w:style>
  <w:style w:type="character" w:customStyle="1" w:styleId="18">
    <w:name w:val="font41"/>
    <w:basedOn w:val="7"/>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8425</Words>
  <Characters>9475</Characters>
  <Lines>72</Lines>
  <Paragraphs>20</Paragraphs>
  <TotalTime>1</TotalTime>
  <ScaleCrop>false</ScaleCrop>
  <LinksUpToDate>false</LinksUpToDate>
  <CharactersWithSpaces>9806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2022-07-26T02:19:00Z</dcterms:created>
  <dc:creator>lenovo</dc:creator>
  <cp:lastModifiedBy>Qq150</cp:lastModifiedBy>
  <cp:lastPrinted>2017-10-20T07:52:00Z</cp:lastPrinted>
  <dcterms:modified xsi:type="dcterms:W3CDTF">2025-02-24T07:41:54Z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41E46086057E47839F29FF23B15D7E68</vt:lpwstr>
  </property>
  <property fmtid="{D5CDD505-2E9C-101B-9397-08002B2CF9AE}" pid="4" name="KSOTemplateDocerSaveRecord">
    <vt:lpwstr>eyJoZGlkIjoiMTVmMGM2Y2ExMGY1YzQ5YTMxNmQwODc2Zjg3ZTBjYjIiLCJ1c2VySWQiOiIyMDIxNTE0MjkifQ==</vt:lpwstr>
  </property>
</Properties>
</file>