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44"/>
          <w:szCs w:val="44"/>
          <w:highlight w:val="none"/>
        </w:rPr>
      </w:pPr>
    </w:p>
    <w:p>
      <w:pPr>
        <w:rPr>
          <w:rFonts w:eastAsia="黑体"/>
          <w:color w:val="auto"/>
          <w:sz w:val="28"/>
          <w:highlight w:val="none"/>
        </w:rPr>
      </w:pPr>
      <w:r>
        <w:rPr>
          <w:rFonts w:hint="eastAsia" w:eastAsia="黑体"/>
          <w:color w:val="auto"/>
          <w:sz w:val="28"/>
          <w:highlight w:val="none"/>
        </w:rPr>
        <w:t>合同编号：豫财招标采购-2024-1513-包5</w:t>
      </w:r>
    </w:p>
    <w:p>
      <w:pPr>
        <w:jc w:val="center"/>
        <w:rPr>
          <w:rFonts w:eastAsia="黑体"/>
          <w:color w:val="auto"/>
          <w:sz w:val="52"/>
          <w:highlight w:val="none"/>
        </w:rPr>
      </w:pPr>
    </w:p>
    <w:p>
      <w:pPr>
        <w:jc w:val="center"/>
        <w:rPr>
          <w:rFonts w:eastAsia="黑体"/>
          <w:color w:val="auto"/>
          <w:sz w:val="52"/>
          <w:highlight w:val="none"/>
        </w:rPr>
      </w:pPr>
      <w:r>
        <w:rPr>
          <w:rFonts w:hint="eastAsia" w:eastAsia="黑体"/>
          <w:color w:val="auto"/>
          <w:sz w:val="52"/>
          <w:highlight w:val="none"/>
        </w:rPr>
        <w:t>货物（</w:t>
      </w:r>
      <w:r>
        <w:rPr>
          <w:rFonts w:hint="eastAsia" w:eastAsia="黑体"/>
          <w:color w:val="auto"/>
          <w:sz w:val="52"/>
          <w:highlight w:val="none"/>
          <w:u w:val="single"/>
        </w:rPr>
        <w:t>设备</w:t>
      </w:r>
      <w:r>
        <w:rPr>
          <w:rFonts w:hint="eastAsia" w:eastAsia="黑体"/>
          <w:color w:val="auto"/>
          <w:sz w:val="52"/>
          <w:highlight w:val="none"/>
        </w:rPr>
        <w:t>）采购合同</w:t>
      </w:r>
    </w:p>
    <w:p>
      <w:pPr>
        <w:jc w:val="center"/>
        <w:rPr>
          <w:rFonts w:eastAsia="黑体"/>
          <w:color w:val="auto"/>
          <w:sz w:val="36"/>
          <w:highlight w:val="none"/>
        </w:rPr>
      </w:pPr>
    </w:p>
    <w:p>
      <w:pPr>
        <w:jc w:val="center"/>
        <w:rPr>
          <w:rFonts w:eastAsia="黑体"/>
          <w:color w:val="auto"/>
          <w:sz w:val="36"/>
          <w:highlight w:val="none"/>
        </w:rPr>
      </w:pPr>
    </w:p>
    <w:p>
      <w:pPr>
        <w:rPr>
          <w:rFonts w:hint="eastAsia" w:ascii="宋体" w:hAnsi="宋体"/>
          <w:color w:val="auto"/>
          <w:sz w:val="36"/>
          <w:highlight w:val="none"/>
          <w:u w:val="single"/>
        </w:rPr>
      </w:pPr>
      <w:r>
        <w:rPr>
          <w:rFonts w:hint="eastAsia" w:ascii="宋体" w:hAnsi="宋体"/>
          <w:color w:val="auto"/>
          <w:sz w:val="36"/>
          <w:highlight w:val="none"/>
        </w:rPr>
        <w:t>项目名称：河南大学全息流式细胞分选仪等设备购置项目</w:t>
      </w:r>
    </w:p>
    <w:p>
      <w:pPr>
        <w:rPr>
          <w:rFonts w:hint="eastAsia" w:ascii="宋体" w:hAnsi="宋体"/>
          <w:color w:val="auto"/>
          <w:sz w:val="36"/>
          <w:highlight w:val="none"/>
          <w:u w:val="single"/>
        </w:rPr>
      </w:pPr>
    </w:p>
    <w:p>
      <w:pPr>
        <w:rPr>
          <w:rFonts w:hint="eastAsia" w:ascii="宋体" w:hAnsi="宋体"/>
          <w:color w:val="auto"/>
          <w:sz w:val="36"/>
          <w:highlight w:val="none"/>
          <w:u w:val="single"/>
        </w:rPr>
      </w:pPr>
      <w:r>
        <w:rPr>
          <w:rFonts w:hint="eastAsia" w:ascii="宋体" w:hAnsi="宋体"/>
          <w:color w:val="auto"/>
          <w:sz w:val="36"/>
          <w:highlight w:val="none"/>
        </w:rPr>
        <w:t xml:space="preserve">      买方（甲方）：河南大学</w:t>
      </w:r>
    </w:p>
    <w:p>
      <w:pPr>
        <w:rPr>
          <w:rFonts w:hint="eastAsia" w:ascii="宋体" w:hAnsi="宋体"/>
          <w:color w:val="auto"/>
          <w:sz w:val="36"/>
          <w:highlight w:val="none"/>
          <w:u w:val="single"/>
        </w:rPr>
      </w:pPr>
    </w:p>
    <w:p>
      <w:pPr>
        <w:rPr>
          <w:rFonts w:hint="eastAsia" w:ascii="宋体" w:hAnsi="宋体"/>
          <w:color w:val="auto"/>
          <w:sz w:val="36"/>
          <w:highlight w:val="none"/>
          <w:u w:val="single"/>
        </w:rPr>
      </w:pPr>
    </w:p>
    <w:p>
      <w:pPr>
        <w:rPr>
          <w:rFonts w:hint="eastAsia" w:ascii="宋体" w:hAnsi="宋体"/>
          <w:color w:val="auto"/>
          <w:sz w:val="36"/>
          <w:highlight w:val="none"/>
        </w:rPr>
      </w:pPr>
      <w:r>
        <w:rPr>
          <w:rFonts w:hint="eastAsia" w:ascii="宋体" w:hAnsi="宋体"/>
          <w:color w:val="auto"/>
          <w:sz w:val="36"/>
          <w:highlight w:val="none"/>
        </w:rPr>
        <w:t xml:space="preserve">      卖方（乙方）：河南上知正仪器设备有限公司</w:t>
      </w:r>
    </w:p>
    <w:p>
      <w:pPr>
        <w:ind w:left="-540"/>
        <w:rPr>
          <w:rFonts w:hint="eastAsia" w:ascii="宋体" w:hAnsi="宋体"/>
          <w:color w:val="auto"/>
          <w:sz w:val="36"/>
          <w:highlight w:val="none"/>
          <w:u w:val="single"/>
        </w:rPr>
      </w:pPr>
    </w:p>
    <w:p>
      <w:pPr>
        <w:ind w:left="-180"/>
        <w:rPr>
          <w:rFonts w:hint="eastAsia" w:ascii="宋体" w:hAnsi="宋体"/>
          <w:color w:val="auto"/>
          <w:sz w:val="36"/>
          <w:highlight w:val="none"/>
        </w:rPr>
      </w:pPr>
    </w:p>
    <w:p>
      <w:pPr>
        <w:rPr>
          <w:rFonts w:hint="eastAsia" w:ascii="宋体" w:hAnsi="宋体"/>
          <w:color w:val="auto"/>
          <w:sz w:val="36"/>
          <w:highlight w:val="none"/>
          <w:u w:val="single"/>
        </w:rPr>
      </w:pPr>
      <w:r>
        <w:rPr>
          <w:rFonts w:hint="eastAsia" w:ascii="宋体" w:hAnsi="宋体"/>
          <w:color w:val="auto"/>
          <w:sz w:val="36"/>
          <w:highlight w:val="none"/>
        </w:rPr>
        <w:t xml:space="preserve">      签订时间：2025年2月</w:t>
      </w:r>
      <w:r>
        <w:rPr>
          <w:rFonts w:hint="eastAsia" w:ascii="宋体" w:hAnsi="宋体"/>
          <w:color w:val="auto"/>
          <w:sz w:val="36"/>
          <w:highlight w:val="none"/>
          <w:lang w:val="en-US" w:eastAsia="zh-CN"/>
        </w:rPr>
        <w:t>20</w:t>
      </w:r>
      <w:r>
        <w:rPr>
          <w:rFonts w:hint="eastAsia" w:ascii="宋体" w:hAnsi="宋体"/>
          <w:color w:val="auto"/>
          <w:sz w:val="36"/>
          <w:highlight w:val="none"/>
        </w:rPr>
        <w:t>日</w:t>
      </w:r>
    </w:p>
    <w:p>
      <w:pPr>
        <w:rPr>
          <w:rFonts w:hint="eastAsia" w:ascii="宋体" w:hAnsi="宋体"/>
          <w:color w:val="auto"/>
          <w:sz w:val="36"/>
          <w:highlight w:val="none"/>
        </w:rPr>
      </w:pPr>
      <w:r>
        <w:rPr>
          <w:rFonts w:hint="eastAsia" w:ascii="宋体" w:hAnsi="宋体"/>
          <w:color w:val="auto"/>
          <w:sz w:val="36"/>
          <w:highlight w:val="none"/>
        </w:rPr>
        <w:t xml:space="preserve">      签订地点：河南省郑州市</w:t>
      </w:r>
    </w:p>
    <w:p>
      <w:pPr>
        <w:rPr>
          <w:rFonts w:hint="eastAsia" w:ascii="宋体" w:hAnsi="宋体"/>
          <w:color w:val="auto"/>
          <w:sz w:val="36"/>
          <w:highlight w:val="none"/>
          <w:u w:val="single"/>
        </w:rPr>
      </w:pPr>
      <w:r>
        <w:rPr>
          <w:rFonts w:hint="eastAsia" w:ascii="宋体" w:hAnsi="宋体"/>
          <w:color w:val="auto"/>
          <w:sz w:val="36"/>
          <w:highlight w:val="none"/>
        </w:rPr>
        <w:t xml:space="preserve">      履约期限：2年2个月</w:t>
      </w:r>
    </w:p>
    <w:p>
      <w:pPr>
        <w:rPr>
          <w:rFonts w:hint="eastAsia" w:ascii="宋体" w:hAnsi="宋体"/>
          <w:color w:val="auto"/>
          <w:sz w:val="36"/>
          <w:highlight w:val="none"/>
        </w:rPr>
      </w:pPr>
    </w:p>
    <w:p>
      <w:pPr>
        <w:jc w:val="center"/>
        <w:rPr>
          <w:rFonts w:hint="eastAsia" w:ascii="宋体" w:hAnsi="宋体"/>
          <w:color w:val="auto"/>
          <w:sz w:val="30"/>
          <w:highlight w:val="none"/>
        </w:rPr>
      </w:pPr>
    </w:p>
    <w:p>
      <w:pPr>
        <w:jc w:val="center"/>
        <w:rPr>
          <w:rFonts w:hint="eastAsia" w:ascii="宋体" w:hAnsi="宋体"/>
          <w:color w:val="auto"/>
          <w:sz w:val="30"/>
          <w:highlight w:val="none"/>
        </w:rPr>
      </w:pPr>
    </w:p>
    <w:p>
      <w:pPr>
        <w:jc w:val="center"/>
        <w:rPr>
          <w:rFonts w:hint="eastAsia" w:ascii="宋体" w:hAnsi="宋体"/>
          <w:color w:val="auto"/>
          <w:sz w:val="30"/>
          <w:highlight w:val="none"/>
        </w:rPr>
      </w:pPr>
      <w:r>
        <w:rPr>
          <w:rFonts w:hint="eastAsia" w:ascii="宋体" w:hAnsi="宋体"/>
          <w:color w:val="auto"/>
          <w:sz w:val="30"/>
          <w:highlight w:val="none"/>
        </w:rPr>
        <w:t>河南大学招标办制</w:t>
      </w:r>
    </w:p>
    <w:p>
      <w:pPr>
        <w:jc w:val="center"/>
        <w:rPr>
          <w:b/>
          <w:bCs/>
          <w:color w:val="auto"/>
          <w:sz w:val="44"/>
          <w:szCs w:val="44"/>
          <w:highlight w:val="none"/>
        </w:rPr>
        <w:sectPr>
          <w:headerReference r:id="rId3" w:type="default"/>
          <w:headerReference r:id="rId4" w:type="even"/>
          <w:footerReference r:id="rId5" w:type="even"/>
          <w:pgSz w:w="11906" w:h="16838"/>
          <w:pgMar w:top="1440" w:right="1134" w:bottom="1440" w:left="1417" w:header="851" w:footer="992" w:gutter="0"/>
          <w:cols w:space="720" w:num="1"/>
          <w:docGrid w:type="lines" w:linePitch="312" w:charSpace="0"/>
        </w:sectPr>
      </w:pPr>
    </w:p>
    <w:p>
      <w:pPr>
        <w:jc w:val="center"/>
        <w:rPr>
          <w:b/>
          <w:bCs/>
          <w:color w:val="auto"/>
          <w:sz w:val="44"/>
          <w:szCs w:val="44"/>
          <w:highlight w:val="none"/>
        </w:rPr>
      </w:pPr>
      <w:r>
        <w:rPr>
          <w:rFonts w:hint="eastAsia"/>
          <w:b/>
          <w:bCs/>
          <w:color w:val="auto"/>
          <w:sz w:val="44"/>
          <w:szCs w:val="44"/>
          <w:highlight w:val="none"/>
        </w:rPr>
        <w:t>货物（设备）采购合同</w:t>
      </w:r>
    </w:p>
    <w:p>
      <w:pPr>
        <w:ind w:right="-154"/>
        <w:jc w:val="center"/>
        <w:rPr>
          <w:color w:val="auto"/>
          <w:sz w:val="28"/>
          <w:szCs w:val="28"/>
          <w:highlight w:val="none"/>
        </w:rPr>
      </w:pPr>
    </w:p>
    <w:p>
      <w:pPr>
        <w:ind w:right="90"/>
        <w:rPr>
          <w:bCs/>
          <w:color w:val="auto"/>
          <w:sz w:val="28"/>
          <w:szCs w:val="28"/>
          <w:highlight w:val="none"/>
        </w:rPr>
      </w:pPr>
      <w:r>
        <w:rPr>
          <w:rFonts w:hint="eastAsia"/>
          <w:b/>
          <w:color w:val="auto"/>
          <w:sz w:val="28"/>
          <w:szCs w:val="28"/>
          <w:highlight w:val="none"/>
        </w:rPr>
        <w:t xml:space="preserve">买方（甲方）：河南大学                 </w:t>
      </w:r>
      <w:r>
        <w:rPr>
          <w:rFonts w:hint="eastAsia"/>
          <w:color w:val="auto"/>
          <w:sz w:val="24"/>
          <w:highlight w:val="none"/>
        </w:rPr>
        <w:t>签订地点：河南省郑州市</w:t>
      </w:r>
    </w:p>
    <w:p>
      <w:pPr>
        <w:spacing w:line="360" w:lineRule="auto"/>
        <w:rPr>
          <w:color w:val="auto"/>
          <w:sz w:val="28"/>
          <w:szCs w:val="28"/>
          <w:highlight w:val="none"/>
        </w:rPr>
      </w:pPr>
      <w:r>
        <w:rPr>
          <w:rFonts w:hint="eastAsia"/>
          <w:b/>
          <w:color w:val="auto"/>
          <w:sz w:val="28"/>
          <w:szCs w:val="28"/>
          <w:highlight w:val="none"/>
        </w:rPr>
        <w:t>卖方（乙方）：</w:t>
      </w:r>
      <w:r>
        <w:rPr>
          <w:rFonts w:hint="eastAsia"/>
          <w:b/>
          <w:color w:val="auto"/>
          <w:sz w:val="24"/>
          <w:szCs w:val="24"/>
          <w:highlight w:val="none"/>
        </w:rPr>
        <w:t>河南上知正仪器设备有限公司</w:t>
      </w:r>
      <w:r>
        <w:rPr>
          <w:rFonts w:hint="eastAsia"/>
          <w:b/>
          <w:color w:val="auto"/>
          <w:sz w:val="28"/>
          <w:szCs w:val="28"/>
          <w:highlight w:val="none"/>
        </w:rPr>
        <w:t xml:space="preserve"> </w:t>
      </w:r>
      <w:r>
        <w:rPr>
          <w:rFonts w:hint="eastAsia"/>
          <w:color w:val="auto"/>
          <w:sz w:val="24"/>
          <w:highlight w:val="none"/>
        </w:rPr>
        <w:t>签订时间：</w:t>
      </w:r>
      <w:r>
        <w:rPr>
          <w:rFonts w:hint="eastAsia"/>
          <w:color w:val="auto"/>
          <w:sz w:val="24"/>
          <w:highlight w:val="none"/>
          <w:u w:val="single"/>
        </w:rPr>
        <w:t>2025</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u w:val="single"/>
          <w:lang w:val="en-US" w:eastAsia="zh-CN"/>
        </w:rPr>
        <w:t>2</w:t>
      </w:r>
      <w:r>
        <w:rPr>
          <w:color w:val="auto"/>
          <w:sz w:val="24"/>
          <w:highlight w:val="none"/>
          <w:u w:val="single"/>
        </w:rPr>
        <w:t xml:space="preserve"> </w:t>
      </w:r>
      <w:r>
        <w:rPr>
          <w:rFonts w:hint="eastAsia"/>
          <w:color w:val="auto"/>
          <w:sz w:val="24"/>
          <w:highlight w:val="none"/>
        </w:rPr>
        <w:t>月</w:t>
      </w:r>
      <w:r>
        <w:rPr>
          <w:rFonts w:hint="eastAsia"/>
          <w:color w:val="auto"/>
          <w:sz w:val="24"/>
          <w:highlight w:val="none"/>
          <w:u w:val="single"/>
          <w:lang w:val="en-US" w:eastAsia="zh-CN"/>
        </w:rPr>
        <w:t>20</w:t>
      </w:r>
      <w:r>
        <w:rPr>
          <w:color w:val="auto"/>
          <w:sz w:val="24"/>
          <w:highlight w:val="none"/>
          <w:u w:val="single"/>
        </w:rPr>
        <w:t xml:space="preserve"> </w:t>
      </w:r>
      <w:r>
        <w:rPr>
          <w:rFonts w:hint="eastAsia"/>
          <w:color w:val="auto"/>
          <w:sz w:val="24"/>
          <w:highlight w:val="none"/>
        </w:rPr>
        <w:t>日</w:t>
      </w:r>
    </w:p>
    <w:p>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根据《中华人民共和国招标标法》、《中华人民共和国政府采购法》、</w:t>
      </w:r>
      <w:r>
        <w:rPr>
          <w:rFonts w:hint="eastAsia" w:asciiTheme="minorEastAsia" w:hAnsiTheme="minorEastAsia" w:eastAsiaTheme="minorEastAsia"/>
          <w:color w:val="auto"/>
          <w:sz w:val="28"/>
          <w:szCs w:val="28"/>
          <w:highlight w:val="none"/>
        </w:rPr>
        <w:t>《中华人民共和国民法典》</w:t>
      </w:r>
      <w:r>
        <w:rPr>
          <w:rFonts w:hint="eastAsia" w:ascii="宋体" w:hAnsi="宋体"/>
          <w:color w:val="auto"/>
          <w:sz w:val="28"/>
          <w:szCs w:val="28"/>
          <w:highlight w:val="none"/>
        </w:rPr>
        <w:t>等国家法律法规，就甲方向乙方购买商品（设备）的型号、数量、质量、包装、运输、价款、税金、保险、验收、技术服务、售后服务、违约责任、争议解决方式等合同内容，经双方协商一致，签订合同，以兹共同遵守。</w:t>
      </w:r>
    </w:p>
    <w:p>
      <w:pPr>
        <w:spacing w:line="360" w:lineRule="auto"/>
        <w:ind w:firstLine="551" w:firstLineChars="196"/>
        <w:rPr>
          <w:b/>
          <w:color w:val="auto"/>
          <w:sz w:val="28"/>
          <w:szCs w:val="28"/>
          <w:highlight w:val="none"/>
        </w:rPr>
      </w:pPr>
      <w:r>
        <w:rPr>
          <w:rFonts w:hint="eastAsia"/>
          <w:b/>
          <w:color w:val="auto"/>
          <w:sz w:val="28"/>
          <w:szCs w:val="28"/>
          <w:highlight w:val="none"/>
        </w:rPr>
        <w:t>一、合同价款</w:t>
      </w:r>
    </w:p>
    <w:p>
      <w:pPr>
        <w:spacing w:line="360" w:lineRule="auto"/>
        <w:ind w:firstLine="560" w:firstLineChars="200"/>
        <w:rPr>
          <w:color w:val="auto"/>
          <w:sz w:val="28"/>
          <w:szCs w:val="28"/>
          <w:highlight w:val="none"/>
        </w:rPr>
      </w:pPr>
      <w:r>
        <w:rPr>
          <w:rFonts w:hint="eastAsia"/>
          <w:color w:val="auto"/>
          <w:sz w:val="28"/>
          <w:szCs w:val="28"/>
          <w:highlight w:val="none"/>
        </w:rPr>
        <w:t>本合同的总金额为人民币：伍佰零叁万玖仟元整（¥5039000.00）；该价格已经包含制造生产、安装、调试、保险、培训、运输、装卸、税金、利润、保修及乙方人员差旅费用等全部费用。</w:t>
      </w:r>
    </w:p>
    <w:p>
      <w:pPr>
        <w:spacing w:line="360" w:lineRule="auto"/>
        <w:ind w:firstLine="562" w:firstLineChars="200"/>
        <w:rPr>
          <w:b/>
          <w:color w:val="auto"/>
          <w:sz w:val="28"/>
          <w:szCs w:val="28"/>
          <w:highlight w:val="none"/>
        </w:rPr>
      </w:pPr>
      <w:r>
        <w:rPr>
          <w:rFonts w:hint="eastAsia"/>
          <w:b/>
          <w:color w:val="auto"/>
          <w:sz w:val="28"/>
          <w:szCs w:val="28"/>
          <w:highlight w:val="none"/>
        </w:rPr>
        <w:t>二、货物（设备）的</w:t>
      </w:r>
      <w:r>
        <w:rPr>
          <w:rFonts w:hint="eastAsia" w:ascii="宋体" w:hAnsi="宋体"/>
          <w:b/>
          <w:color w:val="auto"/>
          <w:sz w:val="28"/>
          <w:szCs w:val="28"/>
          <w:highlight w:val="none"/>
        </w:rPr>
        <w:t>名称、型号、制造单位、单价、数量和合同价</w:t>
      </w:r>
      <w:r>
        <w:rPr>
          <w:rFonts w:hint="eastAsia"/>
          <w:b/>
          <w:color w:val="auto"/>
          <w:sz w:val="28"/>
          <w:szCs w:val="28"/>
          <w:highlight w:val="none"/>
        </w:rPr>
        <w:t>数量及质量要求</w:t>
      </w:r>
    </w:p>
    <w:p>
      <w:pPr>
        <w:spacing w:line="360" w:lineRule="auto"/>
        <w:ind w:firstLine="560" w:firstLineChars="200"/>
        <w:rPr>
          <w:color w:val="auto"/>
          <w:sz w:val="28"/>
          <w:szCs w:val="28"/>
          <w:highlight w:val="none"/>
        </w:rPr>
      </w:pPr>
      <w:r>
        <w:rPr>
          <w:rFonts w:hint="eastAsia"/>
          <w:color w:val="auto"/>
          <w:sz w:val="28"/>
          <w:szCs w:val="28"/>
          <w:highlight w:val="none"/>
        </w:rPr>
        <w:t>1、乙方提供的货物（设备）是未有使用过（包括零部件）的商品（设备）、符合国家相关部门制定的生产（制造）标准和检测标准以及该商品（设备）的出厂标准。</w:t>
      </w:r>
    </w:p>
    <w:p>
      <w:pPr>
        <w:spacing w:line="360" w:lineRule="auto"/>
        <w:ind w:firstLine="560" w:firstLineChars="200"/>
        <w:rPr>
          <w:rFonts w:hint="eastAsia" w:ascii="宋体" w:hAnsi="宋体"/>
          <w:b/>
          <w:color w:val="auto"/>
          <w:sz w:val="28"/>
          <w:szCs w:val="28"/>
          <w:highlight w:val="none"/>
        </w:rPr>
      </w:pPr>
      <w:r>
        <w:rPr>
          <w:rFonts w:hint="eastAsia"/>
          <w:color w:val="auto"/>
          <w:sz w:val="28"/>
          <w:szCs w:val="28"/>
          <w:highlight w:val="none"/>
        </w:rPr>
        <w:t>2、购买</w:t>
      </w:r>
      <w:r>
        <w:rPr>
          <w:rFonts w:hint="eastAsia" w:ascii="宋体" w:hAnsi="宋体"/>
          <w:color w:val="auto"/>
          <w:sz w:val="28"/>
          <w:szCs w:val="28"/>
          <w:highlight w:val="none"/>
        </w:rPr>
        <w:t>货物（设备）的名称、型号、制造单位、单价、数量和合同价：</w:t>
      </w:r>
    </w:p>
    <w:tbl>
      <w:tblPr>
        <w:tblStyle w:val="5"/>
        <w:tblW w:w="97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125"/>
        <w:gridCol w:w="1413"/>
        <w:gridCol w:w="1716"/>
        <w:gridCol w:w="971"/>
        <w:gridCol w:w="888"/>
        <w:gridCol w:w="1500"/>
        <w:gridCol w:w="14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723"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序号</w:t>
            </w:r>
          </w:p>
        </w:tc>
        <w:tc>
          <w:tcPr>
            <w:tcW w:w="1125"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名称</w:t>
            </w:r>
          </w:p>
        </w:tc>
        <w:tc>
          <w:tcPr>
            <w:tcW w:w="1413"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品牌型号</w:t>
            </w:r>
          </w:p>
        </w:tc>
        <w:tc>
          <w:tcPr>
            <w:tcW w:w="1716" w:type="dxa"/>
            <w:vAlign w:val="center"/>
          </w:tcPr>
          <w:p>
            <w:pPr>
              <w:ind w:firstLine="121" w:firstLineChars="43"/>
              <w:jc w:val="center"/>
              <w:rPr>
                <w:rFonts w:hint="eastAsia" w:ascii="宋体" w:hAnsi="宋体"/>
                <w:b/>
                <w:color w:val="auto"/>
                <w:sz w:val="28"/>
                <w:szCs w:val="28"/>
                <w:highlight w:val="none"/>
              </w:rPr>
            </w:pPr>
            <w:r>
              <w:rPr>
                <w:rFonts w:hint="eastAsia" w:ascii="宋体" w:hAnsi="宋体"/>
                <w:b/>
                <w:color w:val="auto"/>
                <w:sz w:val="28"/>
                <w:szCs w:val="28"/>
                <w:highlight w:val="none"/>
              </w:rPr>
              <w:t>制造商</w:t>
            </w:r>
          </w:p>
        </w:tc>
        <w:tc>
          <w:tcPr>
            <w:tcW w:w="971"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单位</w:t>
            </w:r>
          </w:p>
        </w:tc>
        <w:tc>
          <w:tcPr>
            <w:tcW w:w="888"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数量</w:t>
            </w:r>
          </w:p>
        </w:tc>
        <w:tc>
          <w:tcPr>
            <w:tcW w:w="1500"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单价（元）</w:t>
            </w:r>
          </w:p>
        </w:tc>
        <w:tc>
          <w:tcPr>
            <w:tcW w:w="1409"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723"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1</w:t>
            </w:r>
          </w:p>
        </w:tc>
        <w:tc>
          <w:tcPr>
            <w:tcW w:w="1125"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蛋白纯化仪（蛋白液相分析系统）</w:t>
            </w:r>
          </w:p>
        </w:tc>
        <w:tc>
          <w:tcPr>
            <w:tcW w:w="1413" w:type="dxa"/>
            <w:vAlign w:val="center"/>
          </w:tcPr>
          <w:p>
            <w:pPr>
              <w:adjustRightInd w:val="0"/>
              <w:jc w:val="center"/>
              <w:rPr>
                <w:rFonts w:hint="eastAsia" w:ascii="宋体" w:hAnsi="宋体" w:cs="宋体"/>
                <w:bCs/>
                <w:color w:val="auto"/>
                <w:highlight w:val="none"/>
              </w:rPr>
            </w:pPr>
            <w:r>
              <w:rPr>
                <w:rFonts w:hint="eastAsia" w:ascii="宋体" w:hAnsi="宋体" w:cs="宋体"/>
                <w:bCs/>
                <w:color w:val="auto"/>
                <w:highlight w:val="none"/>
              </w:rPr>
              <w:t xml:space="preserve">Cytiva,AKTA </w:t>
            </w:r>
          </w:p>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Avant 25</w:t>
            </w:r>
          </w:p>
        </w:tc>
        <w:tc>
          <w:tcPr>
            <w:tcW w:w="1716" w:type="dxa"/>
            <w:vAlign w:val="center"/>
          </w:tcPr>
          <w:p>
            <w:pPr>
              <w:jc w:val="center"/>
              <w:rPr>
                <w:rFonts w:hint="eastAsia" w:ascii="宋体" w:hAnsi="宋体"/>
                <w:color w:val="auto"/>
                <w:sz w:val="28"/>
                <w:szCs w:val="28"/>
                <w:highlight w:val="none"/>
              </w:rPr>
            </w:pPr>
            <w:r>
              <w:rPr>
                <w:rFonts w:hint="eastAsia"/>
                <w:bCs/>
                <w:color w:val="auto"/>
                <w:szCs w:val="21"/>
                <w:highlight w:val="none"/>
              </w:rPr>
              <w:t>Cytiva Sweden AB</w:t>
            </w:r>
          </w:p>
        </w:tc>
        <w:tc>
          <w:tcPr>
            <w:tcW w:w="971"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套</w:t>
            </w:r>
          </w:p>
        </w:tc>
        <w:tc>
          <w:tcPr>
            <w:tcW w:w="888"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1</w:t>
            </w:r>
          </w:p>
        </w:tc>
        <w:tc>
          <w:tcPr>
            <w:tcW w:w="1500"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1839000.00</w:t>
            </w:r>
          </w:p>
        </w:tc>
        <w:tc>
          <w:tcPr>
            <w:tcW w:w="1409"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1839000.00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723" w:type="dxa"/>
            <w:vAlign w:val="center"/>
          </w:tcPr>
          <w:p>
            <w:pPr>
              <w:rPr>
                <w:rFonts w:hint="eastAsia" w:ascii="宋体" w:hAnsi="宋体"/>
                <w:b/>
                <w:color w:val="auto"/>
                <w:sz w:val="28"/>
                <w:szCs w:val="28"/>
                <w:highlight w:val="none"/>
              </w:rPr>
            </w:pPr>
            <w:r>
              <w:rPr>
                <w:rFonts w:hint="eastAsia" w:ascii="宋体" w:hAnsi="宋体"/>
                <w:b/>
                <w:color w:val="auto"/>
                <w:sz w:val="28"/>
                <w:szCs w:val="28"/>
                <w:highlight w:val="none"/>
              </w:rPr>
              <w:t>2</w:t>
            </w:r>
          </w:p>
        </w:tc>
        <w:tc>
          <w:tcPr>
            <w:tcW w:w="1125"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生物分子互作系统</w:t>
            </w:r>
          </w:p>
        </w:tc>
        <w:tc>
          <w:tcPr>
            <w:tcW w:w="1413" w:type="dxa"/>
            <w:vAlign w:val="center"/>
          </w:tcPr>
          <w:p>
            <w:pPr>
              <w:adjustRightInd w:val="0"/>
              <w:jc w:val="center"/>
              <w:rPr>
                <w:rFonts w:hint="eastAsia" w:ascii="宋体" w:hAnsi="宋体" w:cs="宋体"/>
                <w:bCs/>
                <w:color w:val="auto"/>
                <w:highlight w:val="none"/>
              </w:rPr>
            </w:pPr>
            <w:r>
              <w:rPr>
                <w:rFonts w:hint="eastAsia" w:ascii="宋体" w:hAnsi="宋体" w:cs="宋体"/>
                <w:bCs/>
                <w:color w:val="auto"/>
                <w:highlight w:val="none"/>
              </w:rPr>
              <w:t>Cytiva,Biacore</w:t>
            </w:r>
          </w:p>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T200</w:t>
            </w:r>
          </w:p>
        </w:tc>
        <w:tc>
          <w:tcPr>
            <w:tcW w:w="1716" w:type="dxa"/>
            <w:vAlign w:val="center"/>
          </w:tcPr>
          <w:p>
            <w:pPr>
              <w:jc w:val="center"/>
              <w:rPr>
                <w:rFonts w:hint="eastAsia" w:ascii="宋体" w:hAnsi="宋体"/>
                <w:color w:val="auto"/>
                <w:sz w:val="28"/>
                <w:szCs w:val="28"/>
                <w:highlight w:val="none"/>
              </w:rPr>
            </w:pPr>
            <w:r>
              <w:rPr>
                <w:rFonts w:hint="eastAsia"/>
                <w:bCs/>
                <w:color w:val="auto"/>
                <w:szCs w:val="21"/>
                <w:highlight w:val="none"/>
              </w:rPr>
              <w:t>Cytiva Sweden AB</w:t>
            </w:r>
          </w:p>
        </w:tc>
        <w:tc>
          <w:tcPr>
            <w:tcW w:w="971"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套</w:t>
            </w:r>
          </w:p>
        </w:tc>
        <w:tc>
          <w:tcPr>
            <w:tcW w:w="888"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1</w:t>
            </w:r>
          </w:p>
        </w:tc>
        <w:tc>
          <w:tcPr>
            <w:tcW w:w="1500"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3200000.00</w:t>
            </w:r>
          </w:p>
        </w:tc>
        <w:tc>
          <w:tcPr>
            <w:tcW w:w="1409" w:type="dxa"/>
            <w:vAlign w:val="center"/>
          </w:tcPr>
          <w:p>
            <w:pPr>
              <w:adjustRightInd w:val="0"/>
              <w:jc w:val="center"/>
              <w:rPr>
                <w:rFonts w:hint="eastAsia" w:ascii="宋体" w:hAnsi="宋体"/>
                <w:color w:val="auto"/>
                <w:sz w:val="28"/>
                <w:szCs w:val="28"/>
                <w:highlight w:val="none"/>
              </w:rPr>
            </w:pPr>
            <w:r>
              <w:rPr>
                <w:rFonts w:hint="eastAsia" w:ascii="宋体" w:hAnsi="宋体" w:cs="宋体"/>
                <w:bCs/>
                <w:color w:val="auto"/>
                <w:highlight w:val="none"/>
              </w:rPr>
              <w:t>3200000.00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723" w:type="dxa"/>
            <w:vAlign w:val="center"/>
          </w:tcPr>
          <w:p>
            <w:pPr>
              <w:rPr>
                <w:rFonts w:hint="eastAsia" w:ascii="宋体" w:hAnsi="宋体"/>
                <w:color w:val="auto"/>
                <w:sz w:val="28"/>
                <w:szCs w:val="28"/>
                <w:highlight w:val="none"/>
              </w:rPr>
            </w:pPr>
          </w:p>
        </w:tc>
        <w:tc>
          <w:tcPr>
            <w:tcW w:w="9022" w:type="dxa"/>
            <w:gridSpan w:val="7"/>
          </w:tcPr>
          <w:p>
            <w:pPr>
              <w:rPr>
                <w:rFonts w:hint="eastAsia" w:ascii="宋体" w:hAnsi="宋体"/>
                <w:b/>
                <w:color w:val="auto"/>
                <w:sz w:val="28"/>
                <w:szCs w:val="28"/>
                <w:highlight w:val="none"/>
              </w:rPr>
            </w:pPr>
            <w:r>
              <w:rPr>
                <w:rFonts w:hint="eastAsia" w:ascii="宋体" w:hAnsi="宋体"/>
                <w:b/>
                <w:color w:val="auto"/>
                <w:sz w:val="28"/>
                <w:szCs w:val="28"/>
                <w:highlight w:val="none"/>
              </w:rPr>
              <w:t>总价（大写）：人民币伍佰零叁万玖仟元整（小写）：¥5039000.00</w:t>
            </w:r>
          </w:p>
        </w:tc>
      </w:tr>
    </w:tbl>
    <w:p>
      <w:pPr>
        <w:spacing w:line="360" w:lineRule="auto"/>
        <w:ind w:firstLine="560" w:firstLineChars="200"/>
        <w:rPr>
          <w:color w:val="auto"/>
          <w:sz w:val="28"/>
          <w:szCs w:val="28"/>
          <w:highlight w:val="none"/>
        </w:rPr>
      </w:pPr>
      <w:r>
        <w:rPr>
          <w:rFonts w:hint="eastAsia"/>
          <w:color w:val="auto"/>
          <w:sz w:val="28"/>
          <w:szCs w:val="28"/>
          <w:highlight w:val="none"/>
        </w:rPr>
        <w:t>3、详细的技术规格、质保方案及售后服务标准见附件。</w:t>
      </w:r>
    </w:p>
    <w:p>
      <w:pPr>
        <w:spacing w:line="360" w:lineRule="auto"/>
        <w:ind w:firstLine="562" w:firstLineChars="200"/>
        <w:rPr>
          <w:b/>
          <w:color w:val="auto"/>
          <w:sz w:val="28"/>
          <w:szCs w:val="28"/>
          <w:highlight w:val="none"/>
        </w:rPr>
      </w:pPr>
      <w:r>
        <w:rPr>
          <w:rFonts w:hint="eastAsia"/>
          <w:b/>
          <w:color w:val="auto"/>
          <w:sz w:val="28"/>
          <w:szCs w:val="28"/>
          <w:highlight w:val="none"/>
        </w:rPr>
        <w:t>三、安装调试</w:t>
      </w:r>
    </w:p>
    <w:p>
      <w:pPr>
        <w:spacing w:line="360" w:lineRule="auto"/>
        <w:ind w:firstLine="560" w:firstLineChars="200"/>
        <w:rPr>
          <w:color w:val="auto"/>
          <w:sz w:val="28"/>
          <w:szCs w:val="28"/>
          <w:highlight w:val="none"/>
        </w:rPr>
      </w:pPr>
      <w:r>
        <w:rPr>
          <w:rFonts w:hint="eastAsia"/>
          <w:color w:val="auto"/>
          <w:sz w:val="28"/>
          <w:szCs w:val="28"/>
          <w:highlight w:val="none"/>
        </w:rPr>
        <w:t>乙方负责对货物（设备）免费进行安装调试，并使其投入正常运行，并经双方人员签字验收。</w:t>
      </w:r>
    </w:p>
    <w:p>
      <w:pPr>
        <w:spacing w:line="360" w:lineRule="auto"/>
        <w:ind w:firstLine="562" w:firstLineChars="200"/>
        <w:rPr>
          <w:b/>
          <w:color w:val="auto"/>
          <w:sz w:val="28"/>
          <w:szCs w:val="28"/>
          <w:highlight w:val="none"/>
        </w:rPr>
      </w:pPr>
      <w:r>
        <w:rPr>
          <w:rFonts w:hint="eastAsia"/>
          <w:b/>
          <w:color w:val="auto"/>
          <w:sz w:val="28"/>
          <w:szCs w:val="28"/>
          <w:highlight w:val="none"/>
        </w:rPr>
        <w:t>四、人员技术培训</w:t>
      </w:r>
    </w:p>
    <w:p>
      <w:pPr>
        <w:spacing w:line="360" w:lineRule="auto"/>
        <w:ind w:firstLine="560" w:firstLineChars="200"/>
        <w:rPr>
          <w:color w:val="auto"/>
          <w:sz w:val="28"/>
          <w:szCs w:val="28"/>
          <w:highlight w:val="none"/>
        </w:rPr>
      </w:pPr>
      <w:r>
        <w:rPr>
          <w:rFonts w:hint="eastAsia"/>
          <w:color w:val="auto"/>
          <w:sz w:val="28"/>
          <w:szCs w:val="28"/>
          <w:highlight w:val="none"/>
        </w:rPr>
        <w:t>乙方应当安排技术人员免费为甲方人员进行技术培训和现场指导，使购买的货物（设备）国家规定运行标准和使用要求。</w:t>
      </w:r>
    </w:p>
    <w:p>
      <w:pPr>
        <w:spacing w:line="360" w:lineRule="auto"/>
        <w:ind w:firstLine="562" w:firstLineChars="200"/>
        <w:rPr>
          <w:b/>
          <w:color w:val="auto"/>
          <w:sz w:val="28"/>
          <w:szCs w:val="28"/>
          <w:highlight w:val="none"/>
        </w:rPr>
      </w:pPr>
      <w:r>
        <w:rPr>
          <w:rFonts w:hint="eastAsia"/>
          <w:b/>
          <w:color w:val="auto"/>
          <w:sz w:val="28"/>
          <w:szCs w:val="28"/>
          <w:highlight w:val="none"/>
        </w:rPr>
        <w:t>五、交付的时间、地点、运输方式、</w:t>
      </w:r>
      <w:r>
        <w:rPr>
          <w:rFonts w:hint="eastAsia" w:ascii="宋体" w:hAnsi="宋体"/>
          <w:b/>
          <w:color w:val="auto"/>
          <w:sz w:val="28"/>
          <w:szCs w:val="28"/>
          <w:highlight w:val="none"/>
        </w:rPr>
        <w:t>运输费用及风险承担</w:t>
      </w:r>
    </w:p>
    <w:p>
      <w:pPr>
        <w:spacing w:line="360" w:lineRule="auto"/>
        <w:ind w:firstLine="560" w:firstLineChars="200"/>
        <w:rPr>
          <w:color w:val="auto"/>
          <w:sz w:val="28"/>
          <w:szCs w:val="28"/>
          <w:highlight w:val="none"/>
        </w:rPr>
      </w:pPr>
      <w:r>
        <w:rPr>
          <w:rFonts w:hint="eastAsia"/>
          <w:color w:val="auto"/>
          <w:sz w:val="28"/>
          <w:szCs w:val="28"/>
          <w:highlight w:val="none"/>
        </w:rPr>
        <w:t>1、交货时间、地点：于合同生效之日</w:t>
      </w:r>
      <w:r>
        <w:rPr>
          <w:rFonts w:hint="eastAsia" w:ascii="宋体" w:hAnsi="宋体"/>
          <w:color w:val="auto"/>
          <w:sz w:val="28"/>
          <w:szCs w:val="28"/>
          <w:highlight w:val="none"/>
        </w:rPr>
        <w:t>起</w:t>
      </w:r>
      <w:r>
        <w:rPr>
          <w:rFonts w:hint="eastAsia" w:ascii="宋体" w:hAnsi="宋体"/>
          <w:color w:val="auto"/>
          <w:sz w:val="28"/>
          <w:szCs w:val="28"/>
          <w:highlight w:val="none"/>
          <w:u w:val="single"/>
        </w:rPr>
        <w:t>60</w:t>
      </w:r>
      <w:r>
        <w:rPr>
          <w:rFonts w:hint="eastAsia"/>
          <w:color w:val="auto"/>
          <w:sz w:val="28"/>
          <w:szCs w:val="28"/>
          <w:highlight w:val="none"/>
        </w:rPr>
        <w:t>日历日内（按投标承诺时间），乙方按甲方指定地点将货物免费送达。甲方或最终用户在乙方收货确认单签字盖章，或者甲方或最终用户在乙方的物流配送单据上予以签字或盖章，作为双方结算的依据。</w:t>
      </w:r>
    </w:p>
    <w:p>
      <w:pPr>
        <w:spacing w:line="360" w:lineRule="auto"/>
        <w:ind w:firstLine="560" w:firstLineChars="200"/>
        <w:rPr>
          <w:color w:val="auto"/>
          <w:sz w:val="28"/>
          <w:szCs w:val="28"/>
          <w:highlight w:val="none"/>
        </w:rPr>
      </w:pPr>
      <w:r>
        <w:rPr>
          <w:rFonts w:hint="eastAsia"/>
          <w:color w:val="auto"/>
          <w:sz w:val="28"/>
          <w:szCs w:val="28"/>
          <w:highlight w:val="none"/>
        </w:rPr>
        <w:t>2、产品运输过程中由乙方按国家有关设备供应的规定标准进行包装、供应，产生的相关费用由乙方承担。</w:t>
      </w:r>
    </w:p>
    <w:p>
      <w:pPr>
        <w:spacing w:line="360" w:lineRule="auto"/>
        <w:ind w:firstLine="560" w:firstLineChars="200"/>
        <w:rPr>
          <w:color w:val="auto"/>
          <w:sz w:val="28"/>
          <w:szCs w:val="28"/>
          <w:highlight w:val="none"/>
        </w:rPr>
      </w:pPr>
      <w:r>
        <w:rPr>
          <w:rFonts w:hint="eastAsia"/>
          <w:color w:val="auto"/>
          <w:sz w:val="28"/>
          <w:szCs w:val="28"/>
          <w:highlight w:val="none"/>
        </w:rPr>
        <w:t>3、乙方应在交货时向甲方提供货物（设备）生产制造标准、使用说明书、检验合格证明及相关的随机备品备件、配件、工具、软件等资料。</w:t>
      </w:r>
    </w:p>
    <w:p>
      <w:pPr>
        <w:ind w:firstLine="560" w:firstLineChars="200"/>
        <w:rPr>
          <w:rFonts w:hint="eastAsia" w:ascii="宋体" w:hAnsi="宋体"/>
          <w:color w:val="auto"/>
          <w:sz w:val="28"/>
          <w:szCs w:val="28"/>
          <w:highlight w:val="none"/>
        </w:rPr>
      </w:pPr>
      <w:r>
        <w:rPr>
          <w:rFonts w:hint="eastAsia"/>
          <w:color w:val="auto"/>
          <w:sz w:val="28"/>
          <w:szCs w:val="28"/>
          <w:highlight w:val="none"/>
        </w:rPr>
        <w:t>4、</w:t>
      </w:r>
      <w:r>
        <w:rPr>
          <w:rFonts w:hint="eastAsia" w:ascii="宋体" w:hAnsi="宋体"/>
          <w:color w:val="auto"/>
          <w:sz w:val="28"/>
          <w:szCs w:val="28"/>
          <w:highlight w:val="none"/>
        </w:rPr>
        <w:t>合同货物（设备）验收前的货物毁损、灭失的风险由乙方承担，验收合格后的货物灭失的风险由甲方承担。如合同商品参加保险，保险赔偿款由风险承担者享有。</w:t>
      </w:r>
    </w:p>
    <w:p>
      <w:pPr>
        <w:spacing w:line="360" w:lineRule="auto"/>
        <w:ind w:firstLine="562" w:firstLineChars="200"/>
        <w:rPr>
          <w:b/>
          <w:color w:val="auto"/>
          <w:sz w:val="28"/>
          <w:szCs w:val="28"/>
          <w:highlight w:val="none"/>
        </w:rPr>
      </w:pPr>
      <w:r>
        <w:rPr>
          <w:rFonts w:hint="eastAsia"/>
          <w:b/>
          <w:color w:val="auto"/>
          <w:sz w:val="28"/>
          <w:szCs w:val="28"/>
          <w:highlight w:val="none"/>
        </w:rPr>
        <w:t>六、</w:t>
      </w:r>
      <w:r>
        <w:rPr>
          <w:rFonts w:hint="eastAsia" w:ascii="宋体" w:hAnsi="宋体"/>
          <w:b/>
          <w:color w:val="auto"/>
          <w:sz w:val="28"/>
          <w:szCs w:val="28"/>
          <w:highlight w:val="none"/>
        </w:rPr>
        <w:t>货物（设备）</w:t>
      </w:r>
      <w:r>
        <w:rPr>
          <w:rFonts w:hint="eastAsia"/>
          <w:b/>
          <w:color w:val="auto"/>
          <w:sz w:val="28"/>
          <w:szCs w:val="28"/>
          <w:highlight w:val="none"/>
        </w:rPr>
        <w:t>验收标准、验收方式</w:t>
      </w:r>
    </w:p>
    <w:p>
      <w:pPr>
        <w:spacing w:line="360" w:lineRule="auto"/>
        <w:ind w:firstLine="560" w:firstLineChars="200"/>
        <w:rPr>
          <w:color w:val="auto"/>
          <w:sz w:val="28"/>
          <w:szCs w:val="28"/>
          <w:highlight w:val="none"/>
        </w:rPr>
      </w:pPr>
      <w:r>
        <w:rPr>
          <w:rFonts w:hint="eastAsia"/>
          <w:color w:val="auto"/>
          <w:sz w:val="28"/>
          <w:szCs w:val="28"/>
          <w:highlight w:val="none"/>
        </w:rPr>
        <w:t>1、按国家现行验收标准、规范等有关规定执行，甲方在收到货物（设备）后可以在合理期限内提出异议。</w:t>
      </w:r>
    </w:p>
    <w:p>
      <w:pPr>
        <w:spacing w:line="360" w:lineRule="auto"/>
        <w:ind w:firstLine="560" w:firstLineChars="200"/>
        <w:rPr>
          <w:color w:val="auto"/>
          <w:sz w:val="28"/>
          <w:szCs w:val="28"/>
          <w:highlight w:val="none"/>
        </w:rPr>
      </w:pPr>
      <w:r>
        <w:rPr>
          <w:rFonts w:hint="eastAsia"/>
          <w:color w:val="auto"/>
          <w:sz w:val="28"/>
          <w:szCs w:val="28"/>
          <w:highlight w:val="none"/>
        </w:rPr>
        <w:t>2、货物（设备）使用单位应在货物（设备）交付后，根据初验结果以及安装、调试、培训等情况正常运行一段时间后向甲方提出货物（设备）验收申请。</w:t>
      </w:r>
    </w:p>
    <w:p>
      <w:pPr>
        <w:spacing w:line="360" w:lineRule="auto"/>
        <w:ind w:firstLine="560" w:firstLineChars="200"/>
        <w:rPr>
          <w:color w:val="auto"/>
          <w:sz w:val="28"/>
          <w:szCs w:val="28"/>
          <w:highlight w:val="none"/>
        </w:rPr>
      </w:pPr>
      <w:r>
        <w:rPr>
          <w:rFonts w:hint="eastAsia"/>
          <w:color w:val="auto"/>
          <w:sz w:val="28"/>
          <w:szCs w:val="28"/>
          <w:highlight w:val="none"/>
        </w:rPr>
        <w:t>3、根据验收申请，甲方组织相关人员进行正式验收，也可以根据实际需要增加出厂检验、安装调试检验等多种验收环节，特殊情况下可以组织第三方共同验收。</w:t>
      </w:r>
    </w:p>
    <w:p>
      <w:pPr>
        <w:spacing w:line="360" w:lineRule="auto"/>
        <w:ind w:firstLine="562" w:firstLineChars="200"/>
        <w:rPr>
          <w:b/>
          <w:color w:val="auto"/>
          <w:sz w:val="28"/>
          <w:szCs w:val="28"/>
          <w:highlight w:val="none"/>
        </w:rPr>
      </w:pPr>
      <w:r>
        <w:rPr>
          <w:rFonts w:hint="eastAsia"/>
          <w:b/>
          <w:color w:val="auto"/>
          <w:sz w:val="28"/>
          <w:szCs w:val="28"/>
          <w:highlight w:val="none"/>
        </w:rPr>
        <w:t>七、</w:t>
      </w:r>
      <w:r>
        <w:rPr>
          <w:rFonts w:hint="eastAsia" w:ascii="宋体" w:hAnsi="宋体"/>
          <w:b/>
          <w:color w:val="auto"/>
          <w:sz w:val="28"/>
          <w:szCs w:val="28"/>
          <w:highlight w:val="none"/>
        </w:rPr>
        <w:t>货物（设备）</w:t>
      </w:r>
      <w:r>
        <w:rPr>
          <w:rFonts w:hint="eastAsia"/>
          <w:b/>
          <w:color w:val="auto"/>
          <w:sz w:val="28"/>
          <w:szCs w:val="28"/>
          <w:highlight w:val="none"/>
        </w:rPr>
        <w:t>付款时间、支付方式和支付条件</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1、合同签订后甲方收到乙方银行保函形式的预付款担保函(合同总金额的40%，保函有效期6个月)和相等金额收款收据之日起 20个工作日内，甲方向乙方支付合同总金额的40%(大写:贰佰零壹万伍仟陆佰元整、小写:2015600.00元)作为合同预付款；</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货物（设备）到达合同约定的交货地点并经甲、乙双方进行验收合格后，乙方向甲方提供本合同金额5%的银行保函（有效期同质保期，首次有效期24个月），甲方收到银行保函并查验无误后，向乙方支付剩余货款(总合同金额的60%，大写:叁佰零贰万叁仟肆佰元、小写: 3023400.00元)。）</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pPr>
        <w:spacing w:line="360" w:lineRule="auto"/>
        <w:ind w:firstLine="686" w:firstLineChars="245"/>
        <w:rPr>
          <w:rFonts w:hint="eastAsia" w:ascii="宋体" w:hAnsi="宋体"/>
          <w:color w:val="auto"/>
          <w:sz w:val="28"/>
          <w:szCs w:val="28"/>
          <w:highlight w:val="none"/>
        </w:rPr>
      </w:pPr>
      <w:r>
        <w:rPr>
          <w:rFonts w:hint="eastAsia" w:ascii="宋体" w:hAnsi="宋体"/>
          <w:color w:val="auto"/>
          <w:sz w:val="28"/>
          <w:szCs w:val="28"/>
          <w:highlight w:val="none"/>
        </w:rPr>
        <w:t>2、支付方式：</w:t>
      </w:r>
    </w:p>
    <w:p>
      <w:pPr>
        <w:spacing w:line="360" w:lineRule="auto"/>
        <w:ind w:firstLine="688" w:firstLineChars="246"/>
        <w:rPr>
          <w:color w:val="auto"/>
          <w:sz w:val="28"/>
          <w:szCs w:val="28"/>
          <w:highlight w:val="none"/>
        </w:rPr>
      </w:pPr>
      <w:r>
        <w:rPr>
          <w:rFonts w:hint="eastAsia" w:ascii="宋体" w:hAnsi="宋体"/>
          <w:color w:val="auto"/>
          <w:sz w:val="28"/>
          <w:szCs w:val="28"/>
          <w:highlight w:val="none"/>
        </w:rPr>
        <w:t>本合同项下所有结算款全部支付至乙方（中标方）在中国建设银行郑州科技</w:t>
      </w:r>
      <w:r>
        <w:rPr>
          <w:rFonts w:hint="eastAsia"/>
          <w:color w:val="auto"/>
          <w:sz w:val="28"/>
          <w:szCs w:val="28"/>
          <w:highlight w:val="none"/>
        </w:rPr>
        <w:t>（支）行开立的监管账户，该回款账户未经</w:t>
      </w:r>
      <w:r>
        <w:rPr>
          <w:rFonts w:hint="eastAsia" w:ascii="宋体" w:hAnsi="宋体"/>
          <w:color w:val="auto"/>
          <w:sz w:val="28"/>
          <w:szCs w:val="28"/>
          <w:highlight w:val="none"/>
        </w:rPr>
        <w:t>河南上知正仪器设备有限公司</w:t>
      </w:r>
      <w:r>
        <w:rPr>
          <w:rFonts w:hint="eastAsia"/>
          <w:color w:val="auto"/>
          <w:sz w:val="28"/>
          <w:szCs w:val="28"/>
          <w:highlight w:val="none"/>
        </w:rPr>
        <w:t>同意后不得更改，具体账户信息如下：</w:t>
      </w:r>
    </w:p>
    <w:p>
      <w:pPr>
        <w:spacing w:line="360" w:lineRule="auto"/>
        <w:ind w:firstLine="688" w:firstLineChars="246"/>
        <w:rPr>
          <w:rFonts w:hint="eastAsia" w:ascii="宋体" w:hAnsi="宋体"/>
          <w:color w:val="auto"/>
          <w:sz w:val="28"/>
          <w:szCs w:val="28"/>
          <w:highlight w:val="none"/>
        </w:rPr>
      </w:pPr>
      <w:r>
        <w:rPr>
          <w:rFonts w:hint="eastAsia" w:ascii="宋体" w:hAnsi="宋体"/>
          <w:color w:val="auto"/>
          <w:sz w:val="28"/>
          <w:szCs w:val="28"/>
          <w:highlight w:val="none"/>
        </w:rPr>
        <w:t>统一社会信用代码：91410100MACK2NQE0B</w:t>
      </w:r>
    </w:p>
    <w:p>
      <w:pPr>
        <w:spacing w:line="360" w:lineRule="auto"/>
        <w:ind w:firstLine="688" w:firstLineChars="246"/>
        <w:rPr>
          <w:rFonts w:hint="eastAsia" w:ascii="宋体" w:hAnsi="宋体"/>
          <w:color w:val="auto"/>
          <w:sz w:val="28"/>
          <w:szCs w:val="28"/>
          <w:highlight w:val="none"/>
        </w:rPr>
      </w:pPr>
      <w:r>
        <w:rPr>
          <w:rFonts w:hint="eastAsia" w:ascii="宋体" w:hAnsi="宋体"/>
          <w:color w:val="auto"/>
          <w:sz w:val="28"/>
          <w:szCs w:val="28"/>
          <w:highlight w:val="none"/>
        </w:rPr>
        <w:t>账户名称：河南上知正仪器设备有限公司</w:t>
      </w:r>
    </w:p>
    <w:p>
      <w:pPr>
        <w:spacing w:line="360" w:lineRule="auto"/>
        <w:ind w:firstLine="688" w:firstLineChars="246"/>
        <w:rPr>
          <w:rFonts w:hint="eastAsia" w:ascii="宋体" w:hAnsi="宋体"/>
          <w:color w:val="auto"/>
          <w:sz w:val="28"/>
          <w:szCs w:val="28"/>
          <w:highlight w:val="none"/>
        </w:rPr>
      </w:pPr>
      <w:r>
        <w:rPr>
          <w:rFonts w:hint="eastAsia" w:ascii="宋体" w:hAnsi="宋体"/>
          <w:color w:val="auto"/>
          <w:sz w:val="28"/>
          <w:szCs w:val="28"/>
          <w:highlight w:val="none"/>
        </w:rPr>
        <w:t>账号：4105 0167 6608 0000 3545</w:t>
      </w:r>
    </w:p>
    <w:p>
      <w:pPr>
        <w:spacing w:line="400" w:lineRule="exact"/>
        <w:ind w:firstLine="688" w:firstLineChars="246"/>
        <w:rPr>
          <w:color w:val="auto"/>
          <w:sz w:val="28"/>
          <w:szCs w:val="28"/>
          <w:highlight w:val="none"/>
        </w:rPr>
      </w:pPr>
      <w:r>
        <w:rPr>
          <w:rFonts w:hint="eastAsia" w:ascii="宋体" w:hAnsi="宋体"/>
          <w:color w:val="auto"/>
          <w:sz w:val="28"/>
          <w:szCs w:val="28"/>
          <w:highlight w:val="none"/>
        </w:rPr>
        <w:t>开户银行：中国建设银行郑州科技支行</w:t>
      </w:r>
    </w:p>
    <w:p>
      <w:pPr>
        <w:spacing w:line="52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合同支付预付款的，乙方应先向甲方提供预付款相等金额收款收据;待货物(设备)到达合同约定地点并经甲乙双方验收合格后，乙方按合同约定金额全额开具符合国家规定的发票，甲方收到发票并通过国家税务部门官方网站检验发票真伪后按付款流程支付合同价款。</w:t>
      </w:r>
    </w:p>
    <w:p>
      <w:pPr>
        <w:spacing w:line="520" w:lineRule="exact"/>
        <w:ind w:firstLine="560" w:firstLineChars="200"/>
        <w:rPr>
          <w:color w:val="auto"/>
          <w:sz w:val="28"/>
          <w:szCs w:val="28"/>
          <w:highlight w:val="none"/>
        </w:rPr>
      </w:pPr>
      <w:r>
        <w:rPr>
          <w:rFonts w:hint="eastAsia" w:ascii="宋体" w:hAnsi="宋体"/>
          <w:color w:val="auto"/>
          <w:sz w:val="28"/>
          <w:szCs w:val="28"/>
          <w:highlight w:val="none"/>
        </w:rPr>
        <w:t>4、乙方必须提供真实、合法的发票。若乙方提供虚假发票，自发现之日起三日内乙方应无条件提供正规发票并承担甲方因此所遭受的所有损失。</w:t>
      </w:r>
      <w:r>
        <w:rPr>
          <w:rFonts w:hint="eastAsia"/>
          <w:color w:val="auto"/>
          <w:sz w:val="28"/>
          <w:szCs w:val="28"/>
          <w:highlight w:val="none"/>
        </w:rPr>
        <w:t>发票上记载的款项甲方有权不再支付，从合同款中扣减。</w:t>
      </w:r>
    </w:p>
    <w:p>
      <w:pPr>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5、甲方在合同履行过程中，根据采购需求需求，需要追加与合同标的相同货物或服务的，可以签订补充协议，追加</w:t>
      </w:r>
      <w:r>
        <w:rPr>
          <w:rFonts w:hint="eastAsia" w:ascii="宋体" w:hAnsi="宋体"/>
          <w:bCs/>
          <w:color w:val="auto"/>
          <w:sz w:val="28"/>
          <w:szCs w:val="28"/>
          <w:highlight w:val="none"/>
        </w:rPr>
        <w:t>部分的价款不应超出合同价款的10%。</w:t>
      </w:r>
    </w:p>
    <w:p>
      <w:pPr>
        <w:spacing w:line="360" w:lineRule="auto"/>
        <w:ind w:firstLine="562" w:firstLineChars="200"/>
        <w:rPr>
          <w:b/>
          <w:color w:val="auto"/>
          <w:sz w:val="28"/>
          <w:szCs w:val="28"/>
          <w:highlight w:val="none"/>
        </w:rPr>
      </w:pPr>
      <w:r>
        <w:rPr>
          <w:rFonts w:hint="eastAsia"/>
          <w:b/>
          <w:color w:val="auto"/>
          <w:sz w:val="28"/>
          <w:szCs w:val="28"/>
          <w:highlight w:val="none"/>
        </w:rPr>
        <w:t>八、违约责任</w:t>
      </w:r>
    </w:p>
    <w:p>
      <w:pPr>
        <w:spacing w:line="360" w:lineRule="auto"/>
        <w:ind w:firstLine="560" w:firstLineChars="200"/>
        <w:rPr>
          <w:color w:val="auto"/>
          <w:sz w:val="28"/>
          <w:szCs w:val="28"/>
          <w:highlight w:val="none"/>
        </w:rPr>
      </w:pPr>
      <w:r>
        <w:rPr>
          <w:rFonts w:hint="eastAsia"/>
          <w:color w:val="auto"/>
          <w:sz w:val="28"/>
          <w:szCs w:val="28"/>
          <w:highlight w:val="none"/>
        </w:rPr>
        <w:t>1、乙方未按期限、地点履行卖方义务，每延迟一日，乙方应当按本合同总金额的</w:t>
      </w:r>
      <w:r>
        <w:rPr>
          <w:rFonts w:hint="eastAsia" w:ascii="微软雅黑" w:hAnsi="微软雅黑" w:eastAsia="微软雅黑"/>
          <w:color w:val="auto"/>
          <w:sz w:val="28"/>
          <w:szCs w:val="28"/>
          <w:highlight w:val="none"/>
        </w:rPr>
        <w:t>0.5％</w:t>
      </w:r>
      <w:r>
        <w:rPr>
          <w:rFonts w:hint="eastAsia"/>
          <w:color w:val="auto"/>
          <w:sz w:val="28"/>
          <w:szCs w:val="28"/>
          <w:highlight w:val="none"/>
        </w:rPr>
        <w:t>向甲方支付违约金；乙方逾期交货时间超过7日的或违约金累积达到合同总金额的</w:t>
      </w:r>
      <w:r>
        <w:rPr>
          <w:rFonts w:hint="eastAsia" w:ascii="微软雅黑" w:hAnsi="微软雅黑" w:eastAsia="微软雅黑"/>
          <w:color w:val="auto"/>
          <w:sz w:val="28"/>
          <w:szCs w:val="28"/>
          <w:highlight w:val="none"/>
        </w:rPr>
        <w:t>10%</w:t>
      </w:r>
      <w:r>
        <w:rPr>
          <w:rFonts w:hint="eastAsia"/>
          <w:color w:val="auto"/>
          <w:sz w:val="28"/>
          <w:szCs w:val="28"/>
          <w:highlight w:val="none"/>
        </w:rPr>
        <w:t>时，甲方有权不经通知解除与乙方的合同，要求乙方支付合同金额3</w:t>
      </w:r>
      <w:r>
        <w:rPr>
          <w:color w:val="auto"/>
          <w:sz w:val="28"/>
          <w:szCs w:val="28"/>
          <w:highlight w:val="none"/>
        </w:rPr>
        <w:t>0%</w:t>
      </w:r>
      <w:r>
        <w:rPr>
          <w:rFonts w:hint="eastAsia"/>
          <w:color w:val="auto"/>
          <w:sz w:val="28"/>
          <w:szCs w:val="28"/>
          <w:highlight w:val="none"/>
        </w:rPr>
        <w:t>的违约金。同时，乙方应赔偿由于逾期供货给甲方造成的全部损失；如违约金不足以赔偿甲方损失的，乙方还应当赔偿全部损失。</w:t>
      </w:r>
    </w:p>
    <w:p>
      <w:pPr>
        <w:spacing w:line="360" w:lineRule="auto"/>
        <w:ind w:firstLine="560" w:firstLineChars="200"/>
        <w:rPr>
          <w:bCs/>
          <w:color w:val="auto"/>
          <w:sz w:val="28"/>
          <w:szCs w:val="28"/>
          <w:highlight w:val="none"/>
        </w:rPr>
      </w:pPr>
      <w:r>
        <w:rPr>
          <w:rFonts w:hint="eastAsia"/>
          <w:color w:val="auto"/>
          <w:sz w:val="28"/>
          <w:szCs w:val="28"/>
          <w:highlight w:val="none"/>
        </w:rPr>
        <w:t>2、乙方所提供的设备品种、型号、规格、质量不符合国家规定及本合同规定标准的，甲方有权拒收设备，并有权单方解除合同，乙方应向甲方支付不超过设备款总值</w:t>
      </w:r>
      <w:r>
        <w:rPr>
          <w:rFonts w:hint="eastAsia" w:ascii="微软雅黑" w:hAnsi="微软雅黑" w:eastAsia="微软雅黑"/>
          <w:color w:val="auto"/>
          <w:sz w:val="28"/>
          <w:szCs w:val="28"/>
          <w:highlight w:val="none"/>
        </w:rPr>
        <w:t>30%</w:t>
      </w:r>
      <w:r>
        <w:rPr>
          <w:rFonts w:hint="eastAsia"/>
          <w:color w:val="auto"/>
          <w:sz w:val="28"/>
          <w:szCs w:val="28"/>
          <w:highlight w:val="none"/>
        </w:rPr>
        <w:t>的违约金。</w:t>
      </w:r>
      <w:r>
        <w:rPr>
          <w:rFonts w:hint="eastAsia"/>
          <w:bCs/>
          <w:color w:val="auto"/>
          <w:sz w:val="28"/>
          <w:szCs w:val="28"/>
          <w:highlight w:val="none"/>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hint="eastAsia"/>
          <w:color w:val="auto"/>
          <w:sz w:val="28"/>
          <w:szCs w:val="28"/>
          <w:highlight w:val="none"/>
        </w:rPr>
        <w:t>乙方应向甲方支付不超过设备（货物）合同款总值</w:t>
      </w:r>
      <w:r>
        <w:rPr>
          <w:rFonts w:hint="eastAsia" w:ascii="微软雅黑" w:hAnsi="微软雅黑" w:eastAsia="微软雅黑"/>
          <w:color w:val="auto"/>
          <w:sz w:val="28"/>
          <w:szCs w:val="28"/>
          <w:highlight w:val="none"/>
        </w:rPr>
        <w:t>30%</w:t>
      </w:r>
      <w:r>
        <w:rPr>
          <w:rFonts w:hint="eastAsia"/>
          <w:color w:val="auto"/>
          <w:sz w:val="28"/>
          <w:szCs w:val="28"/>
          <w:highlight w:val="none"/>
        </w:rPr>
        <w:t>的违约金，并按二种商品之间差价的二倍金额赔偿甲方的损失。</w:t>
      </w:r>
    </w:p>
    <w:p>
      <w:pPr>
        <w:spacing w:line="360" w:lineRule="auto"/>
        <w:ind w:firstLine="560" w:firstLineChars="200"/>
        <w:rPr>
          <w:color w:val="auto"/>
          <w:sz w:val="28"/>
          <w:szCs w:val="28"/>
          <w:highlight w:val="none"/>
        </w:rPr>
      </w:pPr>
      <w:r>
        <w:rPr>
          <w:rFonts w:hint="eastAsia"/>
          <w:color w:val="auto"/>
          <w:sz w:val="28"/>
          <w:szCs w:val="28"/>
          <w:highlight w:val="none"/>
        </w:rPr>
        <w:t>3、乙方提供的货物（设备）是由于在装卸、运输或包装造成的产品破损，乙方应负责补足合格产品数量并承担相应费用。</w:t>
      </w:r>
    </w:p>
    <w:p>
      <w:pPr>
        <w:spacing w:line="360" w:lineRule="auto"/>
        <w:ind w:firstLine="560" w:firstLineChars="200"/>
        <w:rPr>
          <w:color w:val="auto"/>
          <w:sz w:val="28"/>
          <w:szCs w:val="28"/>
          <w:highlight w:val="none"/>
        </w:rPr>
      </w:pPr>
      <w:r>
        <w:rPr>
          <w:rFonts w:hint="eastAsia"/>
          <w:color w:val="auto"/>
          <w:sz w:val="28"/>
          <w:szCs w:val="28"/>
          <w:highlight w:val="none"/>
        </w:rPr>
        <w:t>4、乙方应对提供的货物（设备）在使用过程中给甲方或任何第三方造成的人身伤害或财产损失应当承担全部责任</w:t>
      </w:r>
      <w:bookmarkStart w:id="0" w:name="_Hlt503692967"/>
      <w:bookmarkEnd w:id="0"/>
      <w:bookmarkStart w:id="1" w:name="_Hlt503692969"/>
      <w:bookmarkEnd w:id="1"/>
      <w:r>
        <w:rPr>
          <w:rFonts w:hint="eastAsia"/>
          <w:color w:val="auto"/>
          <w:sz w:val="28"/>
          <w:szCs w:val="28"/>
          <w:highlight w:val="none"/>
        </w:rPr>
        <w:t>。</w:t>
      </w:r>
    </w:p>
    <w:p>
      <w:pPr>
        <w:spacing w:line="360" w:lineRule="auto"/>
        <w:ind w:firstLine="560" w:firstLineChars="200"/>
        <w:rPr>
          <w:color w:val="auto"/>
          <w:sz w:val="28"/>
          <w:szCs w:val="28"/>
          <w:highlight w:val="none"/>
        </w:rPr>
      </w:pPr>
      <w:r>
        <w:rPr>
          <w:rFonts w:hint="eastAsia"/>
          <w:color w:val="auto"/>
          <w:sz w:val="28"/>
          <w:szCs w:val="28"/>
          <w:highlight w:val="none"/>
        </w:rPr>
        <w:t>5、本货物（设备）的质保期</w:t>
      </w:r>
      <w:r>
        <w:rPr>
          <w:rFonts w:hint="eastAsia"/>
          <w:color w:val="auto"/>
          <w:sz w:val="28"/>
          <w:szCs w:val="28"/>
          <w:highlight w:val="none"/>
          <w:u w:val="single"/>
        </w:rPr>
        <w:t>蛋白纯化仪（蛋白液相分析系统）：1年、生物分子互作系统：2年</w:t>
      </w:r>
      <w:r>
        <w:rPr>
          <w:rFonts w:hint="eastAsia"/>
          <w:color w:val="auto"/>
          <w:sz w:val="28"/>
          <w:szCs w:val="28"/>
          <w:highlight w:val="none"/>
        </w:rPr>
        <w:t>，如乙方违反《售后服务计划》约定未及时履行保修义务的，每发生一次，乙方应向甲方支付违约金10000元。甲方因乙方违约而委托第三方进行维修所产生的相应维修费用，乙方无条件同意并承担由此产生的所有费用和责任。</w:t>
      </w:r>
    </w:p>
    <w:p>
      <w:pPr>
        <w:pStyle w:val="16"/>
        <w:spacing w:line="360" w:lineRule="auto"/>
        <w:ind w:firstLine="548" w:firstLineChars="196"/>
        <w:rPr>
          <w:rFonts w:hint="eastAsia" w:ascii="宋体" w:hAnsi="宋体" w:cs="Times New Roman"/>
          <w:bCs/>
          <w:color w:val="auto"/>
          <w:sz w:val="28"/>
          <w:szCs w:val="28"/>
          <w:highlight w:val="none"/>
        </w:rPr>
      </w:pPr>
      <w:r>
        <w:rPr>
          <w:rFonts w:hint="eastAsia"/>
          <w:color w:val="auto"/>
          <w:sz w:val="28"/>
          <w:szCs w:val="28"/>
          <w:highlight w:val="none"/>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pPr>
        <w:adjustRightInd w:val="0"/>
        <w:snapToGrid w:val="0"/>
        <w:spacing w:line="360" w:lineRule="auto"/>
        <w:ind w:firstLine="562" w:firstLineChars="200"/>
        <w:jc w:val="left"/>
        <w:rPr>
          <w:b/>
          <w:color w:val="auto"/>
          <w:sz w:val="28"/>
          <w:szCs w:val="28"/>
          <w:highlight w:val="none"/>
        </w:rPr>
      </w:pPr>
      <w:r>
        <w:rPr>
          <w:rFonts w:hint="eastAsia"/>
          <w:b/>
          <w:color w:val="auto"/>
          <w:sz w:val="28"/>
          <w:szCs w:val="28"/>
          <w:highlight w:val="none"/>
        </w:rPr>
        <w:t>九、特别约定</w:t>
      </w:r>
    </w:p>
    <w:p>
      <w:pPr>
        <w:adjustRightInd w:val="0"/>
        <w:snapToGrid w:val="0"/>
        <w:spacing w:line="360" w:lineRule="auto"/>
        <w:ind w:firstLine="560" w:firstLineChars="200"/>
        <w:jc w:val="left"/>
        <w:rPr>
          <w:color w:val="auto"/>
          <w:sz w:val="28"/>
          <w:szCs w:val="28"/>
          <w:highlight w:val="none"/>
        </w:rPr>
      </w:pPr>
      <w:r>
        <w:rPr>
          <w:rFonts w:hint="eastAsia"/>
          <w:color w:val="auto"/>
          <w:sz w:val="28"/>
          <w:szCs w:val="28"/>
          <w:highlight w:val="none"/>
        </w:rPr>
        <w:t>1、甲、乙双方应严格遵守投标要求和投标人须知，如有违反，按投标要求和投标人须知规定予以处理。</w:t>
      </w:r>
      <w:r>
        <w:rPr>
          <w:color w:val="auto"/>
          <w:sz w:val="28"/>
          <w:szCs w:val="28"/>
          <w:highlight w:val="none"/>
        </w:rPr>
        <w:t>因设备的质量问题发生争议，</w:t>
      </w:r>
      <w:r>
        <w:rPr>
          <w:rFonts w:hint="eastAsia"/>
          <w:color w:val="auto"/>
          <w:sz w:val="28"/>
          <w:szCs w:val="28"/>
          <w:highlight w:val="none"/>
        </w:rPr>
        <w:t>可</w:t>
      </w:r>
      <w:r>
        <w:rPr>
          <w:color w:val="auto"/>
          <w:sz w:val="28"/>
          <w:szCs w:val="28"/>
          <w:highlight w:val="none"/>
        </w:rPr>
        <w:t>由法定的技术鉴定单位进行质量鉴定</w:t>
      </w:r>
      <w:r>
        <w:rPr>
          <w:rFonts w:hint="eastAsia"/>
          <w:color w:val="auto"/>
          <w:sz w:val="28"/>
          <w:szCs w:val="28"/>
          <w:highlight w:val="none"/>
        </w:rPr>
        <w:t>，经鉴定产品设备存在质量问题的，因此发生的鉴定费用及其他合理费用由乙方全部承担</w:t>
      </w:r>
      <w:r>
        <w:rPr>
          <w:color w:val="auto"/>
          <w:sz w:val="28"/>
          <w:szCs w:val="28"/>
          <w:highlight w:val="none"/>
        </w:rPr>
        <w:t>。</w:t>
      </w:r>
    </w:p>
    <w:p>
      <w:pPr>
        <w:pStyle w:val="4"/>
        <w:adjustRightInd w:val="0"/>
        <w:snapToGrid w:val="0"/>
        <w:spacing w:before="0" w:beforeAutospacing="0" w:after="0" w:afterAutospacing="0" w:line="360" w:lineRule="auto"/>
        <w:ind w:firstLine="560" w:firstLineChars="200"/>
        <w:rPr>
          <w:rFonts w:ascii="Times New Roman" w:hAnsi="Times New Roman" w:cs="Times New Roman"/>
          <w:color w:val="auto"/>
          <w:kern w:val="2"/>
          <w:sz w:val="28"/>
          <w:szCs w:val="28"/>
          <w:highlight w:val="none"/>
        </w:rPr>
      </w:pPr>
      <w:r>
        <w:rPr>
          <w:rFonts w:hint="eastAsia" w:ascii="Times New Roman" w:hAnsi="Times New Roman" w:cs="Times New Roman"/>
          <w:color w:val="auto"/>
          <w:kern w:val="2"/>
          <w:sz w:val="28"/>
          <w:szCs w:val="28"/>
          <w:highlight w:val="none"/>
        </w:rPr>
        <w:t>2、本合同</w:t>
      </w:r>
      <w:r>
        <w:rPr>
          <w:rFonts w:ascii="Times New Roman" w:hAnsi="Times New Roman" w:cs="Times New Roman"/>
          <w:color w:val="auto"/>
          <w:kern w:val="2"/>
          <w:sz w:val="28"/>
          <w:szCs w:val="28"/>
          <w:highlight w:val="none"/>
        </w:rPr>
        <w:t>采购文件及其修改、投标文件及其修改、澄清</w:t>
      </w:r>
      <w:r>
        <w:rPr>
          <w:rFonts w:hint="eastAsia" w:ascii="Times New Roman" w:hAnsi="Times New Roman" w:cs="Times New Roman"/>
          <w:color w:val="auto"/>
          <w:kern w:val="2"/>
          <w:sz w:val="28"/>
          <w:szCs w:val="28"/>
          <w:highlight w:val="none"/>
        </w:rPr>
        <w:t>、合同附件均</w:t>
      </w:r>
      <w:r>
        <w:rPr>
          <w:rFonts w:ascii="Times New Roman" w:hAnsi="Times New Roman" w:cs="Times New Roman"/>
          <w:color w:val="auto"/>
          <w:kern w:val="2"/>
          <w:sz w:val="28"/>
          <w:szCs w:val="28"/>
          <w:highlight w:val="none"/>
        </w:rPr>
        <w:t>为本合同的组成部分</w:t>
      </w:r>
      <w:r>
        <w:rPr>
          <w:rFonts w:hint="eastAsia" w:ascii="Times New Roman" w:hAnsi="Times New Roman" w:cs="Times New Roman"/>
          <w:color w:val="auto"/>
          <w:kern w:val="2"/>
          <w:sz w:val="28"/>
          <w:szCs w:val="28"/>
          <w:highlight w:val="none"/>
        </w:rPr>
        <w:t>，具有同等法律效力；与本合同约定不一致之处，以本合同为准。</w:t>
      </w:r>
    </w:p>
    <w:p>
      <w:pPr>
        <w:spacing w:line="360" w:lineRule="auto"/>
        <w:ind w:firstLine="560" w:firstLineChars="200"/>
        <w:rPr>
          <w:color w:val="auto"/>
          <w:sz w:val="28"/>
          <w:szCs w:val="28"/>
          <w:highlight w:val="none"/>
        </w:rPr>
      </w:pPr>
      <w:r>
        <w:rPr>
          <w:rFonts w:hint="eastAsia"/>
          <w:color w:val="auto"/>
          <w:sz w:val="28"/>
          <w:szCs w:val="28"/>
          <w:highlight w:val="none"/>
        </w:rPr>
        <w:t>3、本合同的任何修改、补充应以书面形式进行，并经双方的授权代表签字并加盖公章后方为有效。</w:t>
      </w:r>
    </w:p>
    <w:p>
      <w:pPr>
        <w:spacing w:line="360" w:lineRule="auto"/>
        <w:ind w:firstLine="562" w:firstLineChars="200"/>
        <w:rPr>
          <w:b/>
          <w:color w:val="auto"/>
          <w:sz w:val="28"/>
          <w:szCs w:val="28"/>
          <w:highlight w:val="none"/>
        </w:rPr>
      </w:pPr>
      <w:r>
        <w:rPr>
          <w:rFonts w:hint="eastAsia"/>
          <w:b/>
          <w:color w:val="auto"/>
          <w:sz w:val="28"/>
          <w:szCs w:val="28"/>
          <w:highlight w:val="none"/>
        </w:rPr>
        <w:t>十、争议解决方式和管辖</w:t>
      </w:r>
    </w:p>
    <w:p>
      <w:pPr>
        <w:spacing w:line="360" w:lineRule="auto"/>
        <w:ind w:firstLine="560" w:firstLineChars="200"/>
        <w:rPr>
          <w:color w:val="auto"/>
          <w:sz w:val="28"/>
          <w:szCs w:val="28"/>
          <w:highlight w:val="none"/>
        </w:rPr>
      </w:pPr>
      <w:r>
        <w:rPr>
          <w:rFonts w:hint="eastAsia"/>
          <w:color w:val="auto"/>
          <w:sz w:val="28"/>
          <w:szCs w:val="28"/>
          <w:highlight w:val="none"/>
        </w:rPr>
        <w:t>因货物（设备）的质量问题发生争议以及履行本合同发生争议的，以本合同条款为标准协商解决，若协商无果，任何一方均可向合同签订地的人民法院提起诉讼。</w:t>
      </w:r>
    </w:p>
    <w:p>
      <w:pPr>
        <w:spacing w:line="360" w:lineRule="auto"/>
        <w:ind w:firstLine="562" w:firstLineChars="200"/>
        <w:rPr>
          <w:b/>
          <w:color w:val="auto"/>
          <w:sz w:val="28"/>
          <w:szCs w:val="28"/>
          <w:highlight w:val="none"/>
        </w:rPr>
      </w:pPr>
      <w:r>
        <w:rPr>
          <w:rFonts w:hint="eastAsia"/>
          <w:b/>
          <w:color w:val="auto"/>
          <w:sz w:val="28"/>
          <w:szCs w:val="28"/>
          <w:highlight w:val="none"/>
        </w:rPr>
        <w:t>十一、生效及其它</w:t>
      </w:r>
    </w:p>
    <w:p>
      <w:pPr>
        <w:spacing w:line="360" w:lineRule="auto"/>
        <w:ind w:firstLine="560" w:firstLineChars="200"/>
        <w:rPr>
          <w:color w:val="auto"/>
          <w:sz w:val="28"/>
          <w:szCs w:val="28"/>
          <w:highlight w:val="none"/>
        </w:rPr>
      </w:pPr>
      <w:r>
        <w:rPr>
          <w:rFonts w:hint="eastAsia"/>
          <w:color w:val="auto"/>
          <w:sz w:val="28"/>
          <w:szCs w:val="28"/>
          <w:highlight w:val="none"/>
        </w:rPr>
        <w:t>1、本合同自甲、乙双方签字、盖章之日起生效。</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drawing>
          <wp:inline distT="0" distB="0" distL="114300" distR="114300">
            <wp:extent cx="6438900" cy="5274945"/>
            <wp:effectExtent l="0" t="0" r="1905" b="0"/>
            <wp:docPr id="3" name="图片 3" descr="3b6cc9e9113a5c72fae531cf02d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6cc9e9113a5c72fae531cf02d4705"/>
                    <pic:cNvPicPr>
                      <a:picLocks noChangeAspect="1"/>
                    </pic:cNvPicPr>
                  </pic:nvPicPr>
                  <pic:blipFill>
                    <a:blip r:embed="rId8"/>
                    <a:srcRect r="21332"/>
                    <a:stretch>
                      <a:fillRect/>
                    </a:stretch>
                  </pic:blipFill>
                  <pic:spPr>
                    <a:xfrm rot="5400000">
                      <a:off x="0" y="0"/>
                      <a:ext cx="6438900" cy="5274945"/>
                    </a:xfrm>
                    <a:prstGeom prst="rect">
                      <a:avLst/>
                    </a:prstGeom>
                  </pic:spPr>
                </pic:pic>
              </a:graphicData>
            </a:graphic>
          </wp:inline>
        </w:drawing>
      </w:r>
    </w:p>
    <w:p>
      <w:pPr>
        <w:rPr>
          <w:b/>
          <w:color w:val="auto"/>
          <w:sz w:val="28"/>
          <w:szCs w:val="28"/>
          <w:highlight w:val="none"/>
        </w:rPr>
      </w:pPr>
      <w:r>
        <w:rPr>
          <w:rFonts w:hint="eastAsia"/>
          <w:b/>
          <w:color w:val="auto"/>
          <w:sz w:val="28"/>
          <w:szCs w:val="28"/>
          <w:highlight w:val="none"/>
        </w:rPr>
        <w:br w:type="page"/>
      </w:r>
      <w:bookmarkStart w:id="2" w:name="_GoBack"/>
      <w:bookmarkEnd w:id="2"/>
    </w:p>
    <w:p>
      <w:pPr>
        <w:spacing w:line="320" w:lineRule="exact"/>
        <w:jc w:val="left"/>
        <w:rPr>
          <w:rFonts w:hint="eastAsia" w:ascii="宋体" w:hAnsi="宋体" w:cs="Calibri"/>
          <w:b/>
          <w:color w:val="auto"/>
          <w:sz w:val="28"/>
          <w:szCs w:val="28"/>
          <w:highlight w:val="none"/>
        </w:rPr>
      </w:pPr>
      <w:r>
        <w:rPr>
          <w:rFonts w:hint="eastAsia"/>
          <w:b/>
          <w:color w:val="auto"/>
          <w:sz w:val="28"/>
          <w:szCs w:val="28"/>
          <w:highlight w:val="none"/>
        </w:rPr>
        <w:t>附件（1）：详细技术参数、规格及</w:t>
      </w:r>
      <w:r>
        <w:rPr>
          <w:rFonts w:hint="eastAsia" w:ascii="宋体" w:hAnsi="宋体" w:cs="Calibri"/>
          <w:b/>
          <w:color w:val="auto"/>
          <w:sz w:val="28"/>
          <w:szCs w:val="28"/>
          <w:highlight w:val="none"/>
        </w:rPr>
        <w:t>配置清单</w:t>
      </w:r>
    </w:p>
    <w:p>
      <w:pPr>
        <w:spacing w:line="320" w:lineRule="exact"/>
        <w:jc w:val="left"/>
        <w:rPr>
          <w:rFonts w:hint="eastAsia" w:ascii="宋体" w:hAnsi="宋体" w:cs="Calibri"/>
          <w:b/>
          <w:color w:val="auto"/>
          <w:sz w:val="28"/>
          <w:szCs w:val="28"/>
          <w:highlight w:val="none"/>
        </w:rPr>
      </w:pPr>
    </w:p>
    <w:tbl>
      <w:tblPr>
        <w:tblStyle w:val="5"/>
        <w:tblW w:w="9146" w:type="dxa"/>
        <w:jc w:val="center"/>
        <w:tblLayout w:type="fixed"/>
        <w:tblCellMar>
          <w:top w:w="0" w:type="dxa"/>
          <w:left w:w="108" w:type="dxa"/>
          <w:bottom w:w="0" w:type="dxa"/>
          <w:right w:w="108" w:type="dxa"/>
        </w:tblCellMar>
      </w:tblPr>
      <w:tblGrid>
        <w:gridCol w:w="1234"/>
        <w:gridCol w:w="1294"/>
        <w:gridCol w:w="4629"/>
        <w:gridCol w:w="992"/>
        <w:gridCol w:w="997"/>
      </w:tblGrid>
      <w:tr>
        <w:tblPrEx>
          <w:tblCellMar>
            <w:top w:w="0" w:type="dxa"/>
            <w:left w:w="108" w:type="dxa"/>
            <w:bottom w:w="0" w:type="dxa"/>
            <w:right w:w="108" w:type="dxa"/>
          </w:tblCellMar>
        </w:tblPrEx>
        <w:trPr>
          <w:trHeight w:val="889" w:hRule="atLeast"/>
          <w:jc w:val="center"/>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highlight w:val="none"/>
              </w:rPr>
            </w:pPr>
            <w:r>
              <w:rPr>
                <w:rFonts w:hint="eastAsia" w:ascii="宋体" w:hAnsi="宋体"/>
                <w:b/>
                <w:bCs/>
                <w:color w:val="auto"/>
                <w:spacing w:val="10"/>
                <w:kern w:val="0"/>
                <w:sz w:val="28"/>
                <w:szCs w:val="28"/>
                <w:highlight w:val="none"/>
              </w:rPr>
              <w:t>名称</w:t>
            </w:r>
          </w:p>
        </w:tc>
        <w:tc>
          <w:tcPr>
            <w:tcW w:w="129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highlight w:val="none"/>
              </w:rPr>
            </w:pPr>
            <w:r>
              <w:rPr>
                <w:rFonts w:hint="eastAsia" w:ascii="宋体" w:hAnsi="宋体"/>
                <w:b/>
                <w:bCs/>
                <w:color w:val="auto"/>
                <w:spacing w:val="10"/>
                <w:kern w:val="0"/>
                <w:sz w:val="28"/>
                <w:szCs w:val="28"/>
                <w:highlight w:val="none"/>
              </w:rPr>
              <w:t>型号</w:t>
            </w:r>
          </w:p>
        </w:tc>
        <w:tc>
          <w:tcPr>
            <w:tcW w:w="4629"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highlight w:val="none"/>
              </w:rPr>
            </w:pPr>
            <w:r>
              <w:rPr>
                <w:rFonts w:hint="eastAsia" w:ascii="宋体" w:hAnsi="宋体"/>
                <w:b/>
                <w:bCs/>
                <w:color w:val="auto"/>
                <w:spacing w:val="10"/>
                <w:kern w:val="0"/>
                <w:sz w:val="28"/>
                <w:szCs w:val="28"/>
                <w:highlight w:val="none"/>
              </w:rPr>
              <w:t>规格、参数</w:t>
            </w:r>
          </w:p>
        </w:tc>
        <w:tc>
          <w:tcPr>
            <w:tcW w:w="992"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highlight w:val="none"/>
              </w:rPr>
            </w:pPr>
            <w:r>
              <w:rPr>
                <w:rFonts w:hint="eastAsia" w:ascii="宋体" w:hAnsi="宋体"/>
                <w:b/>
                <w:bCs/>
                <w:color w:val="auto"/>
                <w:spacing w:val="10"/>
                <w:kern w:val="0"/>
                <w:sz w:val="28"/>
                <w:szCs w:val="28"/>
                <w:highlight w:val="none"/>
              </w:rPr>
              <w:t>原产地</w:t>
            </w:r>
          </w:p>
        </w:tc>
        <w:tc>
          <w:tcPr>
            <w:tcW w:w="99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highlight w:val="none"/>
              </w:rPr>
            </w:pPr>
            <w:r>
              <w:rPr>
                <w:rFonts w:hint="eastAsia" w:ascii="宋体" w:hAnsi="宋体"/>
                <w:b/>
                <w:bCs/>
                <w:color w:val="auto"/>
                <w:spacing w:val="10"/>
                <w:kern w:val="0"/>
                <w:sz w:val="28"/>
                <w:szCs w:val="28"/>
                <w:highlight w:val="none"/>
              </w:rPr>
              <w:t>生产厂家</w:t>
            </w:r>
          </w:p>
        </w:tc>
      </w:tr>
      <w:tr>
        <w:tblPrEx>
          <w:tblCellMar>
            <w:top w:w="0" w:type="dxa"/>
            <w:left w:w="108" w:type="dxa"/>
            <w:bottom w:w="0" w:type="dxa"/>
            <w:right w:w="108" w:type="dxa"/>
          </w:tblCellMar>
        </w:tblPrEx>
        <w:trPr>
          <w:trHeight w:val="888" w:hRule="atLeast"/>
          <w:jc w:val="center"/>
        </w:trPr>
        <w:tc>
          <w:tcPr>
            <w:tcW w:w="1234" w:type="dxa"/>
            <w:tcBorders>
              <w:top w:val="single" w:color="000000" w:sz="4" w:space="0"/>
              <w:left w:val="single" w:color="000000" w:sz="4" w:space="0"/>
              <w:bottom w:val="single" w:color="000000" w:sz="4" w:space="0"/>
              <w:right w:val="single" w:color="000000" w:sz="4" w:space="0"/>
            </w:tcBorders>
            <w:vAlign w:val="center"/>
          </w:tcPr>
          <w:p>
            <w:pPr>
              <w:adjustRightInd w:val="0"/>
              <w:jc w:val="center"/>
              <w:rPr>
                <w:color w:val="auto"/>
                <w:kern w:val="0"/>
                <w:sz w:val="28"/>
                <w:szCs w:val="28"/>
                <w:highlight w:val="none"/>
              </w:rPr>
            </w:pPr>
            <w:r>
              <w:rPr>
                <w:rFonts w:hint="eastAsia"/>
                <w:color w:val="auto"/>
                <w:szCs w:val="21"/>
                <w:highlight w:val="none"/>
              </w:rPr>
              <w:t>蛋白纯化仪（蛋白液相分析系统）</w:t>
            </w:r>
          </w:p>
        </w:tc>
        <w:tc>
          <w:tcPr>
            <w:tcW w:w="1294" w:type="dxa"/>
            <w:tcBorders>
              <w:top w:val="single" w:color="000000" w:sz="4" w:space="0"/>
              <w:left w:val="nil"/>
              <w:bottom w:val="single" w:color="000000" w:sz="4" w:space="0"/>
              <w:right w:val="single" w:color="000000" w:sz="4" w:space="0"/>
            </w:tcBorders>
            <w:vAlign w:val="center"/>
          </w:tcPr>
          <w:p>
            <w:pPr>
              <w:adjustRightInd w:val="0"/>
              <w:jc w:val="center"/>
              <w:rPr>
                <w:rFonts w:hint="eastAsia" w:ascii="宋体" w:hAnsi="宋体" w:cs="宋体"/>
                <w:bCs/>
                <w:color w:val="auto"/>
                <w:highlight w:val="none"/>
              </w:rPr>
            </w:pPr>
            <w:r>
              <w:rPr>
                <w:rFonts w:hint="eastAsia" w:ascii="宋体" w:hAnsi="宋体" w:cs="宋体"/>
                <w:bCs/>
                <w:color w:val="auto"/>
                <w:highlight w:val="none"/>
              </w:rPr>
              <w:t xml:space="preserve">Cytiva,AKTA </w:t>
            </w:r>
          </w:p>
          <w:p>
            <w:pPr>
              <w:adjustRightInd w:val="0"/>
              <w:jc w:val="center"/>
              <w:rPr>
                <w:color w:val="auto"/>
                <w:kern w:val="0"/>
                <w:sz w:val="28"/>
                <w:szCs w:val="28"/>
                <w:highlight w:val="none"/>
              </w:rPr>
            </w:pPr>
            <w:r>
              <w:rPr>
                <w:rFonts w:hint="eastAsia" w:ascii="宋体" w:hAnsi="宋体" w:cs="宋体"/>
                <w:bCs/>
                <w:color w:val="auto"/>
                <w:highlight w:val="none"/>
              </w:rPr>
              <w:t>Avant 25</w:t>
            </w:r>
          </w:p>
        </w:tc>
        <w:tc>
          <w:tcPr>
            <w:tcW w:w="4629" w:type="dxa"/>
            <w:tcBorders>
              <w:top w:val="single" w:color="000000" w:sz="4" w:space="0"/>
              <w:left w:val="nil"/>
              <w:bottom w:val="single" w:color="000000" w:sz="4" w:space="0"/>
              <w:right w:val="single" w:color="000000" w:sz="4" w:space="0"/>
            </w:tcBorders>
            <w:vAlign w:val="center"/>
          </w:tcPr>
          <w:p>
            <w:pPr>
              <w:widowControl/>
              <w:textAlignment w:val="center"/>
              <w:rPr>
                <w:color w:val="auto"/>
                <w:szCs w:val="21"/>
                <w:highlight w:val="none"/>
                <w:lang w:bidi="ar"/>
              </w:rPr>
            </w:pPr>
            <w:r>
              <w:rPr>
                <w:rFonts w:hint="eastAsia"/>
                <w:color w:val="auto"/>
                <w:szCs w:val="21"/>
                <w:highlight w:val="none"/>
                <w:lang w:bidi="ar"/>
              </w:rPr>
              <w:t>1.功能：</w:t>
            </w:r>
          </w:p>
          <w:p>
            <w:pPr>
              <w:widowControl/>
              <w:textAlignment w:val="center"/>
              <w:rPr>
                <w:color w:val="auto"/>
                <w:szCs w:val="21"/>
                <w:highlight w:val="none"/>
              </w:rPr>
            </w:pPr>
            <w:r>
              <w:rPr>
                <w:rFonts w:hint="eastAsia"/>
                <w:color w:val="auto"/>
                <w:szCs w:val="21"/>
                <w:highlight w:val="none"/>
                <w:lang w:bidi="ar"/>
              </w:rPr>
              <w:t>快速分析多种生物活性物质，如蛋白质、多糖、肽类、寡核苷酸、核苷酸疫苗、基因疫苗及病毒等活性物质。</w:t>
            </w:r>
          </w:p>
          <w:p>
            <w:pPr>
              <w:widowControl/>
              <w:textAlignment w:val="center"/>
              <w:rPr>
                <w:color w:val="auto"/>
                <w:szCs w:val="21"/>
                <w:highlight w:val="none"/>
              </w:rPr>
            </w:pPr>
            <w:r>
              <w:rPr>
                <w:rFonts w:hint="eastAsia"/>
                <w:color w:val="auto"/>
                <w:szCs w:val="21"/>
                <w:highlight w:val="none"/>
                <w:lang w:bidi="ar"/>
              </w:rPr>
              <w:t>2.配置清单：</w:t>
            </w:r>
          </w:p>
          <w:p>
            <w:pPr>
              <w:widowControl/>
              <w:textAlignment w:val="center"/>
              <w:rPr>
                <w:color w:val="auto"/>
                <w:szCs w:val="21"/>
                <w:highlight w:val="none"/>
              </w:rPr>
            </w:pPr>
            <w:r>
              <w:rPr>
                <w:rFonts w:hint="eastAsia"/>
                <w:color w:val="auto"/>
                <w:szCs w:val="21"/>
                <w:highlight w:val="none"/>
                <w:lang w:bidi="ar"/>
              </w:rPr>
              <w:t>2.1智能蛋白液相分析系统：  主机1台，</w:t>
            </w:r>
          </w:p>
          <w:p>
            <w:pPr>
              <w:widowControl/>
              <w:textAlignment w:val="center"/>
              <w:rPr>
                <w:color w:val="auto"/>
                <w:szCs w:val="21"/>
                <w:highlight w:val="none"/>
              </w:rPr>
            </w:pPr>
            <w:r>
              <w:rPr>
                <w:rFonts w:hint="eastAsia"/>
                <w:color w:val="auto"/>
                <w:szCs w:val="21"/>
                <w:highlight w:val="none"/>
                <w:lang w:bidi="ar"/>
              </w:rPr>
              <w:t xml:space="preserve">2.2系统泵（双泵）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2.3样品泵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2.4全波长氙灯检测器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2.5温度检测器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2.6电导检测器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2.7 pH检测器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2.8流通池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2.9组分收集器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2.10混合器  </w:t>
            </w:r>
            <w:r>
              <w:rPr>
                <w:rStyle w:val="17"/>
                <w:rFonts w:hint="default"/>
                <w:color w:val="auto"/>
                <w:highlight w:val="none"/>
                <w:lang w:bidi="ar"/>
              </w:rPr>
              <w:t xml:space="preserve">         </w:t>
            </w:r>
            <w:r>
              <w:rPr>
                <w:rFonts w:hint="eastAsia"/>
                <w:color w:val="auto"/>
                <w:szCs w:val="21"/>
                <w:highlight w:val="none"/>
                <w:lang w:bidi="ar"/>
              </w:rPr>
              <w:t xml:space="preserve">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 xml:space="preserve">2.11具有实验设计功能的操作软件 </w:t>
            </w:r>
            <w:r>
              <w:rPr>
                <w:rStyle w:val="17"/>
                <w:rFonts w:hint="default"/>
                <w:color w:val="auto"/>
                <w:highlight w:val="none"/>
                <w:lang w:bidi="ar"/>
              </w:rPr>
              <w:t xml:space="preserve">    1套</w:t>
            </w:r>
          </w:p>
          <w:p>
            <w:pPr>
              <w:widowControl/>
              <w:textAlignment w:val="center"/>
              <w:rPr>
                <w:color w:val="auto"/>
                <w:szCs w:val="21"/>
                <w:highlight w:val="none"/>
              </w:rPr>
            </w:pPr>
            <w:r>
              <w:rPr>
                <w:rFonts w:hint="eastAsia"/>
                <w:color w:val="auto"/>
                <w:szCs w:val="21"/>
                <w:highlight w:val="none"/>
                <w:lang w:bidi="ar"/>
              </w:rPr>
              <w:t>2.12工作站一台</w:t>
            </w:r>
          </w:p>
          <w:p>
            <w:pPr>
              <w:widowControl/>
              <w:textAlignment w:val="center"/>
              <w:rPr>
                <w:color w:val="auto"/>
                <w:szCs w:val="21"/>
                <w:highlight w:val="none"/>
              </w:rPr>
            </w:pPr>
            <w:r>
              <w:rPr>
                <w:rFonts w:hint="eastAsia"/>
                <w:color w:val="auto"/>
                <w:szCs w:val="21"/>
                <w:highlight w:val="none"/>
                <w:lang w:bidi="ar"/>
              </w:rPr>
              <w:t>2.13保证仪器正常运行和常规保养所需的附件、专用工具一套。</w:t>
            </w:r>
          </w:p>
          <w:p>
            <w:pPr>
              <w:widowControl/>
              <w:textAlignment w:val="center"/>
              <w:rPr>
                <w:color w:val="auto"/>
                <w:szCs w:val="21"/>
                <w:highlight w:val="none"/>
              </w:rPr>
            </w:pPr>
            <w:r>
              <w:rPr>
                <w:rFonts w:hint="eastAsia"/>
                <w:color w:val="auto"/>
                <w:szCs w:val="21"/>
                <w:highlight w:val="none"/>
                <w:lang w:bidi="ar"/>
              </w:rPr>
              <w:t xml:space="preserve">2.14 UPS一台 </w:t>
            </w:r>
            <w:r>
              <w:rPr>
                <w:rStyle w:val="17"/>
                <w:rFonts w:hint="default"/>
                <w:color w:val="auto"/>
                <w:highlight w:val="none"/>
                <w:lang w:bidi="ar"/>
              </w:rPr>
              <w:t xml:space="preserve"> </w:t>
            </w:r>
          </w:p>
          <w:p>
            <w:pPr>
              <w:widowControl/>
              <w:textAlignment w:val="center"/>
              <w:rPr>
                <w:color w:val="auto"/>
                <w:szCs w:val="21"/>
                <w:highlight w:val="none"/>
              </w:rPr>
            </w:pPr>
            <w:r>
              <w:rPr>
                <w:rFonts w:hint="eastAsia"/>
                <w:color w:val="auto"/>
                <w:szCs w:val="21"/>
                <w:highlight w:val="none"/>
                <w:lang w:bidi="ar"/>
              </w:rPr>
              <w:t>3.技术指标：</w:t>
            </w:r>
          </w:p>
          <w:p>
            <w:pPr>
              <w:widowControl/>
              <w:textAlignment w:val="center"/>
              <w:rPr>
                <w:color w:val="auto"/>
                <w:szCs w:val="21"/>
                <w:highlight w:val="none"/>
              </w:rPr>
            </w:pPr>
            <w:r>
              <w:rPr>
                <w:rFonts w:hint="eastAsia"/>
                <w:color w:val="auto"/>
                <w:szCs w:val="21"/>
                <w:highlight w:val="none"/>
                <w:lang w:bidi="ar"/>
              </w:rPr>
              <w:t>3.1 系统泵及样品泵</w:t>
            </w:r>
          </w:p>
          <w:p>
            <w:pPr>
              <w:widowControl/>
              <w:textAlignment w:val="center"/>
              <w:rPr>
                <w:color w:val="auto"/>
                <w:szCs w:val="21"/>
                <w:highlight w:val="none"/>
              </w:rPr>
            </w:pPr>
            <w:r>
              <w:rPr>
                <w:rFonts w:hint="eastAsia"/>
                <w:color w:val="auto"/>
                <w:szCs w:val="21"/>
                <w:highlight w:val="none"/>
                <w:lang w:bidi="ar"/>
              </w:rPr>
              <w:t>3.1.1 系统泵</w:t>
            </w:r>
          </w:p>
          <w:p>
            <w:pPr>
              <w:widowControl/>
              <w:textAlignment w:val="center"/>
              <w:rPr>
                <w:color w:val="auto"/>
                <w:szCs w:val="21"/>
                <w:highlight w:val="none"/>
                <w:lang w:bidi="ar"/>
              </w:rPr>
            </w:pPr>
            <w:r>
              <w:rPr>
                <w:rFonts w:hint="eastAsia"/>
                <w:color w:val="auto"/>
                <w:szCs w:val="21"/>
                <w:highlight w:val="none"/>
                <w:lang w:bidi="ar"/>
              </w:rPr>
              <w:t>3.1.1.1全自动微量柱塞泵，双泵四泵头，钛合金材质、每个泵头都有独立除气阀，使得排除气泡更加简单方便，每个泵后都有润洗通路，润洗泵的柱塞杠，延长泵的使用寿命。</w:t>
            </w:r>
          </w:p>
          <w:p>
            <w:pPr>
              <w:widowControl/>
              <w:textAlignment w:val="center"/>
              <w:rPr>
                <w:color w:val="auto"/>
                <w:szCs w:val="21"/>
                <w:highlight w:val="none"/>
              </w:rPr>
            </w:pPr>
            <w:r>
              <w:rPr>
                <w:rFonts w:hint="eastAsia"/>
                <w:color w:val="auto"/>
                <w:szCs w:val="21"/>
                <w:highlight w:val="none"/>
                <w:lang w:bidi="ar"/>
              </w:rPr>
              <w:t>单泵流速范围：0.001–25ml/min，双泵装柱模式：0.001-50ml/min，软件即可实现单双泵模式切换。</w:t>
            </w:r>
          </w:p>
          <w:p>
            <w:pPr>
              <w:widowControl/>
              <w:textAlignment w:val="center"/>
              <w:rPr>
                <w:color w:val="auto"/>
                <w:szCs w:val="21"/>
                <w:highlight w:val="none"/>
              </w:rPr>
            </w:pPr>
            <w:r>
              <w:rPr>
                <w:rFonts w:hint="eastAsia"/>
                <w:color w:val="auto"/>
                <w:szCs w:val="21"/>
                <w:highlight w:val="none"/>
                <w:lang w:bidi="ar"/>
              </w:rPr>
              <w:t>3.1.1.2 压力范围：0–20 MPa (200 bar，2900 psi)。</w:t>
            </w:r>
          </w:p>
          <w:p>
            <w:pPr>
              <w:widowControl/>
              <w:textAlignment w:val="center"/>
              <w:rPr>
                <w:color w:val="auto"/>
                <w:szCs w:val="21"/>
                <w:highlight w:val="none"/>
                <w:lang w:bidi="ar"/>
              </w:rPr>
            </w:pPr>
            <w:r>
              <w:rPr>
                <w:rFonts w:hint="eastAsia"/>
                <w:color w:val="auto"/>
                <w:szCs w:val="21"/>
                <w:highlight w:val="none"/>
                <w:lang w:bidi="ar"/>
              </w:rPr>
              <w:t>3.1.1.3 流速重复性：条件：0.25–25 ml/min,  3 MPa, 0.8–2cP；</w:t>
            </w:r>
          </w:p>
          <w:p>
            <w:pPr>
              <w:widowControl/>
              <w:textAlignment w:val="center"/>
              <w:rPr>
                <w:color w:val="auto"/>
                <w:szCs w:val="21"/>
                <w:highlight w:val="none"/>
              </w:rPr>
            </w:pPr>
            <w:r>
              <w:rPr>
                <w:rFonts w:hint="eastAsia"/>
                <w:color w:val="auto"/>
                <w:szCs w:val="21"/>
                <w:highlight w:val="none"/>
                <w:lang w:bidi="ar"/>
              </w:rPr>
              <w:t>流速准确度：±1.2%，流速精度：RSD 0.5%。</w:t>
            </w:r>
          </w:p>
          <w:p>
            <w:pPr>
              <w:widowControl/>
              <w:textAlignment w:val="center"/>
              <w:rPr>
                <w:color w:val="auto"/>
                <w:szCs w:val="21"/>
                <w:highlight w:val="none"/>
              </w:rPr>
            </w:pPr>
            <w:r>
              <w:rPr>
                <w:rFonts w:hint="eastAsia"/>
                <w:color w:val="auto"/>
                <w:szCs w:val="21"/>
                <w:highlight w:val="none"/>
                <w:lang w:bidi="ar"/>
              </w:rPr>
              <w:t>3.1.1.5 增量：1μl/min</w:t>
            </w:r>
          </w:p>
          <w:p>
            <w:pPr>
              <w:widowControl/>
              <w:textAlignment w:val="center"/>
              <w:rPr>
                <w:color w:val="auto"/>
                <w:szCs w:val="21"/>
                <w:highlight w:val="none"/>
              </w:rPr>
            </w:pPr>
            <w:r>
              <w:rPr>
                <w:rFonts w:hint="eastAsia"/>
                <w:color w:val="auto"/>
                <w:szCs w:val="21"/>
                <w:highlight w:val="none"/>
                <w:lang w:bidi="ar"/>
              </w:rPr>
              <w:t>3.1.1.6 粘度范围：0.35–10cP</w:t>
            </w:r>
          </w:p>
          <w:p>
            <w:pPr>
              <w:widowControl/>
              <w:textAlignment w:val="center"/>
              <w:rPr>
                <w:color w:val="auto"/>
                <w:szCs w:val="21"/>
                <w:highlight w:val="none"/>
              </w:rPr>
            </w:pPr>
            <w:r>
              <w:rPr>
                <w:rFonts w:hint="eastAsia"/>
                <w:color w:val="auto"/>
                <w:szCs w:val="21"/>
                <w:highlight w:val="none"/>
                <w:lang w:bidi="ar"/>
              </w:rPr>
              <w:t>3.1.1.7 具备恒压调速功能，自动根据压力调节流速输出，使压力保持稳定。</w:t>
            </w:r>
          </w:p>
          <w:p>
            <w:pPr>
              <w:widowControl/>
              <w:textAlignment w:val="center"/>
              <w:rPr>
                <w:color w:val="auto"/>
                <w:szCs w:val="21"/>
                <w:highlight w:val="none"/>
              </w:rPr>
            </w:pPr>
            <w:r>
              <w:rPr>
                <w:rFonts w:hint="eastAsia"/>
                <w:color w:val="auto"/>
                <w:szCs w:val="21"/>
                <w:highlight w:val="none"/>
                <w:lang w:bidi="ar"/>
              </w:rPr>
              <w:t>3.1.2 样品泵</w:t>
            </w:r>
          </w:p>
          <w:p>
            <w:pPr>
              <w:widowControl/>
              <w:textAlignment w:val="center"/>
              <w:rPr>
                <w:color w:val="auto"/>
                <w:szCs w:val="21"/>
                <w:highlight w:val="none"/>
              </w:rPr>
            </w:pPr>
            <w:r>
              <w:rPr>
                <w:rFonts w:hint="eastAsia"/>
                <w:color w:val="auto"/>
                <w:szCs w:val="21"/>
                <w:highlight w:val="none"/>
                <w:lang w:bidi="ar"/>
              </w:rPr>
              <w:t>3.1.2.1 全自动微量柱塞泵，单泵两泵头，钛合金材质、每个泵头都有独立除气阀。</w:t>
            </w:r>
          </w:p>
          <w:p>
            <w:pPr>
              <w:widowControl/>
              <w:textAlignment w:val="center"/>
              <w:rPr>
                <w:color w:val="auto"/>
                <w:szCs w:val="21"/>
                <w:highlight w:val="none"/>
              </w:rPr>
            </w:pPr>
            <w:r>
              <w:rPr>
                <w:rFonts w:hint="eastAsia"/>
                <w:color w:val="auto"/>
                <w:szCs w:val="21"/>
                <w:highlight w:val="none"/>
                <w:lang w:bidi="ar"/>
              </w:rPr>
              <w:t>3.1.2.2 流速范围：0.01-50ml/min</w:t>
            </w:r>
          </w:p>
          <w:p>
            <w:pPr>
              <w:widowControl/>
              <w:textAlignment w:val="center"/>
              <w:rPr>
                <w:color w:val="auto"/>
                <w:szCs w:val="21"/>
                <w:highlight w:val="none"/>
              </w:rPr>
            </w:pPr>
            <w:r>
              <w:rPr>
                <w:rFonts w:hint="eastAsia"/>
                <w:color w:val="auto"/>
                <w:szCs w:val="21"/>
                <w:highlight w:val="none"/>
                <w:lang w:bidi="ar"/>
              </w:rPr>
              <w:t>3.1.2.3 压力范围：0-10Ma (100bar，1450psi)</w:t>
            </w:r>
          </w:p>
          <w:p>
            <w:pPr>
              <w:widowControl/>
              <w:textAlignment w:val="center"/>
              <w:rPr>
                <w:color w:val="auto"/>
                <w:szCs w:val="21"/>
                <w:highlight w:val="none"/>
              </w:rPr>
            </w:pPr>
            <w:r>
              <w:rPr>
                <w:rFonts w:hint="eastAsia"/>
                <w:color w:val="auto"/>
                <w:szCs w:val="21"/>
                <w:highlight w:val="none"/>
                <w:lang w:bidi="ar"/>
              </w:rPr>
              <w:t>3.1.2.4 流速重复性：条件：0.25–25 ml/min,  3 MPa, 0.8–2cP 流速准确度：±2%，流速精度：RSD 0.5%</w:t>
            </w:r>
          </w:p>
          <w:p>
            <w:pPr>
              <w:widowControl/>
              <w:textAlignment w:val="center"/>
              <w:rPr>
                <w:color w:val="auto"/>
                <w:szCs w:val="21"/>
                <w:highlight w:val="none"/>
              </w:rPr>
            </w:pPr>
            <w:r>
              <w:rPr>
                <w:rFonts w:hint="eastAsia"/>
                <w:color w:val="auto"/>
                <w:szCs w:val="21"/>
                <w:highlight w:val="none"/>
                <w:lang w:bidi="ar"/>
              </w:rPr>
              <w:t>3.1.2.5 粘度范围：0.7–10 cP</w:t>
            </w:r>
          </w:p>
          <w:p>
            <w:pPr>
              <w:widowControl/>
              <w:textAlignment w:val="center"/>
              <w:rPr>
                <w:color w:val="auto"/>
                <w:szCs w:val="21"/>
                <w:highlight w:val="none"/>
              </w:rPr>
            </w:pPr>
            <w:r>
              <w:rPr>
                <w:rFonts w:hint="eastAsia"/>
                <w:color w:val="auto"/>
                <w:szCs w:val="21"/>
                <w:highlight w:val="none"/>
                <w:lang w:bidi="ar"/>
              </w:rPr>
              <w:t>3.1.2.6 样品泵有压力控制模式，确保压力不变的情况，自动调节流速。</w:t>
            </w:r>
          </w:p>
          <w:p>
            <w:pPr>
              <w:widowControl/>
              <w:textAlignment w:val="center"/>
              <w:rPr>
                <w:color w:val="auto"/>
                <w:szCs w:val="21"/>
                <w:highlight w:val="none"/>
              </w:rPr>
            </w:pPr>
            <w:r>
              <w:rPr>
                <w:rFonts w:hint="eastAsia"/>
                <w:color w:val="auto"/>
                <w:szCs w:val="21"/>
                <w:highlight w:val="none"/>
                <w:lang w:bidi="ar"/>
              </w:rPr>
              <w:t>3.2 检测器</w:t>
            </w:r>
          </w:p>
          <w:p>
            <w:pPr>
              <w:widowControl/>
              <w:textAlignment w:val="center"/>
              <w:rPr>
                <w:color w:val="auto"/>
                <w:szCs w:val="21"/>
                <w:highlight w:val="none"/>
              </w:rPr>
            </w:pPr>
            <w:r>
              <w:rPr>
                <w:rFonts w:hint="eastAsia"/>
                <w:color w:val="auto"/>
                <w:szCs w:val="21"/>
                <w:highlight w:val="none"/>
                <w:lang w:bidi="ar"/>
              </w:rPr>
              <w:t>3.2.1 紫外可见检测器</w:t>
            </w:r>
          </w:p>
          <w:p>
            <w:pPr>
              <w:widowControl/>
              <w:textAlignment w:val="center"/>
              <w:rPr>
                <w:color w:val="auto"/>
                <w:szCs w:val="21"/>
                <w:highlight w:val="none"/>
              </w:rPr>
            </w:pPr>
            <w:r>
              <w:rPr>
                <w:rFonts w:hint="eastAsia"/>
                <w:color w:val="auto"/>
                <w:szCs w:val="21"/>
                <w:highlight w:val="none"/>
                <w:lang w:bidi="ar"/>
              </w:rPr>
              <w:t>3.2.1.1 使用单一氙灯光源，紫外/可见光切换时无需换灯，冷光源，无需预热。单一光源避免多个光源过热对样品的影响，测定准确度高，无热辐射，被照品表面温升低，不会使样品升温保持样品活性；</w:t>
            </w:r>
          </w:p>
          <w:p>
            <w:pPr>
              <w:widowControl/>
              <w:textAlignment w:val="center"/>
              <w:rPr>
                <w:color w:val="auto"/>
                <w:szCs w:val="21"/>
                <w:highlight w:val="none"/>
              </w:rPr>
            </w:pPr>
            <w:r>
              <w:rPr>
                <w:rFonts w:hint="eastAsia"/>
                <w:color w:val="auto"/>
                <w:szCs w:val="21"/>
                <w:highlight w:val="none"/>
                <w:lang w:bidi="ar"/>
              </w:rPr>
              <w:t>3.2.1.2 波长范围：全波长检测器，范围 190 -700nm</w:t>
            </w:r>
          </w:p>
          <w:p>
            <w:pPr>
              <w:widowControl/>
              <w:textAlignment w:val="center"/>
              <w:rPr>
                <w:color w:val="auto"/>
                <w:szCs w:val="21"/>
                <w:highlight w:val="none"/>
              </w:rPr>
            </w:pPr>
            <w:r>
              <w:rPr>
                <w:rFonts w:hint="eastAsia"/>
                <w:color w:val="auto"/>
                <w:szCs w:val="21"/>
                <w:highlight w:val="none"/>
                <w:lang w:bidi="ar"/>
              </w:rPr>
              <w:t>3.2.1.3 检测范围：-6 到 +6 AU，线性：±2%，在0–2AU之间</w:t>
            </w:r>
          </w:p>
          <w:p>
            <w:pPr>
              <w:widowControl/>
              <w:textAlignment w:val="center"/>
              <w:rPr>
                <w:color w:val="auto"/>
                <w:szCs w:val="21"/>
                <w:highlight w:val="none"/>
              </w:rPr>
            </w:pPr>
            <w:r>
              <w:rPr>
                <w:rFonts w:hint="eastAsia"/>
                <w:color w:val="auto"/>
                <w:szCs w:val="21"/>
                <w:highlight w:val="none"/>
                <w:lang w:bidi="ar"/>
              </w:rPr>
              <w:t>3.2.1.4 检测波长：通过单色器可以连续选择、同时检测波长范围内任意3个波长</w:t>
            </w:r>
          </w:p>
          <w:p>
            <w:pPr>
              <w:widowControl/>
              <w:textAlignment w:val="center"/>
              <w:rPr>
                <w:color w:val="auto"/>
                <w:szCs w:val="21"/>
                <w:highlight w:val="none"/>
              </w:rPr>
            </w:pPr>
            <w:r>
              <w:rPr>
                <w:rFonts w:hint="eastAsia"/>
                <w:color w:val="auto"/>
                <w:szCs w:val="21"/>
                <w:highlight w:val="none"/>
                <w:lang w:bidi="ar"/>
              </w:rPr>
              <w:t>3.2.1.5 压力范围：0-2Mpa</w:t>
            </w:r>
          </w:p>
          <w:p>
            <w:pPr>
              <w:widowControl/>
              <w:textAlignment w:val="center"/>
              <w:rPr>
                <w:color w:val="auto"/>
                <w:szCs w:val="21"/>
                <w:highlight w:val="none"/>
              </w:rPr>
            </w:pPr>
            <w:r>
              <w:rPr>
                <w:rFonts w:hint="eastAsia"/>
                <w:color w:val="auto"/>
                <w:szCs w:val="21"/>
                <w:highlight w:val="none"/>
                <w:lang w:bidi="ar"/>
              </w:rPr>
              <w:t>3.2.1.6 光纤同时传导光源及采集数据。</w:t>
            </w:r>
          </w:p>
          <w:p>
            <w:pPr>
              <w:widowControl/>
              <w:textAlignment w:val="center"/>
              <w:rPr>
                <w:color w:val="auto"/>
                <w:szCs w:val="21"/>
                <w:highlight w:val="none"/>
              </w:rPr>
            </w:pPr>
            <w:r>
              <w:rPr>
                <w:rFonts w:hint="eastAsia"/>
                <w:color w:val="auto"/>
                <w:szCs w:val="21"/>
                <w:highlight w:val="none"/>
                <w:lang w:bidi="ar"/>
              </w:rPr>
              <w:t>3.2.1.7 光源和流动池分开设计，避免光源过热对样品的影响，测定准确度高。</w:t>
            </w:r>
          </w:p>
          <w:p>
            <w:pPr>
              <w:widowControl/>
              <w:textAlignment w:val="center"/>
              <w:rPr>
                <w:color w:val="auto"/>
                <w:szCs w:val="21"/>
                <w:highlight w:val="none"/>
              </w:rPr>
            </w:pPr>
            <w:r>
              <w:rPr>
                <w:rFonts w:hint="eastAsia"/>
                <w:color w:val="auto"/>
                <w:szCs w:val="21"/>
                <w:highlight w:val="none"/>
                <w:lang w:bidi="ar"/>
              </w:rPr>
              <w:t>3.2.1.8 流通池：光径2mm，流通池体积2μl。自动识别光径，用于结果分析软件，修正峰的信息，便于不同系统的峰形比较。</w:t>
            </w:r>
          </w:p>
          <w:p>
            <w:pPr>
              <w:widowControl/>
              <w:textAlignment w:val="center"/>
              <w:rPr>
                <w:color w:val="auto"/>
                <w:szCs w:val="21"/>
                <w:highlight w:val="none"/>
              </w:rPr>
            </w:pPr>
            <w:r>
              <w:rPr>
                <w:rFonts w:hint="eastAsia"/>
                <w:color w:val="auto"/>
                <w:szCs w:val="21"/>
                <w:highlight w:val="none"/>
                <w:lang w:bidi="ar"/>
              </w:rPr>
              <w:t>3.2.2 电导检测器</w:t>
            </w:r>
          </w:p>
          <w:p>
            <w:pPr>
              <w:widowControl/>
              <w:textAlignment w:val="center"/>
              <w:rPr>
                <w:color w:val="auto"/>
                <w:szCs w:val="21"/>
                <w:highlight w:val="none"/>
              </w:rPr>
            </w:pPr>
            <w:r>
              <w:rPr>
                <w:rFonts w:hint="eastAsia"/>
                <w:color w:val="auto"/>
                <w:szCs w:val="21"/>
                <w:highlight w:val="none"/>
                <w:lang w:bidi="ar"/>
              </w:rPr>
              <w:t>3.2.2.1 检测范围：0.01 - 999.99ms/cm</w:t>
            </w:r>
          </w:p>
          <w:p>
            <w:pPr>
              <w:widowControl/>
              <w:textAlignment w:val="center"/>
              <w:rPr>
                <w:color w:val="auto"/>
                <w:szCs w:val="21"/>
                <w:highlight w:val="none"/>
              </w:rPr>
            </w:pPr>
            <w:r>
              <w:rPr>
                <w:rFonts w:hint="eastAsia"/>
                <w:color w:val="auto"/>
                <w:szCs w:val="21"/>
                <w:highlight w:val="none"/>
                <w:lang w:bidi="ar"/>
              </w:rPr>
              <w:t>3.2.2.2 噪音：±5%(满刻度校准范围内)</w:t>
            </w:r>
          </w:p>
          <w:p>
            <w:pPr>
              <w:widowControl/>
              <w:textAlignment w:val="center"/>
              <w:rPr>
                <w:color w:val="auto"/>
                <w:szCs w:val="21"/>
                <w:highlight w:val="none"/>
              </w:rPr>
            </w:pPr>
            <w:r>
              <w:rPr>
                <w:rFonts w:hint="eastAsia"/>
                <w:color w:val="auto"/>
                <w:szCs w:val="21"/>
                <w:highlight w:val="none"/>
                <w:lang w:bidi="ar"/>
              </w:rPr>
              <w:t>3.2.2.3 电导精确度：±10uS/cm，实时自动检测，可根据校正因子进行自动校正。</w:t>
            </w:r>
          </w:p>
          <w:p>
            <w:pPr>
              <w:widowControl/>
              <w:textAlignment w:val="center"/>
              <w:rPr>
                <w:color w:val="auto"/>
                <w:szCs w:val="21"/>
                <w:highlight w:val="none"/>
              </w:rPr>
            </w:pPr>
            <w:r>
              <w:rPr>
                <w:rFonts w:hint="eastAsia"/>
                <w:color w:val="auto"/>
                <w:szCs w:val="21"/>
                <w:highlight w:val="none"/>
                <w:lang w:bidi="ar"/>
              </w:rPr>
              <w:t>3.2.2.4 压力范围：0-5 Mpa</w:t>
            </w:r>
          </w:p>
          <w:p>
            <w:pPr>
              <w:widowControl/>
              <w:textAlignment w:val="center"/>
              <w:rPr>
                <w:color w:val="auto"/>
                <w:szCs w:val="21"/>
                <w:highlight w:val="none"/>
              </w:rPr>
            </w:pPr>
            <w:r>
              <w:rPr>
                <w:rFonts w:hint="eastAsia"/>
                <w:color w:val="auto"/>
                <w:szCs w:val="21"/>
                <w:highlight w:val="none"/>
                <w:lang w:bidi="ar"/>
              </w:rPr>
              <w:t>3.2.2.5 流通池：22μl</w:t>
            </w:r>
          </w:p>
          <w:p>
            <w:pPr>
              <w:widowControl/>
              <w:textAlignment w:val="center"/>
              <w:rPr>
                <w:color w:val="auto"/>
                <w:szCs w:val="21"/>
                <w:highlight w:val="none"/>
              </w:rPr>
            </w:pPr>
            <w:r>
              <w:rPr>
                <w:rFonts w:hint="eastAsia"/>
                <w:color w:val="auto"/>
                <w:szCs w:val="21"/>
                <w:highlight w:val="none"/>
                <w:lang w:bidi="ar"/>
              </w:rPr>
              <w:t>3.2.3 温度检测器</w:t>
            </w:r>
          </w:p>
          <w:p>
            <w:pPr>
              <w:widowControl/>
              <w:textAlignment w:val="center"/>
              <w:rPr>
                <w:color w:val="auto"/>
                <w:szCs w:val="21"/>
                <w:highlight w:val="none"/>
              </w:rPr>
            </w:pPr>
            <w:r>
              <w:rPr>
                <w:rFonts w:hint="eastAsia"/>
                <w:color w:val="auto"/>
                <w:szCs w:val="21"/>
                <w:highlight w:val="none"/>
                <w:lang w:bidi="ar"/>
              </w:rPr>
              <w:t>3.2.3.1 温度范围：0 - 99°C</w:t>
            </w:r>
          </w:p>
          <w:p>
            <w:pPr>
              <w:widowControl/>
              <w:textAlignment w:val="center"/>
              <w:rPr>
                <w:color w:val="auto"/>
                <w:szCs w:val="21"/>
                <w:highlight w:val="none"/>
              </w:rPr>
            </w:pPr>
            <w:r>
              <w:rPr>
                <w:rFonts w:hint="eastAsia"/>
                <w:color w:val="auto"/>
                <w:szCs w:val="21"/>
                <w:highlight w:val="none"/>
                <w:lang w:bidi="ar"/>
              </w:rPr>
              <w:t>3.2.3.2 温度准确度：± 1.5°C 在 4°C–45°C 之间</w:t>
            </w:r>
          </w:p>
          <w:p>
            <w:pPr>
              <w:widowControl/>
              <w:textAlignment w:val="center"/>
              <w:rPr>
                <w:color w:val="auto"/>
                <w:szCs w:val="21"/>
                <w:highlight w:val="none"/>
              </w:rPr>
            </w:pPr>
            <w:r>
              <w:rPr>
                <w:rFonts w:hint="eastAsia"/>
                <w:color w:val="auto"/>
                <w:szCs w:val="21"/>
                <w:highlight w:val="none"/>
                <w:lang w:bidi="ar"/>
              </w:rPr>
              <w:t>3.2.4 pH检测器</w:t>
            </w:r>
          </w:p>
          <w:p>
            <w:pPr>
              <w:widowControl/>
              <w:textAlignment w:val="center"/>
              <w:rPr>
                <w:color w:val="auto"/>
                <w:szCs w:val="21"/>
                <w:highlight w:val="none"/>
              </w:rPr>
            </w:pPr>
            <w:r>
              <w:rPr>
                <w:rFonts w:hint="eastAsia"/>
                <w:color w:val="auto"/>
                <w:szCs w:val="21"/>
                <w:highlight w:val="none"/>
                <w:lang w:bidi="ar"/>
              </w:rPr>
              <w:t>3.2.4.1 检测范围: 0-14；有效使用范围:2-12</w:t>
            </w:r>
          </w:p>
          <w:p>
            <w:pPr>
              <w:widowControl/>
              <w:textAlignment w:val="center"/>
              <w:rPr>
                <w:color w:val="auto"/>
                <w:szCs w:val="21"/>
                <w:highlight w:val="none"/>
              </w:rPr>
            </w:pPr>
            <w:r>
              <w:rPr>
                <w:rFonts w:hint="eastAsia"/>
                <w:color w:val="auto"/>
                <w:szCs w:val="21"/>
                <w:highlight w:val="none"/>
                <w:lang w:bidi="ar"/>
              </w:rPr>
              <w:t>3.2.4.2 精度: ±0.1 pH单位，温度补偿</w:t>
            </w:r>
          </w:p>
          <w:p>
            <w:pPr>
              <w:widowControl/>
              <w:textAlignment w:val="center"/>
              <w:rPr>
                <w:color w:val="auto"/>
                <w:szCs w:val="21"/>
                <w:highlight w:val="none"/>
              </w:rPr>
            </w:pPr>
            <w:r>
              <w:rPr>
                <w:rFonts w:hint="eastAsia"/>
                <w:color w:val="auto"/>
                <w:szCs w:val="21"/>
                <w:highlight w:val="none"/>
                <w:lang w:bidi="ar"/>
              </w:rPr>
              <w:t>3.2.4.3 稳定性: 0.1 pH单位/10小时</w:t>
            </w:r>
          </w:p>
          <w:p>
            <w:pPr>
              <w:widowControl/>
              <w:textAlignment w:val="center"/>
              <w:rPr>
                <w:color w:val="auto"/>
                <w:szCs w:val="21"/>
                <w:highlight w:val="none"/>
              </w:rPr>
            </w:pPr>
            <w:r>
              <w:rPr>
                <w:rFonts w:hint="eastAsia"/>
                <w:color w:val="auto"/>
                <w:szCs w:val="21"/>
                <w:highlight w:val="none"/>
                <w:lang w:bidi="ar"/>
              </w:rPr>
              <w:t>3.2.4.4 流通池：76μl</w:t>
            </w:r>
          </w:p>
          <w:p>
            <w:pPr>
              <w:widowControl/>
              <w:textAlignment w:val="center"/>
              <w:rPr>
                <w:color w:val="auto"/>
                <w:szCs w:val="21"/>
                <w:highlight w:val="none"/>
              </w:rPr>
            </w:pPr>
            <w:r>
              <w:rPr>
                <w:rFonts w:hint="eastAsia"/>
                <w:color w:val="auto"/>
                <w:szCs w:val="21"/>
                <w:highlight w:val="none"/>
                <w:lang w:bidi="ar"/>
              </w:rPr>
              <w:t>3.3. 标配阀门：</w:t>
            </w:r>
          </w:p>
          <w:p>
            <w:pPr>
              <w:widowControl/>
              <w:textAlignment w:val="center"/>
              <w:rPr>
                <w:color w:val="auto"/>
                <w:szCs w:val="21"/>
                <w:highlight w:val="none"/>
              </w:rPr>
            </w:pPr>
            <w:r>
              <w:rPr>
                <w:rFonts w:hint="eastAsia"/>
                <w:color w:val="auto"/>
                <w:szCs w:val="21"/>
                <w:highlight w:val="none"/>
                <w:lang w:bidi="ar"/>
              </w:rPr>
              <w:t>3.3.1 缓冲液选择阀：2个, 14种缓冲液入口，内置气泡传感器保护层析柱。</w:t>
            </w:r>
          </w:p>
          <w:p>
            <w:pPr>
              <w:widowControl/>
              <w:textAlignment w:val="center"/>
              <w:rPr>
                <w:color w:val="auto"/>
                <w:szCs w:val="21"/>
                <w:highlight w:val="none"/>
              </w:rPr>
            </w:pPr>
            <w:r>
              <w:rPr>
                <w:rFonts w:hint="eastAsia"/>
                <w:color w:val="auto"/>
                <w:szCs w:val="21"/>
                <w:highlight w:val="none"/>
                <w:lang w:bidi="ar"/>
              </w:rPr>
              <w:t>3.3.2 四元阀：1个，4个溶液入口，进行缓冲液自动配制和运行四元梯度。</w:t>
            </w:r>
          </w:p>
          <w:p>
            <w:pPr>
              <w:widowControl/>
              <w:textAlignment w:val="center"/>
              <w:rPr>
                <w:color w:val="auto"/>
                <w:szCs w:val="21"/>
                <w:highlight w:val="none"/>
              </w:rPr>
            </w:pPr>
            <w:r>
              <w:rPr>
                <w:rFonts w:hint="eastAsia"/>
                <w:color w:val="auto"/>
                <w:szCs w:val="21"/>
                <w:highlight w:val="none"/>
                <w:lang w:bidi="ar"/>
              </w:rPr>
              <w:t>3.3.3 样品选择阀：1个，自动切换7个样品，另含一个清洗管路，避免不同样品间的交叉污染。内置气泡传感器保护层析柱。</w:t>
            </w:r>
          </w:p>
          <w:p>
            <w:pPr>
              <w:widowControl/>
              <w:textAlignment w:val="center"/>
              <w:rPr>
                <w:color w:val="auto"/>
                <w:szCs w:val="21"/>
                <w:highlight w:val="none"/>
              </w:rPr>
            </w:pPr>
            <w:r>
              <w:rPr>
                <w:rFonts w:hint="eastAsia"/>
                <w:color w:val="auto"/>
                <w:szCs w:val="21"/>
                <w:highlight w:val="none"/>
                <w:lang w:bidi="ar"/>
              </w:rPr>
              <w:t>3.3.4 自动进样阀：1个，无需更改管线连接方式，实现上样方式的转换：样品泵上样到样品环或超级样品环；注射器上样到样品环或超级样品环；样品泵直接上样到分析柱。</w:t>
            </w:r>
          </w:p>
          <w:p>
            <w:pPr>
              <w:widowControl/>
              <w:textAlignment w:val="center"/>
              <w:rPr>
                <w:color w:val="auto"/>
                <w:szCs w:val="21"/>
                <w:highlight w:val="none"/>
              </w:rPr>
            </w:pPr>
            <w:r>
              <w:rPr>
                <w:rFonts w:hint="eastAsia"/>
                <w:color w:val="auto"/>
                <w:szCs w:val="21"/>
                <w:highlight w:val="none"/>
                <w:lang w:bidi="ar"/>
              </w:rPr>
              <w:t>3.3.5 柱位选择和方向阀：1个，自动选择5根分析柱，另含一条通路用于系统清洗，同时兼有正反流向控制功能。内置柱前、柱后压力传感器。</w:t>
            </w:r>
          </w:p>
          <w:p>
            <w:pPr>
              <w:widowControl/>
              <w:textAlignment w:val="center"/>
              <w:rPr>
                <w:color w:val="auto"/>
                <w:szCs w:val="21"/>
                <w:highlight w:val="none"/>
              </w:rPr>
            </w:pPr>
            <w:r>
              <w:rPr>
                <w:rFonts w:hint="eastAsia"/>
                <w:color w:val="auto"/>
                <w:szCs w:val="21"/>
                <w:highlight w:val="none"/>
                <w:lang w:bidi="ar"/>
              </w:rPr>
              <w:t>3.3.6 pH计阀：1个，pH计固定在阀门上，无需移动即可实现pH计的储存或校正，阀门上同时连接反压阀，可选择pH计和反压阀两者同时使用、单一使用或都不用。</w:t>
            </w:r>
          </w:p>
          <w:p>
            <w:pPr>
              <w:widowControl/>
              <w:textAlignment w:val="center"/>
              <w:rPr>
                <w:color w:val="auto"/>
                <w:szCs w:val="21"/>
                <w:highlight w:val="none"/>
              </w:rPr>
            </w:pPr>
            <w:r>
              <w:rPr>
                <w:rFonts w:hint="eastAsia"/>
                <w:color w:val="auto"/>
                <w:szCs w:val="21"/>
                <w:highlight w:val="none"/>
                <w:lang w:bidi="ar"/>
              </w:rPr>
              <w:t>3.3.7 收集阀：1个，一个位置与收集器相连，另外有10个位置进行样品收集。最后一个位置接废液。</w:t>
            </w:r>
          </w:p>
          <w:p>
            <w:pPr>
              <w:widowControl/>
              <w:textAlignment w:val="center"/>
              <w:rPr>
                <w:color w:val="auto"/>
                <w:szCs w:val="21"/>
                <w:highlight w:val="none"/>
              </w:rPr>
            </w:pPr>
            <w:r>
              <w:rPr>
                <w:rFonts w:hint="eastAsia"/>
                <w:color w:val="auto"/>
                <w:szCs w:val="21"/>
                <w:highlight w:val="none"/>
                <w:lang w:bidi="ar"/>
              </w:rPr>
              <w:t>3.4 通过硬件和软件的配合可实现自动条件优化和工艺开发：</w:t>
            </w:r>
          </w:p>
          <w:p>
            <w:pPr>
              <w:adjustRightInd w:val="0"/>
              <w:spacing w:line="340" w:lineRule="atLeast"/>
              <w:rPr>
                <w:color w:val="auto"/>
                <w:szCs w:val="21"/>
                <w:highlight w:val="none"/>
                <w:lang w:bidi="ar"/>
              </w:rPr>
            </w:pPr>
            <w:r>
              <w:rPr>
                <w:rFonts w:hint="eastAsia"/>
                <w:color w:val="auto"/>
                <w:szCs w:val="21"/>
                <w:highlight w:val="none"/>
                <w:lang w:bidi="ar"/>
              </w:rPr>
              <w:t xml:space="preserve">3.4.1 整合实验设计软件。根据客户要求推荐实验方案，分析数据、建立模型、进行重要实验条件的筛选、优化，还可进一步细化得出可重复的实验条件。  </w:t>
            </w:r>
          </w:p>
          <w:p>
            <w:pPr>
              <w:widowControl/>
              <w:textAlignment w:val="center"/>
              <w:rPr>
                <w:color w:val="auto"/>
                <w:szCs w:val="21"/>
                <w:highlight w:val="none"/>
              </w:rPr>
            </w:pPr>
            <w:r>
              <w:rPr>
                <w:rFonts w:hint="eastAsia"/>
                <w:color w:val="auto"/>
                <w:szCs w:val="21"/>
                <w:highlight w:val="none"/>
                <w:lang w:bidi="ar"/>
              </w:rPr>
              <w:t>3.4.2 自动条件摸索，自动优化缓冲液pH、流速、梯度；</w:t>
            </w:r>
          </w:p>
          <w:p>
            <w:pPr>
              <w:widowControl/>
              <w:textAlignment w:val="center"/>
              <w:rPr>
                <w:color w:val="auto"/>
                <w:szCs w:val="21"/>
                <w:highlight w:val="none"/>
              </w:rPr>
            </w:pPr>
            <w:r>
              <w:rPr>
                <w:rFonts w:hint="eastAsia"/>
                <w:color w:val="auto"/>
                <w:szCs w:val="21"/>
                <w:highlight w:val="none"/>
                <w:lang w:bidi="ar"/>
              </w:rPr>
              <w:t>3.4.3 自动优化分析柱、优化分析介质</w:t>
            </w:r>
          </w:p>
          <w:p>
            <w:pPr>
              <w:widowControl/>
              <w:textAlignment w:val="center"/>
              <w:rPr>
                <w:color w:val="auto"/>
                <w:szCs w:val="21"/>
                <w:highlight w:val="none"/>
              </w:rPr>
            </w:pPr>
            <w:r>
              <w:rPr>
                <w:rFonts w:hint="eastAsia"/>
                <w:color w:val="auto"/>
                <w:szCs w:val="21"/>
                <w:highlight w:val="none"/>
                <w:lang w:bidi="ar"/>
              </w:rPr>
              <w:t>3.4.4 可一个样品优化不同的层析介质，也可多个样品在不同柱位上优化</w:t>
            </w:r>
          </w:p>
          <w:p>
            <w:pPr>
              <w:widowControl/>
              <w:textAlignment w:val="center"/>
              <w:rPr>
                <w:color w:val="auto"/>
                <w:szCs w:val="21"/>
                <w:highlight w:val="none"/>
              </w:rPr>
            </w:pPr>
            <w:r>
              <w:rPr>
                <w:rFonts w:hint="eastAsia"/>
                <w:color w:val="auto"/>
                <w:szCs w:val="21"/>
                <w:highlight w:val="none"/>
                <w:lang w:bidi="ar"/>
              </w:rPr>
              <w:t>3.5 在线自动配制缓冲液</w:t>
            </w:r>
          </w:p>
          <w:p>
            <w:pPr>
              <w:widowControl/>
              <w:textAlignment w:val="center"/>
              <w:rPr>
                <w:color w:val="auto"/>
                <w:szCs w:val="21"/>
                <w:highlight w:val="none"/>
              </w:rPr>
            </w:pPr>
            <w:r>
              <w:rPr>
                <w:rFonts w:hint="eastAsia"/>
                <w:color w:val="auto"/>
                <w:szCs w:val="21"/>
                <w:highlight w:val="none"/>
                <w:lang w:bidi="ar"/>
              </w:rPr>
              <w:t>3.5.1 包含26种缓冲液配方，无需补偿离子强度的变化、增加温度反馈、自动温度补偿、调整缓冲液pH的配制。</w:t>
            </w:r>
          </w:p>
          <w:p>
            <w:pPr>
              <w:widowControl/>
              <w:textAlignment w:val="center"/>
              <w:rPr>
                <w:color w:val="auto"/>
                <w:szCs w:val="21"/>
                <w:highlight w:val="none"/>
              </w:rPr>
            </w:pPr>
            <w:r>
              <w:rPr>
                <w:rFonts w:hint="eastAsia"/>
                <w:color w:val="auto"/>
                <w:szCs w:val="21"/>
                <w:highlight w:val="none"/>
                <w:lang w:bidi="ar"/>
              </w:rPr>
              <w:t>3.5.2 部分缓冲液提供分别用共轭弱酸碱和强酸碱滴定的不同pH范围和配方，精度 0.1pH单位。</w:t>
            </w:r>
          </w:p>
          <w:p>
            <w:pPr>
              <w:widowControl/>
              <w:textAlignment w:val="center"/>
              <w:rPr>
                <w:color w:val="auto"/>
                <w:szCs w:val="21"/>
                <w:highlight w:val="none"/>
              </w:rPr>
            </w:pPr>
            <w:r>
              <w:rPr>
                <w:rFonts w:hint="eastAsia"/>
                <w:color w:val="auto"/>
                <w:szCs w:val="21"/>
                <w:highlight w:val="none"/>
                <w:lang w:bidi="ar"/>
              </w:rPr>
              <w:t>3.5.3 可手动设置缓冲液浓度，精密控制电导。</w:t>
            </w:r>
          </w:p>
          <w:p>
            <w:pPr>
              <w:widowControl/>
              <w:textAlignment w:val="center"/>
              <w:rPr>
                <w:color w:val="auto"/>
                <w:szCs w:val="21"/>
                <w:highlight w:val="none"/>
              </w:rPr>
            </w:pPr>
            <w:r>
              <w:rPr>
                <w:rFonts w:hint="eastAsia"/>
                <w:color w:val="auto"/>
                <w:szCs w:val="21"/>
                <w:highlight w:val="none"/>
                <w:lang w:bidi="ar"/>
              </w:rPr>
              <w:t>3.5.4 输入缓冲液浓度和温度，自动计算缓冲液配方。</w:t>
            </w:r>
          </w:p>
          <w:p>
            <w:pPr>
              <w:widowControl/>
              <w:textAlignment w:val="center"/>
              <w:rPr>
                <w:color w:val="auto"/>
                <w:szCs w:val="21"/>
                <w:highlight w:val="none"/>
              </w:rPr>
            </w:pPr>
            <w:r>
              <w:rPr>
                <w:rFonts w:hint="eastAsia"/>
                <w:color w:val="auto"/>
                <w:szCs w:val="21"/>
                <w:highlight w:val="none"/>
                <w:lang w:bidi="ar"/>
              </w:rPr>
              <w:t>3.5.5 四元阀实时在线显示缓冲液配制时每种溶液混合的比例。</w:t>
            </w:r>
          </w:p>
          <w:p>
            <w:pPr>
              <w:widowControl/>
              <w:textAlignment w:val="center"/>
              <w:rPr>
                <w:color w:val="auto"/>
                <w:szCs w:val="21"/>
                <w:highlight w:val="none"/>
              </w:rPr>
            </w:pPr>
            <w:r>
              <w:rPr>
                <w:rFonts w:hint="eastAsia"/>
                <w:color w:val="auto"/>
                <w:szCs w:val="21"/>
                <w:highlight w:val="none"/>
                <w:lang w:bidi="ar"/>
              </w:rPr>
              <w:t>3.5.6 四元阀也可单独使用，手动输入四种溶液比例，实现不同溶液配比的洗脱。</w:t>
            </w:r>
          </w:p>
          <w:p>
            <w:pPr>
              <w:widowControl/>
              <w:textAlignment w:val="center"/>
              <w:rPr>
                <w:color w:val="auto"/>
                <w:szCs w:val="21"/>
                <w:highlight w:val="none"/>
              </w:rPr>
            </w:pPr>
            <w:r>
              <w:rPr>
                <w:rFonts w:hint="eastAsia"/>
                <w:color w:val="auto"/>
                <w:szCs w:val="21"/>
                <w:highlight w:val="none"/>
                <w:lang w:bidi="ar"/>
              </w:rPr>
              <w:t>3.6 内置组分收集器</w:t>
            </w:r>
          </w:p>
          <w:p>
            <w:pPr>
              <w:widowControl/>
              <w:textAlignment w:val="center"/>
              <w:rPr>
                <w:color w:val="auto"/>
                <w:szCs w:val="21"/>
                <w:highlight w:val="none"/>
              </w:rPr>
            </w:pPr>
            <w:r>
              <w:rPr>
                <w:rFonts w:hint="eastAsia"/>
                <w:color w:val="auto"/>
                <w:szCs w:val="21"/>
                <w:highlight w:val="none"/>
                <w:lang w:bidi="ar"/>
              </w:rPr>
              <w:t>3.6.1 盘架兼容：24、48、96深孔板，最多576个收集组分；兼容3、8、15、50ml收集管，兼容250ml收集瓶，具备卡锁功能避免试管滑落。</w:t>
            </w:r>
          </w:p>
          <w:p>
            <w:pPr>
              <w:widowControl/>
              <w:textAlignment w:val="center"/>
              <w:rPr>
                <w:color w:val="auto"/>
                <w:szCs w:val="21"/>
                <w:highlight w:val="none"/>
              </w:rPr>
            </w:pPr>
            <w:r>
              <w:rPr>
                <w:rFonts w:hint="eastAsia"/>
                <w:color w:val="auto"/>
                <w:szCs w:val="21"/>
                <w:highlight w:val="none"/>
                <w:lang w:bidi="ar"/>
              </w:rPr>
              <w:t>3.6.2 自动扫描识别多孔板的孔数和盘架放置位置</w:t>
            </w:r>
          </w:p>
          <w:p>
            <w:pPr>
              <w:widowControl/>
              <w:textAlignment w:val="center"/>
              <w:rPr>
                <w:color w:val="auto"/>
                <w:szCs w:val="21"/>
                <w:highlight w:val="none"/>
              </w:rPr>
            </w:pPr>
            <w:r>
              <w:rPr>
                <w:rFonts w:hint="eastAsia"/>
                <w:color w:val="auto"/>
                <w:szCs w:val="21"/>
                <w:highlight w:val="none"/>
                <w:lang w:bidi="ar"/>
              </w:rPr>
              <w:t>3.6.3 收集体积：0.1 - 50ml</w:t>
            </w:r>
          </w:p>
          <w:p>
            <w:pPr>
              <w:widowControl/>
              <w:textAlignment w:val="center"/>
              <w:rPr>
                <w:color w:val="auto"/>
                <w:szCs w:val="21"/>
                <w:highlight w:val="none"/>
              </w:rPr>
            </w:pPr>
            <w:r>
              <w:rPr>
                <w:rFonts w:hint="eastAsia"/>
                <w:color w:val="auto"/>
                <w:szCs w:val="21"/>
                <w:highlight w:val="none"/>
                <w:lang w:bidi="ar"/>
              </w:rPr>
              <w:t>3.6.4 收集器可选择按时间、体积和峰进行收集，支持延迟收集。</w:t>
            </w:r>
          </w:p>
          <w:p>
            <w:pPr>
              <w:widowControl/>
              <w:textAlignment w:val="center"/>
              <w:rPr>
                <w:color w:val="auto"/>
                <w:szCs w:val="21"/>
                <w:highlight w:val="none"/>
              </w:rPr>
            </w:pPr>
            <w:r>
              <w:rPr>
                <w:rFonts w:hint="eastAsia"/>
                <w:color w:val="auto"/>
                <w:szCs w:val="21"/>
                <w:highlight w:val="none"/>
                <w:lang w:bidi="ar"/>
              </w:rPr>
              <w:t>3.6.5 保护措施：抽屉式封闭设计、控温范围6-20℃、收集部分采用PEEK惰性材料</w:t>
            </w:r>
          </w:p>
          <w:p>
            <w:pPr>
              <w:widowControl/>
              <w:textAlignment w:val="center"/>
              <w:rPr>
                <w:color w:val="auto"/>
                <w:szCs w:val="21"/>
                <w:highlight w:val="none"/>
              </w:rPr>
            </w:pPr>
            <w:r>
              <w:rPr>
                <w:rFonts w:hint="eastAsia"/>
                <w:color w:val="auto"/>
                <w:szCs w:val="21"/>
                <w:highlight w:val="none"/>
                <w:lang w:bidi="ar"/>
              </w:rPr>
              <w:t>3.6.6 根据流速不同可自动或手动选择不同的方式避免液滴滴到管外：收集速度2 ml/min，液滴同步化收集；收集速度2 ml/min，收集臂移动时暂存液滴，避免样品滴到管外。</w:t>
            </w:r>
          </w:p>
          <w:p>
            <w:pPr>
              <w:widowControl/>
              <w:textAlignment w:val="center"/>
              <w:rPr>
                <w:color w:val="auto"/>
                <w:szCs w:val="21"/>
                <w:highlight w:val="none"/>
              </w:rPr>
            </w:pPr>
            <w:r>
              <w:rPr>
                <w:rFonts w:hint="eastAsia"/>
                <w:color w:val="auto"/>
                <w:szCs w:val="21"/>
                <w:highlight w:val="none"/>
                <w:lang w:bidi="ar"/>
              </w:rPr>
              <w:t>3.7其它部件：</w:t>
            </w:r>
          </w:p>
          <w:p>
            <w:pPr>
              <w:widowControl/>
              <w:textAlignment w:val="center"/>
              <w:rPr>
                <w:color w:val="auto"/>
                <w:szCs w:val="21"/>
                <w:highlight w:val="none"/>
              </w:rPr>
            </w:pPr>
            <w:r>
              <w:rPr>
                <w:rFonts w:hint="eastAsia"/>
                <w:color w:val="auto"/>
                <w:szCs w:val="21"/>
                <w:highlight w:val="none"/>
                <w:lang w:bidi="ar"/>
              </w:rPr>
              <w:t>3.7.1 混合器</w:t>
            </w:r>
          </w:p>
          <w:p>
            <w:pPr>
              <w:widowControl/>
              <w:textAlignment w:val="center"/>
              <w:rPr>
                <w:color w:val="auto"/>
                <w:szCs w:val="21"/>
                <w:highlight w:val="none"/>
              </w:rPr>
            </w:pPr>
            <w:r>
              <w:rPr>
                <w:rFonts w:hint="eastAsia"/>
                <w:color w:val="auto"/>
                <w:szCs w:val="21"/>
                <w:highlight w:val="none"/>
                <w:lang w:bidi="ar"/>
              </w:rPr>
              <w:t>3.7.1.1 配置3个混合器，3个不同体积混合腔在0.6ml-5 ml体积范围内</w:t>
            </w:r>
          </w:p>
          <w:p>
            <w:pPr>
              <w:widowControl/>
              <w:textAlignment w:val="center"/>
              <w:rPr>
                <w:color w:val="auto"/>
                <w:szCs w:val="21"/>
                <w:highlight w:val="none"/>
              </w:rPr>
            </w:pPr>
            <w:r>
              <w:rPr>
                <w:rFonts w:hint="eastAsia"/>
                <w:color w:val="auto"/>
                <w:szCs w:val="21"/>
                <w:highlight w:val="none"/>
                <w:lang w:bidi="ar"/>
              </w:rPr>
              <w:t>3.7.1.2 电动混合器，在线溶液搅拌，保证溶液梯度混合时的均匀性。</w:t>
            </w:r>
          </w:p>
          <w:p>
            <w:pPr>
              <w:spacing w:line="340" w:lineRule="atLeast"/>
              <w:rPr>
                <w:color w:val="auto"/>
                <w:szCs w:val="21"/>
                <w:highlight w:val="none"/>
                <w:lang w:bidi="ar"/>
              </w:rPr>
            </w:pPr>
            <w:r>
              <w:rPr>
                <w:rFonts w:hint="eastAsia"/>
                <w:color w:val="auto"/>
                <w:szCs w:val="21"/>
                <w:highlight w:val="none"/>
                <w:lang w:bidi="ar"/>
              </w:rPr>
              <w:t>3.7.2 内置压力感应器：4个，可在线监测系统泵、样品泵、分析柱前和柱后等的压力。保证系统、层析柱和层析介质及工艺的安全性。</w:t>
            </w:r>
          </w:p>
          <w:p>
            <w:pPr>
              <w:widowControl/>
              <w:textAlignment w:val="center"/>
              <w:rPr>
                <w:color w:val="auto"/>
                <w:szCs w:val="21"/>
                <w:highlight w:val="none"/>
              </w:rPr>
            </w:pPr>
            <w:r>
              <w:rPr>
                <w:rFonts w:hint="eastAsia"/>
                <w:color w:val="auto"/>
                <w:szCs w:val="21"/>
                <w:highlight w:val="none"/>
                <w:lang w:bidi="ar"/>
              </w:rPr>
              <w:t>3.7.3 内置气泡感应器：3个，A泵缓冲液选择阀、B泵缓冲液选择阀、样品选择阀内各整合一个气泡感应器，保护分析柱。样品选择阀内的气泡感应器在样品完全上样时还能用于检测气泡。</w:t>
            </w:r>
          </w:p>
          <w:p>
            <w:pPr>
              <w:widowControl/>
              <w:textAlignment w:val="center"/>
              <w:rPr>
                <w:color w:val="auto"/>
                <w:szCs w:val="21"/>
                <w:highlight w:val="none"/>
              </w:rPr>
            </w:pPr>
            <w:r>
              <w:rPr>
                <w:rFonts w:hint="eastAsia"/>
                <w:color w:val="auto"/>
                <w:szCs w:val="21"/>
                <w:highlight w:val="none"/>
                <w:lang w:bidi="ar"/>
              </w:rPr>
              <w:t>3.7.4 在线过滤器：具备在线溶液过滤功能，保护分析柱，防止细小微粒堵塞。</w:t>
            </w:r>
          </w:p>
          <w:p>
            <w:pPr>
              <w:widowControl/>
              <w:textAlignment w:val="center"/>
              <w:rPr>
                <w:color w:val="auto"/>
                <w:szCs w:val="21"/>
                <w:highlight w:val="none"/>
              </w:rPr>
            </w:pPr>
            <w:r>
              <w:rPr>
                <w:rFonts w:hint="eastAsia"/>
                <w:color w:val="auto"/>
                <w:szCs w:val="21"/>
                <w:highlight w:val="none"/>
                <w:lang w:bidi="ar"/>
              </w:rPr>
              <w:t>3.7.5 多种柱架可选。</w:t>
            </w:r>
          </w:p>
          <w:p>
            <w:pPr>
              <w:widowControl/>
              <w:textAlignment w:val="center"/>
              <w:rPr>
                <w:color w:val="auto"/>
                <w:szCs w:val="21"/>
                <w:highlight w:val="none"/>
              </w:rPr>
            </w:pPr>
            <w:r>
              <w:rPr>
                <w:rFonts w:hint="eastAsia"/>
                <w:color w:val="auto"/>
                <w:szCs w:val="21"/>
                <w:highlight w:val="none"/>
                <w:lang w:bidi="ar"/>
              </w:rPr>
              <w:t>3.7.6 反压阀：使系统增加一定压力，避免柱后气泡的产生。</w:t>
            </w:r>
          </w:p>
          <w:p>
            <w:pPr>
              <w:widowControl/>
              <w:textAlignment w:val="center"/>
              <w:rPr>
                <w:color w:val="auto"/>
                <w:szCs w:val="21"/>
                <w:highlight w:val="none"/>
              </w:rPr>
            </w:pPr>
            <w:r>
              <w:rPr>
                <w:rFonts w:hint="eastAsia"/>
                <w:color w:val="auto"/>
                <w:szCs w:val="21"/>
                <w:highlight w:val="none"/>
                <w:lang w:bidi="ar"/>
              </w:rPr>
              <w:t>3.7.7 流动池：紫外、电导检测池均为外置，便于管路连接并使死体积最小。</w:t>
            </w:r>
          </w:p>
          <w:p>
            <w:pPr>
              <w:widowControl/>
              <w:textAlignment w:val="center"/>
              <w:rPr>
                <w:color w:val="auto"/>
                <w:szCs w:val="21"/>
                <w:highlight w:val="none"/>
              </w:rPr>
            </w:pPr>
            <w:r>
              <w:rPr>
                <w:rFonts w:hint="eastAsia"/>
                <w:color w:val="auto"/>
                <w:szCs w:val="21"/>
                <w:highlight w:val="none"/>
                <w:lang w:bidi="ar"/>
              </w:rPr>
              <w:t>3.7.8 转动盘：底盘可灵活转动或锁定，便于操作和维修。</w:t>
            </w:r>
          </w:p>
          <w:p>
            <w:pPr>
              <w:widowControl/>
              <w:textAlignment w:val="center"/>
              <w:rPr>
                <w:color w:val="auto"/>
                <w:szCs w:val="21"/>
                <w:highlight w:val="none"/>
              </w:rPr>
            </w:pPr>
            <w:r>
              <w:rPr>
                <w:rFonts w:hint="eastAsia"/>
                <w:color w:val="auto"/>
                <w:szCs w:val="21"/>
                <w:highlight w:val="none"/>
                <w:lang w:bidi="ar"/>
              </w:rPr>
              <w:t>3.7.9 保护槽：万一管路渗漏，将漏夜导入废液瓶，保护系统。</w:t>
            </w:r>
          </w:p>
          <w:p>
            <w:pPr>
              <w:widowControl/>
              <w:textAlignment w:val="center"/>
              <w:rPr>
                <w:color w:val="auto"/>
                <w:szCs w:val="21"/>
                <w:highlight w:val="none"/>
              </w:rPr>
            </w:pPr>
            <w:r>
              <w:rPr>
                <w:rFonts w:hint="eastAsia"/>
                <w:color w:val="auto"/>
                <w:szCs w:val="21"/>
                <w:highlight w:val="none"/>
                <w:lang w:bidi="ar"/>
              </w:rPr>
              <w:t>3.7.10 储物箱：和主机一体化设计、放置常用工具及配件，方便使用。</w:t>
            </w:r>
          </w:p>
          <w:p>
            <w:pPr>
              <w:widowControl/>
              <w:textAlignment w:val="center"/>
              <w:rPr>
                <w:color w:val="auto"/>
                <w:szCs w:val="21"/>
                <w:highlight w:val="none"/>
              </w:rPr>
            </w:pPr>
            <w:r>
              <w:rPr>
                <w:rFonts w:hint="eastAsia"/>
                <w:color w:val="auto"/>
                <w:szCs w:val="21"/>
                <w:highlight w:val="none"/>
                <w:lang w:bidi="ar"/>
              </w:rPr>
              <w:t>3.7.11 仪器配件门：自由开启，透明设计，阀门、柱夹，配件管理清晰可见；关门同时可以保护检测器，防止因不慎将缓冲液溅出泄漏而侵蚀检测器。</w:t>
            </w:r>
          </w:p>
          <w:p>
            <w:pPr>
              <w:widowControl/>
              <w:textAlignment w:val="center"/>
              <w:rPr>
                <w:color w:val="auto"/>
                <w:szCs w:val="21"/>
                <w:highlight w:val="none"/>
              </w:rPr>
            </w:pPr>
            <w:r>
              <w:rPr>
                <w:rFonts w:hint="eastAsia"/>
                <w:color w:val="auto"/>
                <w:szCs w:val="21"/>
                <w:highlight w:val="none"/>
                <w:lang w:bidi="ar"/>
              </w:rPr>
              <w:t>3.8 控制软件</w:t>
            </w:r>
          </w:p>
          <w:p>
            <w:pPr>
              <w:widowControl/>
              <w:textAlignment w:val="center"/>
              <w:rPr>
                <w:color w:val="auto"/>
                <w:szCs w:val="21"/>
                <w:highlight w:val="none"/>
              </w:rPr>
            </w:pPr>
            <w:r>
              <w:rPr>
                <w:rFonts w:hint="eastAsia"/>
                <w:color w:val="auto"/>
                <w:szCs w:val="21"/>
                <w:highlight w:val="none"/>
                <w:lang w:bidi="ar"/>
              </w:rPr>
              <w:t>3.8.1 具备分析柱追踪功能，追踪层析柱使用历史：如使用次数和柱效变化等，同时配有在位清洗和柱效测定提醒功能。</w:t>
            </w:r>
          </w:p>
          <w:p>
            <w:pPr>
              <w:widowControl/>
              <w:textAlignment w:val="center"/>
              <w:rPr>
                <w:color w:val="auto"/>
                <w:szCs w:val="21"/>
                <w:highlight w:val="none"/>
              </w:rPr>
            </w:pPr>
            <w:r>
              <w:rPr>
                <w:rFonts w:hint="eastAsia"/>
                <w:color w:val="auto"/>
                <w:szCs w:val="21"/>
                <w:highlight w:val="none"/>
                <w:lang w:bidi="ar"/>
              </w:rPr>
              <w:t>3.8.2 直接显示实验流程和每一步的实验条件，可直接调用模板，删除、添加实验步骤，可自行修改每一步骤的参数。</w:t>
            </w:r>
          </w:p>
          <w:p>
            <w:pPr>
              <w:widowControl/>
              <w:rPr>
                <w:color w:val="auto"/>
                <w:sz w:val="24"/>
                <w:highlight w:val="none"/>
              </w:rPr>
            </w:pPr>
            <w:r>
              <w:rPr>
                <w:rFonts w:hint="eastAsia"/>
                <w:color w:val="auto"/>
                <w:szCs w:val="21"/>
                <w:highlight w:val="none"/>
                <w:lang w:bidi="ar"/>
              </w:rPr>
              <w:t>3.8.3 智能实验设计模块，根据用户要求给出实验设计方案，同时改变多个变量，用少量的实验次数得到系统信息便于分析条件优化。符合关于设计、分析和生产流程控制的的规定。</w:t>
            </w:r>
          </w:p>
          <w:p>
            <w:pPr>
              <w:widowControl/>
              <w:textAlignment w:val="center"/>
              <w:rPr>
                <w:color w:val="auto"/>
                <w:szCs w:val="21"/>
                <w:highlight w:val="none"/>
              </w:rPr>
            </w:pPr>
            <w:r>
              <w:rPr>
                <w:rFonts w:hint="eastAsia"/>
                <w:color w:val="auto"/>
                <w:szCs w:val="21"/>
                <w:highlight w:val="none"/>
                <w:lang w:bidi="ar"/>
              </w:rPr>
              <w:t>3.8.4  26种缓冲液配方，能自动配出16种pH间隔0.1的缓冲液，便于pH优化。</w:t>
            </w:r>
          </w:p>
          <w:p>
            <w:pPr>
              <w:widowControl/>
              <w:textAlignment w:val="center"/>
              <w:rPr>
                <w:color w:val="auto"/>
                <w:szCs w:val="21"/>
                <w:highlight w:val="none"/>
              </w:rPr>
            </w:pPr>
            <w:r>
              <w:rPr>
                <w:rFonts w:hint="eastAsia"/>
                <w:color w:val="auto"/>
                <w:szCs w:val="21"/>
                <w:highlight w:val="none"/>
                <w:lang w:bidi="ar"/>
              </w:rPr>
              <w:t>3.8.5 自动数据处理和打印报告，并可修改报告模式。</w:t>
            </w:r>
          </w:p>
          <w:p>
            <w:pPr>
              <w:widowControl/>
              <w:textAlignment w:val="center"/>
              <w:rPr>
                <w:color w:val="auto"/>
                <w:szCs w:val="21"/>
                <w:highlight w:val="none"/>
              </w:rPr>
            </w:pPr>
            <w:r>
              <w:rPr>
                <w:rFonts w:hint="eastAsia"/>
                <w:color w:val="auto"/>
                <w:szCs w:val="21"/>
                <w:highlight w:val="none"/>
                <w:lang w:bidi="ar"/>
              </w:rPr>
              <w:t>3.8.6 流路实时在线显示，实时监控。</w:t>
            </w:r>
          </w:p>
          <w:p>
            <w:pPr>
              <w:widowControl/>
              <w:textAlignment w:val="center"/>
              <w:rPr>
                <w:color w:val="auto"/>
                <w:szCs w:val="21"/>
                <w:highlight w:val="none"/>
              </w:rPr>
            </w:pPr>
            <w:r>
              <w:rPr>
                <w:rFonts w:hint="eastAsia"/>
                <w:color w:val="auto"/>
                <w:szCs w:val="21"/>
                <w:highlight w:val="none"/>
                <w:lang w:bidi="ar"/>
              </w:rPr>
              <w:t>3.8.7 便于系统管理和网络连接。易于从实验室研究放大到生产规模。</w:t>
            </w:r>
          </w:p>
          <w:p>
            <w:pPr>
              <w:widowControl/>
              <w:textAlignment w:val="center"/>
              <w:rPr>
                <w:color w:val="auto"/>
                <w:szCs w:val="21"/>
                <w:highlight w:val="none"/>
              </w:rPr>
            </w:pPr>
            <w:r>
              <w:rPr>
                <w:rFonts w:hint="eastAsia"/>
                <w:color w:val="auto"/>
                <w:szCs w:val="21"/>
                <w:highlight w:val="none"/>
                <w:lang w:bidi="ar"/>
              </w:rPr>
              <w:t>3.8.8 符合GMP/GLP要求。</w:t>
            </w:r>
          </w:p>
          <w:p>
            <w:pPr>
              <w:widowControl/>
              <w:textAlignment w:val="center"/>
              <w:rPr>
                <w:color w:val="auto"/>
                <w:szCs w:val="21"/>
                <w:highlight w:val="none"/>
              </w:rPr>
            </w:pPr>
            <w:r>
              <w:rPr>
                <w:rFonts w:hint="eastAsia"/>
                <w:color w:val="auto"/>
                <w:szCs w:val="21"/>
                <w:highlight w:val="none"/>
                <w:lang w:bidi="ar"/>
              </w:rPr>
              <w:t>3.8.9 多级用户管理模式和电子签名。方便实验室管理和工业生产的软件规范。</w:t>
            </w:r>
          </w:p>
          <w:p>
            <w:pPr>
              <w:widowControl/>
              <w:textAlignment w:val="center"/>
              <w:rPr>
                <w:color w:val="auto"/>
                <w:szCs w:val="21"/>
                <w:highlight w:val="none"/>
              </w:rPr>
            </w:pPr>
            <w:r>
              <w:rPr>
                <w:rFonts w:hint="eastAsia"/>
                <w:color w:val="auto"/>
                <w:szCs w:val="21"/>
                <w:highlight w:val="none"/>
                <w:lang w:bidi="ar"/>
              </w:rPr>
              <w:t>3.8.10 内置100种分析柱信息，直接选择分析柱、智能编程。</w:t>
            </w:r>
          </w:p>
          <w:p>
            <w:pPr>
              <w:widowControl/>
              <w:textAlignment w:val="center"/>
              <w:rPr>
                <w:color w:val="auto"/>
                <w:szCs w:val="21"/>
                <w:highlight w:val="none"/>
              </w:rPr>
            </w:pPr>
            <w:r>
              <w:rPr>
                <w:rFonts w:hint="eastAsia"/>
                <w:color w:val="auto"/>
                <w:szCs w:val="21"/>
                <w:highlight w:val="none"/>
                <w:lang w:bidi="ar"/>
              </w:rPr>
              <w:t>3.8.11 具备监控功能，保证每一次运行过程中电导，pH，温度等检测的成功运行。</w:t>
            </w:r>
          </w:p>
          <w:p>
            <w:pPr>
              <w:widowControl/>
              <w:textAlignment w:val="center"/>
              <w:rPr>
                <w:color w:val="auto"/>
                <w:szCs w:val="21"/>
                <w:highlight w:val="none"/>
              </w:rPr>
            </w:pPr>
            <w:r>
              <w:rPr>
                <w:rFonts w:hint="eastAsia"/>
                <w:color w:val="auto"/>
                <w:szCs w:val="21"/>
                <w:highlight w:val="none"/>
                <w:lang w:bidi="ar"/>
              </w:rPr>
              <w:t>3.8.12 压力控制模式在超压时，降低流速，从而保证整个实验过程不超压连续运行。</w:t>
            </w:r>
          </w:p>
          <w:p>
            <w:pPr>
              <w:widowControl/>
              <w:textAlignment w:val="center"/>
              <w:rPr>
                <w:color w:val="auto"/>
                <w:szCs w:val="21"/>
                <w:highlight w:val="none"/>
              </w:rPr>
            </w:pPr>
            <w:r>
              <w:rPr>
                <w:rFonts w:hint="eastAsia"/>
                <w:color w:val="auto"/>
                <w:szCs w:val="21"/>
                <w:highlight w:val="none"/>
                <w:lang w:bidi="ar"/>
              </w:rPr>
              <w:t>3.8.13 手动运行的结果可储存，便于实验后的查找。</w:t>
            </w:r>
          </w:p>
          <w:p>
            <w:pPr>
              <w:widowControl/>
              <w:textAlignment w:val="center"/>
              <w:rPr>
                <w:color w:val="auto"/>
                <w:szCs w:val="21"/>
                <w:highlight w:val="none"/>
              </w:rPr>
            </w:pPr>
            <w:r>
              <w:rPr>
                <w:rFonts w:hint="eastAsia"/>
                <w:color w:val="auto"/>
                <w:szCs w:val="21"/>
                <w:highlight w:val="none"/>
                <w:lang w:bidi="ar"/>
              </w:rPr>
              <w:t>3.8.14 各软件模块之间可自由转换，系统在运行时也可以同时进行方法编辑和结果处理。</w:t>
            </w:r>
          </w:p>
          <w:p>
            <w:pPr>
              <w:widowControl/>
              <w:textAlignment w:val="center"/>
              <w:rPr>
                <w:color w:val="auto"/>
                <w:szCs w:val="21"/>
                <w:highlight w:val="none"/>
              </w:rPr>
            </w:pPr>
            <w:r>
              <w:rPr>
                <w:rFonts w:hint="eastAsia"/>
                <w:color w:val="auto"/>
                <w:szCs w:val="21"/>
                <w:highlight w:val="none"/>
                <w:lang w:bidi="ar"/>
              </w:rPr>
              <w:t>3.9 工作站一台（win10操作系统，I5处理器，16G RAM，1T硬盘，22英寸显示装置），配置无线网卡。</w:t>
            </w:r>
          </w:p>
          <w:p>
            <w:pPr>
              <w:widowControl/>
              <w:textAlignment w:val="center"/>
              <w:rPr>
                <w:color w:val="auto"/>
                <w:szCs w:val="21"/>
                <w:highlight w:val="none"/>
              </w:rPr>
            </w:pPr>
            <w:r>
              <w:rPr>
                <w:rFonts w:hint="eastAsia"/>
                <w:color w:val="auto"/>
                <w:szCs w:val="21"/>
                <w:highlight w:val="none"/>
                <w:lang w:bidi="ar"/>
              </w:rPr>
              <w:t>3.10 保证仪器正常运行和常规保养所需的附件、专用工具：样品环，收集管架，柱架，管线，在线过滤器各一套。</w:t>
            </w:r>
          </w:p>
          <w:p>
            <w:pPr>
              <w:widowControl/>
              <w:textAlignment w:val="center"/>
              <w:rPr>
                <w:rFonts w:hint="eastAsia" w:ascii="宋体" w:hAnsi="宋体"/>
                <w:color w:val="auto"/>
                <w:spacing w:val="10"/>
                <w:kern w:val="0"/>
                <w:sz w:val="28"/>
                <w:szCs w:val="28"/>
                <w:highlight w:val="none"/>
              </w:rPr>
            </w:pPr>
            <w:r>
              <w:rPr>
                <w:rFonts w:hint="eastAsia"/>
                <w:color w:val="auto"/>
                <w:szCs w:val="21"/>
                <w:highlight w:val="none"/>
                <w:lang w:bidi="ar"/>
              </w:rPr>
              <w:t xml:space="preserve">3.11 </w:t>
            </w:r>
            <w:r>
              <w:rPr>
                <w:rStyle w:val="17"/>
                <w:rFonts w:hint="default"/>
                <w:color w:val="auto"/>
                <w:highlight w:val="none"/>
                <w:lang w:bidi="ar"/>
              </w:rPr>
              <w:t xml:space="preserve"> UPS一台  运行时间2小时</w:t>
            </w:r>
          </w:p>
        </w:tc>
        <w:tc>
          <w:tcPr>
            <w:tcW w:w="992" w:type="dxa"/>
            <w:tcBorders>
              <w:top w:val="single" w:color="000000" w:sz="4" w:space="0"/>
              <w:left w:val="nil"/>
              <w:bottom w:val="single" w:color="000000" w:sz="4" w:space="0"/>
              <w:right w:val="single" w:color="000000" w:sz="4" w:space="0"/>
            </w:tcBorders>
            <w:vAlign w:val="center"/>
          </w:tcPr>
          <w:p>
            <w:pPr>
              <w:widowControl/>
              <w:jc w:val="center"/>
              <w:rPr>
                <w:color w:val="auto"/>
                <w:kern w:val="0"/>
                <w:sz w:val="28"/>
                <w:szCs w:val="28"/>
                <w:highlight w:val="none"/>
              </w:rPr>
            </w:pPr>
            <w:r>
              <w:rPr>
                <w:rFonts w:hint="eastAsia"/>
                <w:bCs/>
                <w:color w:val="auto"/>
                <w:szCs w:val="21"/>
                <w:highlight w:val="none"/>
              </w:rPr>
              <w:t>瑞典</w:t>
            </w:r>
          </w:p>
        </w:tc>
        <w:tc>
          <w:tcPr>
            <w:tcW w:w="997" w:type="dxa"/>
            <w:tcBorders>
              <w:top w:val="single" w:color="000000" w:sz="4" w:space="0"/>
              <w:left w:val="nil"/>
              <w:bottom w:val="single" w:color="000000" w:sz="4" w:space="0"/>
              <w:right w:val="single" w:color="000000" w:sz="4" w:space="0"/>
            </w:tcBorders>
            <w:vAlign w:val="center"/>
          </w:tcPr>
          <w:p>
            <w:pPr>
              <w:widowControl/>
              <w:jc w:val="center"/>
              <w:rPr>
                <w:color w:val="auto"/>
                <w:kern w:val="0"/>
                <w:sz w:val="28"/>
                <w:szCs w:val="28"/>
                <w:highlight w:val="none"/>
              </w:rPr>
            </w:pPr>
            <w:r>
              <w:rPr>
                <w:rFonts w:hint="eastAsia"/>
                <w:bCs/>
                <w:color w:val="auto"/>
                <w:szCs w:val="21"/>
                <w:highlight w:val="none"/>
              </w:rPr>
              <w:t>Cytiva Sweden AB</w:t>
            </w:r>
          </w:p>
        </w:tc>
      </w:tr>
      <w:tr>
        <w:tblPrEx>
          <w:tblCellMar>
            <w:top w:w="0" w:type="dxa"/>
            <w:left w:w="108" w:type="dxa"/>
            <w:bottom w:w="0" w:type="dxa"/>
            <w:right w:w="108" w:type="dxa"/>
          </w:tblCellMar>
        </w:tblPrEx>
        <w:trPr>
          <w:trHeight w:val="888"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jc w:val="center"/>
              <w:rPr>
                <w:color w:val="auto"/>
                <w:szCs w:val="21"/>
                <w:highlight w:val="none"/>
              </w:rPr>
            </w:pPr>
            <w:r>
              <w:rPr>
                <w:rFonts w:hint="eastAsia"/>
                <w:color w:val="auto"/>
                <w:szCs w:val="21"/>
                <w:highlight w:val="none"/>
              </w:rPr>
              <w:t>生物分子互作系统</w:t>
            </w:r>
          </w:p>
        </w:tc>
        <w:tc>
          <w:tcPr>
            <w:tcW w:w="1294" w:type="dxa"/>
            <w:tcBorders>
              <w:top w:val="single" w:color="000000" w:sz="4" w:space="0"/>
              <w:left w:val="nil"/>
              <w:bottom w:val="single" w:color="000000" w:sz="4" w:space="0"/>
              <w:right w:val="single" w:color="000000" w:sz="4" w:space="0"/>
            </w:tcBorders>
            <w:shd w:val="clear" w:color="auto" w:fill="auto"/>
            <w:vAlign w:val="center"/>
          </w:tcPr>
          <w:p>
            <w:pPr>
              <w:adjustRightInd w:val="0"/>
              <w:jc w:val="center"/>
              <w:rPr>
                <w:bCs/>
                <w:color w:val="auto"/>
                <w:szCs w:val="21"/>
                <w:highlight w:val="none"/>
              </w:rPr>
            </w:pPr>
            <w:r>
              <w:rPr>
                <w:rFonts w:hint="eastAsia"/>
                <w:bCs/>
                <w:color w:val="auto"/>
                <w:szCs w:val="21"/>
                <w:highlight w:val="none"/>
              </w:rPr>
              <w:t>Cytiva,Biacore</w:t>
            </w:r>
          </w:p>
          <w:p>
            <w:pPr>
              <w:adjustRightInd w:val="0"/>
              <w:jc w:val="center"/>
              <w:rPr>
                <w:bCs/>
                <w:color w:val="auto"/>
                <w:szCs w:val="21"/>
                <w:highlight w:val="none"/>
              </w:rPr>
            </w:pPr>
            <w:r>
              <w:rPr>
                <w:rFonts w:hint="eastAsia"/>
                <w:bCs/>
                <w:color w:val="auto"/>
                <w:szCs w:val="21"/>
                <w:highlight w:val="none"/>
              </w:rPr>
              <w:t>T200</w:t>
            </w:r>
          </w:p>
        </w:tc>
        <w:tc>
          <w:tcPr>
            <w:tcW w:w="4629" w:type="dxa"/>
            <w:tcBorders>
              <w:top w:val="single" w:color="000000" w:sz="4" w:space="0"/>
              <w:left w:val="nil"/>
              <w:bottom w:val="single" w:color="000000" w:sz="4" w:space="0"/>
              <w:right w:val="single" w:color="000000" w:sz="4" w:space="0"/>
            </w:tcBorders>
            <w:shd w:val="clear" w:color="auto" w:fill="auto"/>
            <w:vAlign w:val="center"/>
          </w:tcPr>
          <w:p>
            <w:pPr>
              <w:widowControl/>
              <w:textAlignment w:val="center"/>
              <w:rPr>
                <w:color w:val="auto"/>
                <w:szCs w:val="21"/>
                <w:highlight w:val="none"/>
                <w:lang w:bidi="ar"/>
              </w:rPr>
            </w:pPr>
            <w:r>
              <w:rPr>
                <w:rFonts w:hint="eastAsia"/>
                <w:color w:val="auto"/>
                <w:szCs w:val="21"/>
                <w:highlight w:val="none"/>
                <w:lang w:bidi="ar"/>
              </w:rPr>
              <w:t>1.功能</w:t>
            </w:r>
          </w:p>
          <w:p>
            <w:pPr>
              <w:widowControl/>
              <w:textAlignment w:val="center"/>
              <w:rPr>
                <w:color w:val="auto"/>
                <w:szCs w:val="21"/>
                <w:highlight w:val="none"/>
              </w:rPr>
            </w:pPr>
            <w:r>
              <w:rPr>
                <w:rFonts w:hint="eastAsia"/>
                <w:color w:val="auto"/>
                <w:szCs w:val="21"/>
                <w:highlight w:val="none"/>
                <w:lang w:bidi="ar"/>
              </w:rPr>
              <w:t>功能：实时、直接、动态的观测分子间相互作用的全过程，并给出其结合的特异性，结合强弱（即亲和力）以及分子识别的快慢与结合复合体的稳定性（动力学），阐述多个分子（或亚基）之间的组装过程以及顺序，作用机制（Mechanism of Action, MOA）以及构效关系（Structure-Activity Relationship, SAR）。</w:t>
            </w:r>
          </w:p>
          <w:p>
            <w:pPr>
              <w:widowControl/>
              <w:textAlignment w:val="center"/>
              <w:rPr>
                <w:color w:val="auto"/>
                <w:szCs w:val="21"/>
                <w:highlight w:val="none"/>
              </w:rPr>
            </w:pPr>
            <w:r>
              <w:rPr>
                <w:rFonts w:hint="eastAsia"/>
                <w:color w:val="auto"/>
                <w:szCs w:val="21"/>
                <w:highlight w:val="none"/>
                <w:lang w:bidi="ar"/>
              </w:rPr>
              <w:t>用途：能够用于基础科研的多个环节，包括但不限于：互作因子筛选与发现，亲和力与动力学等互作信息的综合性表征，结合关键结构域、关键氨基酸、关键核酸位点、关键碱基的发现与鉴定，蛋白翻译后修饰研究，小分子化合物或抗原/抗体互作的筛选、鉴定、分级、分型、结构优化以及表位作图等，以及药物分子活性浓度、有效成分测定等。</w:t>
            </w:r>
          </w:p>
          <w:p>
            <w:pPr>
              <w:widowControl/>
              <w:textAlignment w:val="center"/>
              <w:rPr>
                <w:color w:val="auto"/>
                <w:szCs w:val="21"/>
                <w:highlight w:val="none"/>
              </w:rPr>
            </w:pPr>
            <w:r>
              <w:rPr>
                <w:rFonts w:hint="eastAsia"/>
                <w:color w:val="auto"/>
                <w:szCs w:val="21"/>
                <w:highlight w:val="none"/>
                <w:lang w:bidi="ar"/>
              </w:rPr>
              <w:t>2.配置清单：</w:t>
            </w:r>
          </w:p>
          <w:p>
            <w:pPr>
              <w:widowControl/>
              <w:textAlignment w:val="center"/>
              <w:rPr>
                <w:color w:val="auto"/>
                <w:szCs w:val="21"/>
                <w:highlight w:val="none"/>
              </w:rPr>
            </w:pPr>
            <w:r>
              <w:rPr>
                <w:rFonts w:hint="eastAsia"/>
                <w:color w:val="auto"/>
                <w:szCs w:val="21"/>
                <w:highlight w:val="none"/>
                <w:lang w:bidi="ar"/>
              </w:rPr>
              <w:t>2.1表面等离子共振生物分子互作分析系统主机1套</w:t>
            </w:r>
          </w:p>
          <w:p>
            <w:pPr>
              <w:widowControl/>
              <w:textAlignment w:val="center"/>
              <w:rPr>
                <w:color w:val="auto"/>
                <w:szCs w:val="21"/>
                <w:highlight w:val="none"/>
              </w:rPr>
            </w:pPr>
            <w:r>
              <w:rPr>
                <w:rFonts w:hint="eastAsia"/>
                <w:color w:val="auto"/>
                <w:szCs w:val="21"/>
                <w:highlight w:val="none"/>
                <w:lang w:bidi="ar"/>
              </w:rPr>
              <w:t>包括芯片表面温控、在线脱气、浓度分析模块</w:t>
            </w:r>
          </w:p>
          <w:p>
            <w:pPr>
              <w:widowControl/>
              <w:textAlignment w:val="center"/>
              <w:rPr>
                <w:color w:val="auto"/>
                <w:szCs w:val="21"/>
                <w:highlight w:val="none"/>
              </w:rPr>
            </w:pPr>
            <w:r>
              <w:rPr>
                <w:rFonts w:hint="eastAsia"/>
                <w:color w:val="auto"/>
                <w:szCs w:val="21"/>
                <w:highlight w:val="none"/>
                <w:lang w:bidi="ar"/>
              </w:rPr>
              <w:t>2.2系统操作工具包：          1套</w:t>
            </w:r>
          </w:p>
          <w:p>
            <w:pPr>
              <w:widowControl/>
              <w:textAlignment w:val="center"/>
              <w:rPr>
                <w:color w:val="auto"/>
                <w:szCs w:val="21"/>
                <w:highlight w:val="none"/>
              </w:rPr>
            </w:pPr>
            <w:r>
              <w:rPr>
                <w:rFonts w:hint="eastAsia"/>
                <w:color w:val="auto"/>
                <w:szCs w:val="21"/>
                <w:highlight w:val="none"/>
                <w:lang w:bidi="ar"/>
              </w:rPr>
              <w:t>2.3配套芯片及试剂：          1套</w:t>
            </w:r>
          </w:p>
          <w:p>
            <w:pPr>
              <w:widowControl/>
              <w:textAlignment w:val="center"/>
              <w:rPr>
                <w:color w:val="auto"/>
                <w:szCs w:val="21"/>
                <w:highlight w:val="none"/>
              </w:rPr>
            </w:pPr>
            <w:r>
              <w:rPr>
                <w:rFonts w:hint="eastAsia"/>
                <w:color w:val="auto"/>
                <w:szCs w:val="21"/>
                <w:highlight w:val="none"/>
                <w:lang w:bidi="ar"/>
              </w:rPr>
              <w:t>2.4操作及分析软件：          1套</w:t>
            </w:r>
          </w:p>
          <w:p>
            <w:pPr>
              <w:widowControl/>
              <w:textAlignment w:val="center"/>
              <w:rPr>
                <w:color w:val="auto"/>
                <w:szCs w:val="21"/>
                <w:highlight w:val="none"/>
              </w:rPr>
            </w:pPr>
            <w:r>
              <w:rPr>
                <w:rFonts w:hint="eastAsia"/>
                <w:color w:val="auto"/>
                <w:szCs w:val="21"/>
                <w:highlight w:val="none"/>
                <w:lang w:bidi="ar"/>
              </w:rPr>
              <w:t>2.5工作站：                  1套</w:t>
            </w:r>
          </w:p>
          <w:p>
            <w:pPr>
              <w:widowControl/>
              <w:textAlignment w:val="center"/>
              <w:rPr>
                <w:color w:val="auto"/>
                <w:szCs w:val="21"/>
                <w:highlight w:val="none"/>
              </w:rPr>
            </w:pPr>
            <w:r>
              <w:rPr>
                <w:rFonts w:hint="eastAsia"/>
                <w:color w:val="auto"/>
                <w:szCs w:val="21"/>
                <w:highlight w:val="none"/>
                <w:lang w:bidi="ar"/>
              </w:rPr>
              <w:t>2.6 UPS 不间断电源：          1套</w:t>
            </w:r>
          </w:p>
          <w:p>
            <w:pPr>
              <w:widowControl/>
              <w:textAlignment w:val="center"/>
              <w:rPr>
                <w:color w:val="auto"/>
                <w:szCs w:val="21"/>
                <w:highlight w:val="none"/>
              </w:rPr>
            </w:pPr>
            <w:r>
              <w:rPr>
                <w:rFonts w:hint="eastAsia"/>
                <w:color w:val="auto"/>
                <w:szCs w:val="21"/>
                <w:highlight w:val="none"/>
                <w:lang w:bidi="ar"/>
              </w:rPr>
              <w:t>3.技术指标：</w:t>
            </w:r>
          </w:p>
          <w:p>
            <w:pPr>
              <w:widowControl/>
              <w:textAlignment w:val="center"/>
              <w:rPr>
                <w:color w:val="auto"/>
                <w:szCs w:val="21"/>
                <w:highlight w:val="none"/>
              </w:rPr>
            </w:pPr>
            <w:r>
              <w:rPr>
                <w:rFonts w:hint="eastAsia"/>
                <w:color w:val="auto"/>
                <w:szCs w:val="21"/>
                <w:highlight w:val="none"/>
                <w:lang w:bidi="ar"/>
              </w:rPr>
              <w:t>3.1检测技术：基于表面等离子共振SPR，可对标记及无标记样品进行实时检测。</w:t>
            </w:r>
          </w:p>
          <w:p>
            <w:pPr>
              <w:widowControl/>
              <w:textAlignment w:val="center"/>
              <w:rPr>
                <w:color w:val="auto"/>
                <w:szCs w:val="21"/>
                <w:highlight w:val="none"/>
                <w:lang w:bidi="ar"/>
              </w:rPr>
            </w:pPr>
            <w:r>
              <w:rPr>
                <w:rFonts w:hint="eastAsia"/>
                <w:color w:val="auto"/>
                <w:szCs w:val="21"/>
                <w:highlight w:val="none"/>
                <w:lang w:bidi="ar"/>
              </w:rPr>
              <w:t>3.2 检测范围：能够检测蛋白、多肽、抗原/抗体、核酸（含DNA、RNA）脂类、多糖等生物大分子，能够检测小分子化合物、有机小分子等，能够检测细胞、细菌、病毒、脂质体等。</w:t>
            </w:r>
          </w:p>
          <w:p>
            <w:pPr>
              <w:widowControl/>
              <w:textAlignment w:val="center"/>
              <w:rPr>
                <w:color w:val="auto"/>
                <w:szCs w:val="21"/>
                <w:highlight w:val="none"/>
              </w:rPr>
            </w:pPr>
            <w:r>
              <w:rPr>
                <w:rFonts w:hint="eastAsia"/>
                <w:color w:val="auto"/>
                <w:szCs w:val="21"/>
                <w:highlight w:val="none"/>
                <w:lang w:bidi="ar"/>
              </w:rPr>
              <w:t>3.3 应用范围：</w:t>
            </w:r>
          </w:p>
          <w:p>
            <w:pPr>
              <w:widowControl/>
              <w:textAlignment w:val="center"/>
              <w:rPr>
                <w:color w:val="auto"/>
                <w:szCs w:val="21"/>
                <w:highlight w:val="none"/>
              </w:rPr>
            </w:pPr>
            <w:r>
              <w:rPr>
                <w:rFonts w:hint="eastAsia"/>
                <w:color w:val="auto"/>
                <w:szCs w:val="21"/>
                <w:highlight w:val="none"/>
                <w:lang w:bidi="ar"/>
              </w:rPr>
              <w:t>3.3.1 互作靶标分子的筛选：软件具有自动化的筛选方法。</w:t>
            </w:r>
          </w:p>
          <w:p>
            <w:pPr>
              <w:widowControl/>
              <w:textAlignment w:val="center"/>
              <w:rPr>
                <w:color w:val="auto"/>
                <w:szCs w:val="21"/>
                <w:highlight w:val="none"/>
              </w:rPr>
            </w:pPr>
            <w:r>
              <w:rPr>
                <w:rFonts w:hint="eastAsia"/>
                <w:color w:val="auto"/>
                <w:szCs w:val="21"/>
                <w:highlight w:val="none"/>
                <w:lang w:bidi="ar"/>
              </w:rPr>
              <w:t>3.3.2 能够检测样品间有无结合、检测样品结合的特异性、检测样品结合亲和力测定（KD）、检测样品结合动力学测定（KA、KD）。</w:t>
            </w:r>
          </w:p>
          <w:p>
            <w:pPr>
              <w:widowControl/>
              <w:textAlignment w:val="center"/>
              <w:rPr>
                <w:color w:val="auto"/>
                <w:szCs w:val="21"/>
                <w:highlight w:val="none"/>
              </w:rPr>
            </w:pPr>
            <w:r>
              <w:rPr>
                <w:rFonts w:hint="eastAsia"/>
                <w:color w:val="auto"/>
                <w:szCs w:val="21"/>
                <w:highlight w:val="none"/>
                <w:lang w:bidi="ar"/>
              </w:rPr>
              <w:t>3.3.3 样品结合活性浓度测定：具有基于标准品的相对浓度测定及无需标准品的绝对浓度测定。</w:t>
            </w:r>
          </w:p>
          <w:p>
            <w:pPr>
              <w:widowControl/>
              <w:textAlignment w:val="center"/>
              <w:rPr>
                <w:color w:val="auto"/>
                <w:szCs w:val="21"/>
                <w:highlight w:val="none"/>
              </w:rPr>
            </w:pPr>
            <w:r>
              <w:rPr>
                <w:rFonts w:hint="eastAsia"/>
                <w:color w:val="auto"/>
                <w:szCs w:val="21"/>
                <w:highlight w:val="none"/>
                <w:lang w:bidi="ar"/>
              </w:rPr>
              <w:t>3.3.4 结合热力学检测：原厂软件具有热力学检测方法和分析方法。</w:t>
            </w:r>
          </w:p>
          <w:p>
            <w:pPr>
              <w:widowControl/>
              <w:textAlignment w:val="center"/>
              <w:rPr>
                <w:color w:val="auto"/>
                <w:szCs w:val="21"/>
                <w:highlight w:val="none"/>
              </w:rPr>
            </w:pPr>
            <w:r>
              <w:rPr>
                <w:rFonts w:hint="eastAsia"/>
                <w:color w:val="auto"/>
                <w:szCs w:val="21"/>
                <w:highlight w:val="none"/>
                <w:lang w:bidi="ar"/>
              </w:rPr>
              <w:t>3.3.5 具备检测免疫原性功能：仪器具有在线酸化模块，可通过在线酸化分离复合物得到游离的抗药抗体，以检测真实的抗药抗体的产生水平。</w:t>
            </w:r>
          </w:p>
          <w:p>
            <w:pPr>
              <w:widowControl/>
              <w:textAlignment w:val="center"/>
              <w:rPr>
                <w:color w:val="auto"/>
                <w:szCs w:val="21"/>
                <w:highlight w:val="none"/>
                <w:lang w:bidi="ar"/>
              </w:rPr>
            </w:pPr>
            <w:r>
              <w:rPr>
                <w:rFonts w:hint="eastAsia"/>
                <w:color w:val="auto"/>
                <w:szCs w:val="21"/>
                <w:highlight w:val="none"/>
                <w:lang w:bidi="ar"/>
              </w:rPr>
              <w:t>3.3.6 配备样品回收模块，回收的样品可与质谱、HPLC等联用，进行样品的回收与鉴定。</w:t>
            </w:r>
          </w:p>
          <w:p>
            <w:pPr>
              <w:widowControl/>
              <w:textAlignment w:val="center"/>
              <w:rPr>
                <w:color w:val="auto"/>
                <w:szCs w:val="21"/>
                <w:highlight w:val="none"/>
              </w:rPr>
            </w:pPr>
            <w:r>
              <w:rPr>
                <w:rFonts w:hint="eastAsia"/>
                <w:color w:val="auto"/>
                <w:szCs w:val="21"/>
                <w:highlight w:val="none"/>
                <w:lang w:bidi="ar"/>
              </w:rPr>
              <w:t>3.3.7 一致性评价：设备及软件可自动进行分子间一致性评价检测及分析，无需第三方软件分析。</w:t>
            </w:r>
          </w:p>
          <w:p>
            <w:pPr>
              <w:widowControl/>
              <w:textAlignment w:val="center"/>
              <w:rPr>
                <w:color w:val="auto"/>
                <w:szCs w:val="21"/>
                <w:highlight w:val="none"/>
              </w:rPr>
            </w:pPr>
            <w:r>
              <w:rPr>
                <w:rFonts w:hint="eastAsia"/>
                <w:color w:val="auto"/>
                <w:szCs w:val="21"/>
                <w:highlight w:val="none"/>
                <w:lang w:bidi="ar"/>
              </w:rPr>
              <w:t>3.4 亲和力、动力学等常数测定结果范围：</w:t>
            </w:r>
          </w:p>
          <w:p>
            <w:pPr>
              <w:widowControl/>
              <w:textAlignment w:val="center"/>
              <w:rPr>
                <w:color w:val="auto"/>
                <w:szCs w:val="21"/>
                <w:highlight w:val="none"/>
              </w:rPr>
            </w:pPr>
            <w:r>
              <w:rPr>
                <w:rFonts w:hint="eastAsia"/>
                <w:color w:val="auto"/>
                <w:szCs w:val="21"/>
                <w:highlight w:val="none"/>
                <w:lang w:bidi="ar"/>
              </w:rPr>
              <w:t>3.4.1 结合速率常数(KA)范围：10</w:t>
            </w:r>
            <w:r>
              <w:rPr>
                <w:rStyle w:val="18"/>
                <w:rFonts w:hint="default"/>
                <w:color w:val="auto"/>
                <w:highlight w:val="none"/>
                <w:lang w:bidi="ar"/>
              </w:rPr>
              <w:t>3</w:t>
            </w:r>
            <w:r>
              <w:rPr>
                <w:rStyle w:val="17"/>
                <w:rFonts w:hint="default"/>
                <w:color w:val="auto"/>
                <w:highlight w:val="none"/>
                <w:lang w:bidi="ar"/>
              </w:rPr>
              <w:t xml:space="preserve"> - 3x10</w:t>
            </w:r>
            <w:r>
              <w:rPr>
                <w:rStyle w:val="18"/>
                <w:rFonts w:hint="default"/>
                <w:color w:val="auto"/>
                <w:highlight w:val="none"/>
                <w:lang w:bidi="ar"/>
              </w:rPr>
              <w:t>9</w:t>
            </w:r>
            <w:r>
              <w:rPr>
                <w:rStyle w:val="17"/>
                <w:rFonts w:hint="default"/>
                <w:color w:val="auto"/>
                <w:highlight w:val="none"/>
                <w:lang w:bidi="ar"/>
              </w:rPr>
              <w:t xml:space="preserve"> M</w:t>
            </w:r>
            <w:r>
              <w:rPr>
                <w:rStyle w:val="18"/>
                <w:rFonts w:hint="default"/>
                <w:color w:val="auto"/>
                <w:highlight w:val="none"/>
                <w:lang w:bidi="ar"/>
              </w:rPr>
              <w:t>-1</w:t>
            </w:r>
            <w:r>
              <w:rPr>
                <w:rStyle w:val="17"/>
                <w:rFonts w:hint="default"/>
                <w:color w:val="auto"/>
                <w:highlight w:val="none"/>
                <w:lang w:bidi="ar"/>
              </w:rPr>
              <w:t>S</w:t>
            </w:r>
            <w:r>
              <w:rPr>
                <w:rStyle w:val="18"/>
                <w:rFonts w:hint="default"/>
                <w:color w:val="auto"/>
                <w:highlight w:val="none"/>
                <w:lang w:bidi="ar"/>
              </w:rPr>
              <w:t>-1</w:t>
            </w:r>
          </w:p>
          <w:p>
            <w:pPr>
              <w:widowControl/>
              <w:textAlignment w:val="center"/>
              <w:rPr>
                <w:color w:val="auto"/>
                <w:szCs w:val="21"/>
                <w:highlight w:val="none"/>
              </w:rPr>
            </w:pPr>
            <w:r>
              <w:rPr>
                <w:rFonts w:hint="eastAsia"/>
                <w:color w:val="auto"/>
                <w:szCs w:val="21"/>
                <w:highlight w:val="none"/>
                <w:lang w:bidi="ar"/>
              </w:rPr>
              <w:t>3.4.2 解离速率常数(KD)范围：10</w:t>
            </w:r>
            <w:r>
              <w:rPr>
                <w:rStyle w:val="18"/>
                <w:rFonts w:hint="default"/>
                <w:color w:val="auto"/>
                <w:highlight w:val="none"/>
                <w:lang w:bidi="ar"/>
              </w:rPr>
              <w:t>-5</w:t>
            </w:r>
            <w:r>
              <w:rPr>
                <w:rStyle w:val="17"/>
                <w:rFonts w:hint="default"/>
                <w:color w:val="auto"/>
                <w:highlight w:val="none"/>
                <w:lang w:bidi="ar"/>
              </w:rPr>
              <w:t>–1S</w:t>
            </w:r>
            <w:r>
              <w:rPr>
                <w:rStyle w:val="18"/>
                <w:rFonts w:hint="default"/>
                <w:color w:val="auto"/>
                <w:highlight w:val="none"/>
                <w:lang w:bidi="ar"/>
              </w:rPr>
              <w:t>-1</w:t>
            </w:r>
          </w:p>
          <w:p>
            <w:pPr>
              <w:widowControl/>
              <w:textAlignment w:val="center"/>
              <w:rPr>
                <w:color w:val="auto"/>
                <w:szCs w:val="21"/>
                <w:highlight w:val="none"/>
              </w:rPr>
            </w:pPr>
            <w:r>
              <w:rPr>
                <w:rFonts w:hint="eastAsia"/>
                <w:color w:val="auto"/>
                <w:szCs w:val="21"/>
                <w:highlight w:val="none"/>
                <w:lang w:bidi="ar"/>
              </w:rPr>
              <w:t>3.4.3 亲和力（KD）范围：10</w:t>
            </w:r>
            <w:r>
              <w:rPr>
                <w:rStyle w:val="18"/>
                <w:rFonts w:hint="default"/>
                <w:color w:val="auto"/>
                <w:highlight w:val="none"/>
                <w:lang w:bidi="ar"/>
              </w:rPr>
              <w:t>3</w:t>
            </w:r>
            <w:r>
              <w:rPr>
                <w:rStyle w:val="17"/>
                <w:rFonts w:hint="default"/>
                <w:color w:val="auto"/>
                <w:highlight w:val="none"/>
                <w:lang w:bidi="ar"/>
              </w:rPr>
              <w:t xml:space="preserve"> - 3x10</w:t>
            </w:r>
            <w:r>
              <w:rPr>
                <w:rStyle w:val="18"/>
                <w:rFonts w:hint="default"/>
                <w:color w:val="auto"/>
                <w:highlight w:val="none"/>
                <w:lang w:bidi="ar"/>
              </w:rPr>
              <w:t>14</w:t>
            </w:r>
            <w:r>
              <w:rPr>
                <w:rStyle w:val="17"/>
                <w:rFonts w:hint="default"/>
                <w:color w:val="auto"/>
                <w:highlight w:val="none"/>
                <w:lang w:bidi="ar"/>
              </w:rPr>
              <w:t>M</w:t>
            </w:r>
            <w:r>
              <w:rPr>
                <w:rStyle w:val="18"/>
                <w:rFonts w:hint="default"/>
                <w:color w:val="auto"/>
                <w:highlight w:val="none"/>
                <w:lang w:bidi="ar"/>
              </w:rPr>
              <w:t>-1</w:t>
            </w:r>
          </w:p>
          <w:p>
            <w:pPr>
              <w:widowControl/>
              <w:textAlignment w:val="center"/>
              <w:rPr>
                <w:color w:val="auto"/>
                <w:szCs w:val="21"/>
                <w:highlight w:val="none"/>
              </w:rPr>
            </w:pPr>
            <w:r>
              <w:rPr>
                <w:rFonts w:hint="eastAsia"/>
                <w:color w:val="auto"/>
                <w:szCs w:val="21"/>
                <w:highlight w:val="none"/>
                <w:lang w:bidi="ar"/>
              </w:rPr>
              <w:t>3.5 设备检测分辨率和灵敏度：</w:t>
            </w:r>
          </w:p>
          <w:p>
            <w:pPr>
              <w:widowControl/>
              <w:textAlignment w:val="center"/>
              <w:rPr>
                <w:color w:val="auto"/>
                <w:szCs w:val="21"/>
                <w:highlight w:val="none"/>
              </w:rPr>
            </w:pPr>
            <w:r>
              <w:rPr>
                <w:rFonts w:hint="eastAsia"/>
                <w:color w:val="auto"/>
                <w:szCs w:val="21"/>
                <w:highlight w:val="none"/>
                <w:lang w:bidi="ar"/>
              </w:rPr>
              <w:t>3.5.1 响应信号动态范围：1-70000RU</w:t>
            </w:r>
          </w:p>
          <w:p>
            <w:pPr>
              <w:widowControl/>
              <w:textAlignment w:val="center"/>
              <w:rPr>
                <w:color w:val="auto"/>
                <w:szCs w:val="21"/>
                <w:highlight w:val="none"/>
              </w:rPr>
            </w:pPr>
            <w:r>
              <w:rPr>
                <w:rFonts w:hint="eastAsia"/>
                <w:color w:val="auto"/>
                <w:szCs w:val="21"/>
                <w:highlight w:val="none"/>
                <w:lang w:bidi="ar"/>
              </w:rPr>
              <w:t>3.5.2 检测折射率范围：1.33-1.40</w:t>
            </w:r>
          </w:p>
          <w:p>
            <w:pPr>
              <w:widowControl/>
              <w:textAlignment w:val="center"/>
              <w:rPr>
                <w:color w:val="auto"/>
                <w:szCs w:val="21"/>
                <w:highlight w:val="none"/>
              </w:rPr>
            </w:pPr>
            <w:r>
              <w:rPr>
                <w:rFonts w:hint="eastAsia"/>
                <w:color w:val="auto"/>
                <w:szCs w:val="21"/>
                <w:highlight w:val="none"/>
                <w:lang w:bidi="ar"/>
              </w:rPr>
              <w:t>3.5.3 基线噪声：&lt;0.03RU (RMS)。</w:t>
            </w:r>
          </w:p>
          <w:p>
            <w:pPr>
              <w:widowControl/>
              <w:textAlignment w:val="center"/>
              <w:rPr>
                <w:color w:val="auto"/>
                <w:szCs w:val="21"/>
                <w:highlight w:val="none"/>
              </w:rPr>
            </w:pPr>
            <w:r>
              <w:rPr>
                <w:rFonts w:hint="eastAsia"/>
                <w:color w:val="auto"/>
                <w:szCs w:val="21"/>
                <w:highlight w:val="none"/>
                <w:lang w:bidi="ar"/>
              </w:rPr>
              <w:t>3.5.4 基线漂移：&lt;0.3RU/min</w:t>
            </w:r>
          </w:p>
          <w:p>
            <w:pPr>
              <w:widowControl/>
              <w:textAlignment w:val="center"/>
              <w:rPr>
                <w:color w:val="auto"/>
                <w:szCs w:val="21"/>
                <w:highlight w:val="none"/>
              </w:rPr>
            </w:pPr>
            <w:r>
              <w:rPr>
                <w:rFonts w:hint="eastAsia"/>
                <w:color w:val="auto"/>
                <w:szCs w:val="21"/>
                <w:highlight w:val="none"/>
                <w:lang w:bidi="ar"/>
              </w:rPr>
              <w:t>3.5.5 样品浓度检测下限：10pM.</w:t>
            </w:r>
          </w:p>
          <w:p>
            <w:pPr>
              <w:widowControl/>
              <w:textAlignment w:val="center"/>
              <w:rPr>
                <w:color w:val="auto"/>
                <w:szCs w:val="21"/>
                <w:highlight w:val="none"/>
              </w:rPr>
            </w:pPr>
            <w:r>
              <w:rPr>
                <w:rFonts w:hint="eastAsia"/>
                <w:color w:val="auto"/>
                <w:szCs w:val="21"/>
                <w:highlight w:val="none"/>
                <w:lang w:bidi="ar"/>
              </w:rPr>
              <w:t>3.5.6 样品最小检测体积:2ul.</w:t>
            </w:r>
          </w:p>
          <w:p>
            <w:pPr>
              <w:widowControl/>
              <w:textAlignment w:val="center"/>
              <w:rPr>
                <w:color w:val="auto"/>
                <w:szCs w:val="21"/>
                <w:highlight w:val="none"/>
              </w:rPr>
            </w:pPr>
            <w:r>
              <w:rPr>
                <w:rFonts w:hint="eastAsia"/>
                <w:color w:val="auto"/>
                <w:szCs w:val="21"/>
                <w:highlight w:val="none"/>
                <w:lang w:bidi="ar"/>
              </w:rPr>
              <w:t>3.6 设备硬件指标：</w:t>
            </w:r>
          </w:p>
          <w:p>
            <w:pPr>
              <w:widowControl/>
              <w:textAlignment w:val="center"/>
              <w:rPr>
                <w:color w:val="auto"/>
                <w:szCs w:val="21"/>
                <w:highlight w:val="none"/>
              </w:rPr>
            </w:pPr>
            <w:r>
              <w:rPr>
                <w:rFonts w:hint="eastAsia"/>
                <w:color w:val="auto"/>
                <w:szCs w:val="21"/>
                <w:highlight w:val="none"/>
                <w:lang w:bidi="ar"/>
              </w:rPr>
              <w:t>3.6.1 内置自动进样器，全自动样品装载和注射。保证结果准确减少手动操作误差。</w:t>
            </w:r>
          </w:p>
          <w:p>
            <w:pPr>
              <w:widowControl/>
              <w:textAlignment w:val="center"/>
              <w:rPr>
                <w:color w:val="auto"/>
                <w:szCs w:val="21"/>
                <w:highlight w:val="none"/>
              </w:rPr>
            </w:pPr>
            <w:r>
              <w:rPr>
                <w:rFonts w:hint="eastAsia"/>
                <w:color w:val="auto"/>
                <w:szCs w:val="21"/>
                <w:highlight w:val="none"/>
                <w:lang w:bidi="ar"/>
              </w:rPr>
              <w:t>3.6.2 自动控温，温控范围在4-45℃，芯片表面反应温控，温控精度：3×10</w:t>
            </w:r>
            <w:r>
              <w:rPr>
                <w:rStyle w:val="18"/>
                <w:rFonts w:hint="default"/>
                <w:color w:val="auto"/>
                <w:highlight w:val="none"/>
                <w:lang w:bidi="ar"/>
              </w:rPr>
              <w:t>-3</w:t>
            </w:r>
            <w:r>
              <w:rPr>
                <w:rStyle w:val="17"/>
                <w:rFonts w:hint="default"/>
                <w:color w:val="auto"/>
                <w:highlight w:val="none"/>
                <w:lang w:bidi="ar"/>
              </w:rPr>
              <w:t>℃。</w:t>
            </w:r>
          </w:p>
          <w:p>
            <w:pPr>
              <w:widowControl/>
              <w:textAlignment w:val="center"/>
              <w:rPr>
                <w:color w:val="auto"/>
                <w:szCs w:val="21"/>
                <w:highlight w:val="none"/>
              </w:rPr>
            </w:pPr>
            <w:r>
              <w:rPr>
                <w:rFonts w:hint="eastAsia"/>
                <w:color w:val="auto"/>
                <w:szCs w:val="21"/>
                <w:highlight w:val="none"/>
                <w:lang w:bidi="ar"/>
              </w:rPr>
              <w:t>3.6.3 具有自动在线溶液脱气功能、具有自动在线背景扣除功能、能够24小时无人监管作业。</w:t>
            </w:r>
          </w:p>
          <w:p>
            <w:pPr>
              <w:widowControl/>
              <w:textAlignment w:val="center"/>
              <w:rPr>
                <w:color w:val="auto"/>
                <w:szCs w:val="21"/>
                <w:highlight w:val="none"/>
              </w:rPr>
            </w:pPr>
            <w:r>
              <w:rPr>
                <w:rFonts w:hint="eastAsia"/>
                <w:color w:val="auto"/>
                <w:szCs w:val="21"/>
                <w:highlight w:val="none"/>
                <w:lang w:bidi="ar"/>
              </w:rPr>
              <w:t>3.6.4 可检测最小分子量：无分子量限制</w:t>
            </w:r>
          </w:p>
          <w:p>
            <w:pPr>
              <w:widowControl/>
              <w:textAlignment w:val="center"/>
              <w:rPr>
                <w:color w:val="auto"/>
                <w:szCs w:val="21"/>
                <w:highlight w:val="none"/>
              </w:rPr>
            </w:pPr>
            <w:r>
              <w:rPr>
                <w:rFonts w:hint="eastAsia"/>
                <w:color w:val="auto"/>
                <w:szCs w:val="21"/>
                <w:highlight w:val="none"/>
                <w:lang w:bidi="ar"/>
              </w:rPr>
              <w:t>3.6.5独立检测通道 4个；可单独使用1个、配对使用或四个一起串联使用。</w:t>
            </w:r>
          </w:p>
          <w:p>
            <w:pPr>
              <w:widowControl/>
              <w:textAlignment w:val="center"/>
              <w:rPr>
                <w:color w:val="auto"/>
                <w:szCs w:val="21"/>
                <w:highlight w:val="none"/>
              </w:rPr>
            </w:pPr>
            <w:r>
              <w:rPr>
                <w:rFonts w:hint="eastAsia"/>
                <w:color w:val="auto"/>
                <w:szCs w:val="21"/>
                <w:highlight w:val="none"/>
                <w:lang w:bidi="ar"/>
              </w:rPr>
              <w:t>3.7 配套试剂、耗材指标：</w:t>
            </w:r>
          </w:p>
          <w:p>
            <w:pPr>
              <w:widowControl/>
              <w:textAlignment w:val="center"/>
              <w:rPr>
                <w:color w:val="auto"/>
                <w:szCs w:val="21"/>
                <w:highlight w:val="none"/>
                <w:lang w:bidi="ar"/>
              </w:rPr>
            </w:pPr>
            <w:r>
              <w:rPr>
                <w:rFonts w:hint="eastAsia"/>
                <w:color w:val="auto"/>
                <w:szCs w:val="21"/>
                <w:highlight w:val="none"/>
                <w:lang w:bidi="ar"/>
              </w:rPr>
              <w:t>3.7.1  16种原厂传感器芯片可选，包括但不限于：共价偶联氨基的芯片、特异性捕获抗体的芯片、特异性捕获his标签蛋白的芯片、捕获疏水分子的芯片、可逆捕获生物素分子的芯片等。</w:t>
            </w:r>
          </w:p>
          <w:p>
            <w:pPr>
              <w:widowControl/>
              <w:textAlignment w:val="center"/>
              <w:rPr>
                <w:color w:val="auto"/>
                <w:szCs w:val="21"/>
                <w:highlight w:val="none"/>
              </w:rPr>
            </w:pPr>
            <w:r>
              <w:rPr>
                <w:rFonts w:hint="eastAsia"/>
                <w:color w:val="auto"/>
                <w:szCs w:val="21"/>
                <w:highlight w:val="none"/>
                <w:lang w:bidi="ar"/>
              </w:rPr>
              <w:t xml:space="preserve">3.7.2 </w:t>
            </w:r>
            <w:r>
              <w:rPr>
                <w:rStyle w:val="17"/>
                <w:rFonts w:hint="default"/>
                <w:color w:val="auto"/>
                <w:highlight w:val="none"/>
                <w:lang w:bidi="ar"/>
              </w:rPr>
              <w:t>有与仪器配套的检测试剂和耗材可根据实验需要后期选择。有可用于捕获人源/鼠源抗体、his标签、GST标签、生物素标签等样品的芯片和配套试剂盒可选。</w:t>
            </w:r>
          </w:p>
          <w:p>
            <w:pPr>
              <w:widowControl/>
              <w:textAlignment w:val="center"/>
              <w:rPr>
                <w:color w:val="auto"/>
                <w:szCs w:val="21"/>
                <w:highlight w:val="none"/>
              </w:rPr>
            </w:pPr>
            <w:r>
              <w:rPr>
                <w:rFonts w:hint="eastAsia"/>
                <w:color w:val="auto"/>
                <w:szCs w:val="21"/>
                <w:highlight w:val="none"/>
                <w:lang w:bidi="ar"/>
              </w:rPr>
              <w:t>3.7.3 传感器芯片可重复使用至少100次以上。</w:t>
            </w:r>
          </w:p>
          <w:p>
            <w:pPr>
              <w:widowControl/>
              <w:textAlignment w:val="center"/>
              <w:rPr>
                <w:color w:val="auto"/>
                <w:szCs w:val="21"/>
                <w:highlight w:val="none"/>
              </w:rPr>
            </w:pPr>
            <w:r>
              <w:rPr>
                <w:rFonts w:hint="eastAsia"/>
                <w:color w:val="auto"/>
                <w:szCs w:val="21"/>
                <w:highlight w:val="none"/>
                <w:lang w:bidi="ar"/>
              </w:rPr>
              <w:t>3.8 软件技术指标：</w:t>
            </w:r>
          </w:p>
          <w:p>
            <w:pPr>
              <w:widowControl/>
              <w:textAlignment w:val="center"/>
              <w:rPr>
                <w:color w:val="auto"/>
                <w:szCs w:val="21"/>
                <w:highlight w:val="none"/>
              </w:rPr>
            </w:pPr>
            <w:r>
              <w:rPr>
                <w:rFonts w:hint="eastAsia"/>
                <w:color w:val="auto"/>
                <w:szCs w:val="21"/>
                <w:highlight w:val="none"/>
                <w:lang w:bidi="ar"/>
              </w:rPr>
              <w:t>3.8.1 能够实时检测和采集数据，并且进样时间、进样位置、流速、流路等反应参数能够自由设置，能够实时显示样品名称、种类、体积，能够进行连续流控制，并自动扣减背景。</w:t>
            </w:r>
          </w:p>
          <w:p>
            <w:pPr>
              <w:widowControl/>
              <w:textAlignment w:val="center"/>
              <w:rPr>
                <w:color w:val="auto"/>
                <w:szCs w:val="21"/>
                <w:highlight w:val="none"/>
              </w:rPr>
            </w:pPr>
            <w:r>
              <w:rPr>
                <w:rFonts w:hint="eastAsia"/>
                <w:color w:val="auto"/>
                <w:szCs w:val="21"/>
                <w:highlight w:val="none"/>
                <w:lang w:bidi="ar"/>
              </w:rPr>
              <w:t>3.8.2 可以模块化、批量分析动力学、热力学、浓度测定、免疫原性、筛选等结果，能够自由选择分析、拟合模式，并自动拟合分析。数据分析结果支持多种输出格式，Excel, JEPG等。同时具备自动化偶联量控制，缓冲液选择，在线酸化，药物一致性评价检测等功能。</w:t>
            </w:r>
          </w:p>
          <w:p>
            <w:pPr>
              <w:widowControl/>
              <w:textAlignment w:val="center"/>
              <w:rPr>
                <w:color w:val="auto"/>
                <w:szCs w:val="21"/>
                <w:highlight w:val="none"/>
              </w:rPr>
            </w:pPr>
            <w:r>
              <w:rPr>
                <w:rFonts w:hint="eastAsia"/>
                <w:color w:val="auto"/>
                <w:szCs w:val="21"/>
                <w:highlight w:val="none"/>
                <w:lang w:bidi="ar"/>
              </w:rPr>
              <w:t>3.8.3 能够进行动力学、亲和力筛选数据分析，拟合分析，并且具有多种拟合模型可供选择，包括但不限于：1:1模型；Bivalent模型（抗体专用），Heterogeneous ligand（多聚体分析），Heterogeneous Analyte（多聚体分析），Two-state(协同效应)。</w:t>
            </w:r>
          </w:p>
          <w:p>
            <w:pPr>
              <w:widowControl/>
              <w:textAlignment w:val="center"/>
              <w:rPr>
                <w:color w:val="auto"/>
                <w:szCs w:val="21"/>
                <w:highlight w:val="none"/>
              </w:rPr>
            </w:pPr>
            <w:r>
              <w:rPr>
                <w:rFonts w:hint="eastAsia"/>
                <w:color w:val="auto"/>
                <w:szCs w:val="21"/>
                <w:highlight w:val="none"/>
                <w:lang w:bidi="ar"/>
              </w:rPr>
              <w:t>3.8.4 能够进行有机溶剂矫正分析，能够设置参比或对照通道，并且自动扣减背景或/和矫正系数。</w:t>
            </w:r>
          </w:p>
          <w:p>
            <w:pPr>
              <w:widowControl/>
              <w:textAlignment w:val="center"/>
              <w:rPr>
                <w:color w:val="auto"/>
                <w:szCs w:val="21"/>
                <w:highlight w:val="none"/>
                <w:lang w:bidi="ar"/>
              </w:rPr>
            </w:pPr>
            <w:r>
              <w:rPr>
                <w:rFonts w:hint="eastAsia"/>
                <w:color w:val="auto"/>
                <w:szCs w:val="21"/>
                <w:highlight w:val="none"/>
                <w:lang w:bidi="ar"/>
              </w:rPr>
              <w:t>3.8.5具有智能数据质量评估系统，能够图形化显示评估结果，能够对结果自动进行统计学分析，并给出相应参数。</w:t>
            </w:r>
          </w:p>
          <w:p>
            <w:pPr>
              <w:widowControl/>
              <w:textAlignment w:val="center"/>
              <w:rPr>
                <w:color w:val="auto"/>
                <w:szCs w:val="21"/>
                <w:highlight w:val="none"/>
              </w:rPr>
            </w:pPr>
            <w:r>
              <w:rPr>
                <w:rFonts w:hint="eastAsia"/>
                <w:color w:val="auto"/>
                <w:szCs w:val="21"/>
                <w:highlight w:val="none"/>
                <w:lang w:bidi="ar"/>
              </w:rPr>
              <w:t>3.9 其它消耗品配置：</w:t>
            </w:r>
          </w:p>
          <w:p>
            <w:pPr>
              <w:widowControl/>
              <w:textAlignment w:val="center"/>
              <w:rPr>
                <w:color w:val="auto"/>
                <w:szCs w:val="21"/>
                <w:highlight w:val="none"/>
              </w:rPr>
            </w:pPr>
            <w:r>
              <w:rPr>
                <w:rFonts w:hint="eastAsia"/>
                <w:color w:val="auto"/>
                <w:szCs w:val="21"/>
                <w:highlight w:val="none"/>
                <w:lang w:bidi="ar"/>
              </w:rPr>
              <w:t>16mm玻璃小瓶500个、7mm塑料小瓶1000个，1.5mm塑料小瓶500个、用于16mm玻璃瓶和11 mm 塑料瓶的可穿透透气盖400个、用于9 mm玻璃瓶和7mm塑料瓶的可穿透透气盖600个等</w:t>
            </w:r>
          </w:p>
          <w:p>
            <w:pPr>
              <w:widowControl/>
              <w:textAlignment w:val="center"/>
              <w:rPr>
                <w:color w:val="auto"/>
                <w:szCs w:val="21"/>
                <w:highlight w:val="none"/>
              </w:rPr>
            </w:pPr>
            <w:r>
              <w:rPr>
                <w:rFonts w:hint="eastAsia"/>
                <w:color w:val="auto"/>
                <w:szCs w:val="21"/>
                <w:highlight w:val="none"/>
                <w:lang w:bidi="ar"/>
              </w:rPr>
              <w:t>通用分析芯片12张，初学试剂盒、氨基偶联试剂盒各2盒，再生试剂盒、维护试剂盒各1盒，不同Ph值醋酸和甘氨酸盐酸各8瓶，P20去垢剂、HBS-EP+ 10 x HBS-EP+ 10X 浓缩缓冲液、HBS-N 10 x HBS-N 10 X 浓缩缓冲液、PBS-P+ 10 x PBS-P+ 10X 浓缩缓冲液各1瓶。</w:t>
            </w:r>
          </w:p>
          <w:p>
            <w:pPr>
              <w:widowControl/>
              <w:textAlignment w:val="center"/>
              <w:rPr>
                <w:color w:val="auto"/>
                <w:szCs w:val="21"/>
                <w:highlight w:val="none"/>
              </w:rPr>
            </w:pPr>
            <w:r>
              <w:rPr>
                <w:rFonts w:hint="eastAsia"/>
                <w:color w:val="auto"/>
                <w:szCs w:val="21"/>
                <w:highlight w:val="none"/>
                <w:lang w:bidi="ar"/>
              </w:rPr>
              <w:t>3.10 工作站：i5处理器、win10 64位系统、、16G内存、500G硬盘，配置无线网卡；</w:t>
            </w:r>
          </w:p>
          <w:p>
            <w:pPr>
              <w:widowControl/>
              <w:textAlignment w:val="center"/>
              <w:rPr>
                <w:bCs/>
                <w:color w:val="auto"/>
                <w:szCs w:val="21"/>
                <w:highlight w:val="none"/>
              </w:rPr>
            </w:pPr>
            <w:r>
              <w:rPr>
                <w:rFonts w:hint="eastAsia"/>
                <w:color w:val="auto"/>
                <w:szCs w:val="21"/>
                <w:highlight w:val="none"/>
                <w:lang w:bidi="ar"/>
              </w:rPr>
              <w:t>3.11 UPS不间断电源10KVA，可支持整套仪器工作1.5小时</w:t>
            </w:r>
          </w:p>
        </w:tc>
        <w:tc>
          <w:tcPr>
            <w:tcW w:w="992" w:type="dxa"/>
            <w:tcBorders>
              <w:top w:val="single" w:color="000000" w:sz="4" w:space="0"/>
              <w:left w:val="nil"/>
              <w:bottom w:val="single" w:color="000000" w:sz="4" w:space="0"/>
              <w:right w:val="single" w:color="000000" w:sz="4" w:space="0"/>
            </w:tcBorders>
            <w:vAlign w:val="center"/>
          </w:tcPr>
          <w:p>
            <w:pPr>
              <w:widowControl/>
              <w:jc w:val="center"/>
              <w:rPr>
                <w:bCs/>
                <w:color w:val="auto"/>
                <w:szCs w:val="21"/>
                <w:highlight w:val="none"/>
              </w:rPr>
            </w:pPr>
            <w:r>
              <w:rPr>
                <w:rFonts w:hint="eastAsia"/>
                <w:bCs/>
                <w:color w:val="auto"/>
                <w:szCs w:val="21"/>
                <w:highlight w:val="none"/>
              </w:rPr>
              <w:t>瑞典</w:t>
            </w:r>
          </w:p>
        </w:tc>
        <w:tc>
          <w:tcPr>
            <w:tcW w:w="997" w:type="dxa"/>
            <w:tcBorders>
              <w:top w:val="single" w:color="000000" w:sz="4" w:space="0"/>
              <w:left w:val="nil"/>
              <w:bottom w:val="single" w:color="000000" w:sz="4" w:space="0"/>
              <w:right w:val="single" w:color="000000" w:sz="4" w:space="0"/>
            </w:tcBorders>
            <w:vAlign w:val="center"/>
          </w:tcPr>
          <w:p>
            <w:pPr>
              <w:widowControl/>
              <w:jc w:val="center"/>
              <w:rPr>
                <w:bCs/>
                <w:color w:val="auto"/>
                <w:szCs w:val="21"/>
                <w:highlight w:val="none"/>
              </w:rPr>
            </w:pPr>
            <w:r>
              <w:rPr>
                <w:rFonts w:hint="eastAsia"/>
                <w:bCs/>
                <w:color w:val="auto"/>
                <w:szCs w:val="21"/>
                <w:highlight w:val="none"/>
              </w:rPr>
              <w:t>Cytiva Sweden AB</w:t>
            </w:r>
          </w:p>
        </w:tc>
      </w:tr>
    </w:tbl>
    <w:p>
      <w:pPr>
        <w:rPr>
          <w:rFonts w:hint="eastAsia" w:ascii="宋体" w:hAnsi="宋体"/>
          <w:color w:val="auto"/>
          <w:sz w:val="28"/>
          <w:szCs w:val="28"/>
          <w:highlight w:val="none"/>
        </w:rPr>
      </w:pPr>
    </w:p>
    <w:p>
      <w:pPr>
        <w:spacing w:line="320" w:lineRule="exact"/>
        <w:jc w:val="center"/>
        <w:rPr>
          <w:rFonts w:hint="eastAsia" w:ascii="宋体" w:hAnsi="宋体" w:cs="Calibri"/>
          <w:b/>
          <w:color w:val="auto"/>
          <w:sz w:val="28"/>
          <w:szCs w:val="28"/>
          <w:highlight w:val="none"/>
        </w:rPr>
      </w:pPr>
    </w:p>
    <w:p>
      <w:pPr>
        <w:spacing w:line="320" w:lineRule="exact"/>
        <w:jc w:val="center"/>
        <w:rPr>
          <w:rFonts w:hint="eastAsia" w:ascii="宋体" w:hAnsi="宋体" w:cs="Calibri"/>
          <w:b/>
          <w:color w:val="auto"/>
          <w:sz w:val="28"/>
          <w:szCs w:val="28"/>
          <w:highlight w:val="none"/>
        </w:rPr>
        <w:sectPr>
          <w:footerReference r:id="rId6" w:type="default"/>
          <w:pgSz w:w="11906" w:h="16838"/>
          <w:pgMar w:top="1440" w:right="1797" w:bottom="1440" w:left="1797" w:header="851" w:footer="992" w:gutter="0"/>
          <w:cols w:space="720" w:num="1"/>
          <w:docGrid w:type="lines" w:linePitch="312" w:charSpace="0"/>
        </w:sectPr>
      </w:pPr>
    </w:p>
    <w:p>
      <w:pPr>
        <w:spacing w:line="360" w:lineRule="auto"/>
        <w:rPr>
          <w:b/>
          <w:color w:val="auto"/>
          <w:sz w:val="28"/>
          <w:szCs w:val="28"/>
          <w:highlight w:val="none"/>
        </w:rPr>
      </w:pPr>
      <w:r>
        <w:rPr>
          <w:rFonts w:hint="eastAsia"/>
          <w:b/>
          <w:color w:val="auto"/>
          <w:sz w:val="28"/>
          <w:szCs w:val="28"/>
          <w:highlight w:val="none"/>
        </w:rPr>
        <w:t>附件（2）：售后服务计划</w:t>
      </w:r>
    </w:p>
    <w:p>
      <w:pPr>
        <w:spacing w:line="360" w:lineRule="auto"/>
        <w:rPr>
          <w:color w:val="auto"/>
          <w:sz w:val="24"/>
          <w:highlight w:val="none"/>
        </w:rPr>
      </w:pPr>
      <w:r>
        <w:rPr>
          <w:rFonts w:hint="eastAsia"/>
          <w:color w:val="auto"/>
          <w:sz w:val="24"/>
          <w:highlight w:val="none"/>
        </w:rPr>
        <w:t>1.质量保证：我方保证所提供货物是全新的、未使用过的全新产品，且所有的配件均符合国家质量检测标准。</w:t>
      </w:r>
    </w:p>
    <w:p>
      <w:pPr>
        <w:spacing w:line="360" w:lineRule="auto"/>
        <w:rPr>
          <w:color w:val="auto"/>
          <w:sz w:val="24"/>
          <w:highlight w:val="none"/>
        </w:rPr>
      </w:pPr>
      <w:r>
        <w:rPr>
          <w:rFonts w:hint="eastAsia"/>
          <w:color w:val="auto"/>
          <w:sz w:val="24"/>
          <w:highlight w:val="none"/>
        </w:rPr>
        <w:t>2.安装调试：在仪器到达用户指定地点</w:t>
      </w:r>
      <w:r>
        <w:rPr>
          <w:color w:val="auto"/>
          <w:sz w:val="24"/>
          <w:highlight w:val="none"/>
        </w:rPr>
        <w:t>7</w:t>
      </w:r>
      <w:r>
        <w:rPr>
          <w:rFonts w:hint="eastAsia"/>
          <w:color w:val="auto"/>
          <w:sz w:val="24"/>
          <w:highlight w:val="none"/>
        </w:rPr>
        <w:t>日前，我方将以电话或传真的形式通知用户，并派专业人员到安装现场进行详细的考察。仪器到达用户指定地点后，我方派专业技术人员和厂家的工程师共同对所有设备进行免费的安装、调试及应用培训；安装过程中负责介绍仪器操作、日常保养注意事项。</w:t>
      </w:r>
    </w:p>
    <w:p>
      <w:pPr>
        <w:spacing w:line="360" w:lineRule="auto"/>
        <w:ind w:firstLine="480" w:firstLineChars="200"/>
        <w:rPr>
          <w:color w:val="auto"/>
          <w:sz w:val="24"/>
          <w:highlight w:val="none"/>
        </w:rPr>
      </w:pPr>
      <w:r>
        <w:rPr>
          <w:rFonts w:hint="eastAsia"/>
          <w:color w:val="auto"/>
          <w:sz w:val="24"/>
          <w:highlight w:val="none"/>
        </w:rPr>
        <w:t>2.1培训：仪器安装后按用户要求时间由工程师进行首次在位技术培训，另由用户选择时间进行第二次在位技术培训，总在位培训时间2个工作日（工作时间12小时），帮助用户掌握仪器的基本操作；能够提供可视化的电子教程。</w:t>
      </w:r>
    </w:p>
    <w:p>
      <w:pPr>
        <w:spacing w:line="360" w:lineRule="auto"/>
        <w:ind w:firstLine="480" w:firstLineChars="200"/>
        <w:rPr>
          <w:color w:val="auto"/>
          <w:sz w:val="24"/>
          <w:highlight w:val="none"/>
        </w:rPr>
      </w:pPr>
      <w:r>
        <w:rPr>
          <w:rFonts w:hint="eastAsia"/>
          <w:color w:val="auto"/>
          <w:sz w:val="24"/>
          <w:highlight w:val="none"/>
        </w:rPr>
        <w:t>2.2</w:t>
      </w:r>
      <w:r>
        <w:rPr>
          <w:color w:val="auto"/>
          <w:sz w:val="24"/>
          <w:highlight w:val="none"/>
        </w:rPr>
        <w:t>一年五次定期回访，</w:t>
      </w:r>
      <w:r>
        <w:rPr>
          <w:rFonts w:hint="eastAsia"/>
          <w:color w:val="auto"/>
          <w:sz w:val="24"/>
          <w:highlight w:val="none"/>
        </w:rPr>
        <w:t>不限期及时提供技术咨询服务；</w:t>
      </w:r>
    </w:p>
    <w:p>
      <w:pPr>
        <w:spacing w:line="360" w:lineRule="auto"/>
        <w:ind w:firstLine="480" w:firstLineChars="200"/>
        <w:rPr>
          <w:color w:val="auto"/>
          <w:sz w:val="24"/>
          <w:highlight w:val="none"/>
        </w:rPr>
      </w:pPr>
      <w:r>
        <w:rPr>
          <w:rFonts w:hint="eastAsia"/>
          <w:color w:val="auto"/>
          <w:sz w:val="24"/>
          <w:highlight w:val="none"/>
        </w:rPr>
        <w:t>2.3其它技术服务：定期举办培训班（不可控因素除外），帮助到用户正确有效的使用仪器产品，全面提高理论和应用水平，充分发挥仪器的功能和效用，给用户提高标准的高质量的培训服务。</w:t>
      </w:r>
    </w:p>
    <w:p>
      <w:pPr>
        <w:spacing w:line="360" w:lineRule="auto"/>
        <w:ind w:firstLine="480" w:firstLineChars="200"/>
        <w:rPr>
          <w:color w:val="auto"/>
          <w:sz w:val="24"/>
          <w:highlight w:val="none"/>
        </w:rPr>
      </w:pPr>
      <w:r>
        <w:rPr>
          <w:rFonts w:hint="eastAsia"/>
          <w:color w:val="auto"/>
          <w:sz w:val="24"/>
          <w:highlight w:val="none"/>
        </w:rPr>
        <w:t>2.4软件有最新版本时，终身免费上门提供升级服务。</w:t>
      </w:r>
    </w:p>
    <w:p>
      <w:pPr>
        <w:spacing w:line="360" w:lineRule="auto"/>
        <w:rPr>
          <w:color w:val="auto"/>
          <w:sz w:val="24"/>
          <w:highlight w:val="none"/>
        </w:rPr>
      </w:pPr>
      <w:r>
        <w:rPr>
          <w:rFonts w:hint="eastAsia"/>
          <w:color w:val="auto"/>
          <w:sz w:val="24"/>
          <w:highlight w:val="none"/>
        </w:rPr>
        <w:t>3.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color w:val="auto"/>
          <w:sz w:val="24"/>
          <w:highlight w:val="none"/>
        </w:rPr>
        <w:t>3</w:t>
      </w:r>
      <w:r>
        <w:rPr>
          <w:rFonts w:hint="eastAsia"/>
          <w:color w:val="auto"/>
          <w:sz w:val="24"/>
          <w:highlight w:val="none"/>
        </w:rPr>
        <w:t>个工作日内进行及时更换，所产生的费用由我方承担。</w:t>
      </w:r>
    </w:p>
    <w:p>
      <w:pPr>
        <w:spacing w:line="360" w:lineRule="auto"/>
        <w:rPr>
          <w:color w:val="auto"/>
          <w:sz w:val="24"/>
          <w:highlight w:val="none"/>
        </w:rPr>
      </w:pPr>
      <w:r>
        <w:rPr>
          <w:rFonts w:hint="eastAsia"/>
          <w:color w:val="auto"/>
          <w:sz w:val="24"/>
          <w:highlight w:val="none"/>
        </w:rPr>
        <w:t>4.质保期：从最终验收完成之日起，</w:t>
      </w:r>
      <w:r>
        <w:rPr>
          <w:rFonts w:hint="eastAsia"/>
          <w:color w:val="auto"/>
          <w:sz w:val="24"/>
          <w:highlight w:val="none"/>
          <w:u w:val="single"/>
        </w:rPr>
        <w:t>蛋白纯化仪（蛋白液相分析系统）：1年；生物分子互作系统：2年</w:t>
      </w:r>
      <w:r>
        <w:rPr>
          <w:rFonts w:hint="eastAsia"/>
          <w:color w:val="auto"/>
          <w:sz w:val="24"/>
          <w:highlight w:val="none"/>
        </w:rPr>
        <w:t>。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spacing w:line="360" w:lineRule="auto"/>
        <w:rPr>
          <w:color w:val="auto"/>
          <w:sz w:val="24"/>
          <w:highlight w:val="none"/>
        </w:rPr>
      </w:pPr>
      <w:r>
        <w:rPr>
          <w:rFonts w:hint="eastAsia"/>
          <w:color w:val="auto"/>
          <w:sz w:val="24"/>
          <w:highlight w:val="none"/>
        </w:rPr>
        <w:t>5.响应时间：我方接到用户报修通知后，0.5 小时内响应， 24 小时内到达现场进行检修，并远程联系厂家工程师进行故障诊断，确定故障的原因，让厂家工程师根据故障原因制定详细的维修方案，并征得用户同意后实施。需要制造厂家工程师上门维修的，制造厂家工程师在48小时内到达现场进行检查、维修，</w:t>
      </w:r>
      <w:r>
        <w:rPr>
          <w:rFonts w:hint="eastAsia" w:asciiTheme="minorEastAsia" w:hAnsiTheme="minorEastAsia" w:eastAsiaTheme="minorEastAsia" w:cstheme="minorEastAsia"/>
          <w:color w:val="auto"/>
          <w:sz w:val="24"/>
          <w:highlight w:val="none"/>
        </w:rPr>
        <w:t>直到解除故障为止</w:t>
      </w:r>
      <w:r>
        <w:rPr>
          <w:rFonts w:hint="eastAsia"/>
          <w:color w:val="auto"/>
          <w:sz w:val="24"/>
          <w:highlight w:val="none"/>
        </w:rPr>
        <w:t>。质保期内免费更换损坏的零部件。</w:t>
      </w:r>
    </w:p>
    <w:p>
      <w:pPr>
        <w:spacing w:line="360" w:lineRule="auto"/>
        <w:rPr>
          <w:color w:val="auto"/>
          <w:sz w:val="24"/>
          <w:highlight w:val="none"/>
        </w:rPr>
      </w:pPr>
      <w:r>
        <w:rPr>
          <w:rFonts w:hint="eastAsia"/>
          <w:color w:val="auto"/>
          <w:sz w:val="24"/>
          <w:highlight w:val="none"/>
        </w:rPr>
        <w:t>6.优惠服务：我方将为用户提供电话咨询和软件升级，及时提供仪器最新技术资料与技术支持，每年内不少于</w:t>
      </w:r>
      <w:r>
        <w:rPr>
          <w:color w:val="auto"/>
          <w:sz w:val="24"/>
          <w:highlight w:val="none"/>
        </w:rPr>
        <w:t>2</w:t>
      </w:r>
      <w:r>
        <w:rPr>
          <w:rFonts w:hint="eastAsia"/>
          <w:color w:val="auto"/>
          <w:sz w:val="24"/>
          <w:highlight w:val="none"/>
        </w:rPr>
        <w:t>次上门巡检服务。</w:t>
      </w:r>
    </w:p>
    <w:p>
      <w:pPr>
        <w:spacing w:line="360" w:lineRule="auto"/>
        <w:rPr>
          <w:color w:val="auto"/>
          <w:sz w:val="24"/>
          <w:highlight w:val="none"/>
        </w:rPr>
      </w:pPr>
      <w:r>
        <w:rPr>
          <w:rFonts w:hint="eastAsia"/>
          <w:color w:val="auto"/>
          <w:sz w:val="24"/>
          <w:highlight w:val="none"/>
        </w:rPr>
        <w:t>7.伴随服务：我公司设备均提供一套完整的中文技术资料：包括操作手册、使用说明、维修保养操作手册、操作指南、原理、安装手册、产品合格证等。</w:t>
      </w:r>
    </w:p>
    <w:p>
      <w:pPr>
        <w:spacing w:line="360" w:lineRule="auto"/>
        <w:rPr>
          <w:color w:val="auto"/>
          <w:sz w:val="24"/>
          <w:highlight w:val="none"/>
        </w:rPr>
      </w:pPr>
      <w:r>
        <w:rPr>
          <w:rFonts w:hint="eastAsia"/>
          <w:color w:val="auto"/>
          <w:sz w:val="24"/>
          <w:highlight w:val="none"/>
        </w:rPr>
        <w:t>8.其他服务事项、技术规格要求以厂商售后服务为准。</w:t>
      </w:r>
    </w:p>
    <w:p>
      <w:pPr>
        <w:spacing w:line="360" w:lineRule="auto"/>
        <w:rPr>
          <w:color w:val="auto"/>
          <w:sz w:val="24"/>
          <w:highlight w:val="none"/>
        </w:rPr>
      </w:pPr>
      <w:r>
        <w:rPr>
          <w:rFonts w:hint="eastAsia"/>
          <w:color w:val="auto"/>
          <w:sz w:val="24"/>
          <w:highlight w:val="none"/>
        </w:rPr>
        <w:t>河南维修点</w:t>
      </w:r>
    </w:p>
    <w:p>
      <w:pPr>
        <w:spacing w:line="360" w:lineRule="auto"/>
        <w:rPr>
          <w:color w:val="auto"/>
          <w:sz w:val="24"/>
          <w:highlight w:val="none"/>
        </w:rPr>
      </w:pPr>
      <w:r>
        <w:rPr>
          <w:rFonts w:hint="eastAsia"/>
          <w:color w:val="auto"/>
          <w:sz w:val="24"/>
          <w:highlight w:val="none"/>
        </w:rPr>
        <w:t>【郑州办事处】:</w:t>
      </w:r>
    </w:p>
    <w:p>
      <w:pPr>
        <w:spacing w:line="360" w:lineRule="auto"/>
        <w:rPr>
          <w:color w:val="auto"/>
          <w:sz w:val="24"/>
          <w:highlight w:val="none"/>
        </w:rPr>
      </w:pPr>
      <w:r>
        <w:rPr>
          <w:rFonts w:hint="eastAsia"/>
          <w:color w:val="auto"/>
          <w:sz w:val="24"/>
          <w:highlight w:val="none"/>
        </w:rPr>
        <w:t>地址：河南省郑州市高新技术产业开发区红叶路89号1号楼4单元9层2354</w:t>
      </w:r>
    </w:p>
    <w:p>
      <w:pPr>
        <w:spacing w:line="360" w:lineRule="auto"/>
        <w:rPr>
          <w:color w:val="auto"/>
          <w:sz w:val="24"/>
          <w:highlight w:val="none"/>
        </w:rPr>
      </w:pPr>
      <w:r>
        <w:rPr>
          <w:rFonts w:hint="eastAsia"/>
          <w:color w:val="auto"/>
          <w:sz w:val="24"/>
          <w:highlight w:val="none"/>
        </w:rPr>
        <w:t>电话：159 3994 2654</w:t>
      </w:r>
    </w:p>
    <w:p>
      <w:pPr>
        <w:spacing w:line="360" w:lineRule="auto"/>
        <w:rPr>
          <w:color w:val="auto"/>
          <w:sz w:val="24"/>
          <w:highlight w:val="none"/>
        </w:rPr>
      </w:pPr>
      <w:r>
        <w:rPr>
          <w:rFonts w:hint="eastAsia"/>
          <w:color w:val="auto"/>
          <w:sz w:val="24"/>
          <w:highlight w:val="none"/>
        </w:rPr>
        <w:t>售后服务联系人：张文伟</w:t>
      </w:r>
    </w:p>
    <w:p>
      <w:pPr>
        <w:spacing w:line="320" w:lineRule="exact"/>
        <w:rPr>
          <w:color w:val="auto"/>
          <w:sz w:val="28"/>
          <w:szCs w:val="28"/>
          <w:highlight w:val="none"/>
        </w:rPr>
      </w:pPr>
    </w:p>
    <w:p>
      <w:pPr>
        <w:spacing w:line="320" w:lineRule="exact"/>
        <w:rPr>
          <w:color w:val="auto"/>
          <w:sz w:val="28"/>
          <w:szCs w:val="28"/>
          <w:highlight w:val="none"/>
        </w:rPr>
      </w:pPr>
    </w:p>
    <w:p>
      <w:pPr>
        <w:jc w:val="center"/>
        <w:rPr>
          <w:rFonts w:hint="eastAsia" w:ascii="宋体" w:hAnsi="宋体"/>
          <w:color w:val="auto"/>
          <w:sz w:val="28"/>
          <w:szCs w:val="28"/>
          <w:highlight w:val="none"/>
        </w:rPr>
      </w:pPr>
    </w:p>
    <w:p>
      <w:pPr>
        <w:rPr>
          <w:rFonts w:hint="eastAsia" w:ascii="宋体" w:hAnsi="宋体"/>
          <w:color w:val="auto"/>
          <w:sz w:val="28"/>
          <w:szCs w:val="28"/>
          <w:highlight w:val="none"/>
        </w:rPr>
      </w:pPr>
      <w:r>
        <w:rPr>
          <w:rFonts w:hint="eastAsia" w:ascii="宋体" w:hAnsi="宋体"/>
          <w:color w:val="auto"/>
          <w:sz w:val="28"/>
          <w:szCs w:val="28"/>
          <w:highlight w:val="none"/>
        </w:rPr>
        <w:br w:type="page"/>
      </w:r>
    </w:p>
    <w:p>
      <w:pPr>
        <w:jc w:val="center"/>
        <w:rPr>
          <w:rFonts w:hint="eastAsia" w:ascii="宋体" w:hAnsi="宋体"/>
          <w:color w:val="auto"/>
          <w:sz w:val="28"/>
          <w:szCs w:val="28"/>
          <w:highlight w:val="none"/>
        </w:rPr>
      </w:pPr>
      <w:r>
        <w:rPr>
          <w:rFonts w:hint="eastAsia" w:ascii="宋体" w:hAnsi="宋体"/>
          <w:color w:val="auto"/>
          <w:sz w:val="28"/>
          <w:szCs w:val="28"/>
          <w:highlight w:val="none"/>
        </w:rPr>
        <w:t>中标通知书</w:t>
      </w:r>
    </w:p>
    <w:p>
      <w:pP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drawing>
          <wp:inline distT="0" distB="0" distL="114300" distR="114300">
            <wp:extent cx="5275580" cy="7454900"/>
            <wp:effectExtent l="0" t="0" r="1270" b="12700"/>
            <wp:docPr id="2" name="图片 2" descr="包5--河南上知正仪器设备有限公司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包5--河南上知正仪器设备有限公司_00"/>
                    <pic:cNvPicPr>
                      <a:picLocks noChangeAspect="1"/>
                    </pic:cNvPicPr>
                  </pic:nvPicPr>
                  <pic:blipFill>
                    <a:blip r:embed="rId9"/>
                    <a:stretch>
                      <a:fillRect/>
                    </a:stretch>
                  </pic:blipFill>
                  <pic:spPr>
                    <a:xfrm>
                      <a:off x="0" y="0"/>
                      <a:ext cx="5275580" cy="7454900"/>
                    </a:xfrm>
                    <a:prstGeom prst="rect">
                      <a:avLst/>
                    </a:prstGeom>
                  </pic:spPr>
                </pic:pic>
              </a:graphicData>
            </a:graphic>
          </wp:inline>
        </w:drawing>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NjgwOWQxYzkzZTYzOGI0YjI0ODg0MjIxNWIwYjYifQ=="/>
    <w:docVar w:name="KSO_WPS_MARK_KEY" w:val="7ed932ac-f513-45a5-ab5c-a085852ad868"/>
  </w:docVars>
  <w:rsids>
    <w:rsidRoot w:val="00D44405"/>
    <w:rsid w:val="000008D8"/>
    <w:rsid w:val="0001449A"/>
    <w:rsid w:val="000165EA"/>
    <w:rsid w:val="0002027A"/>
    <w:rsid w:val="00022BB4"/>
    <w:rsid w:val="00025D5B"/>
    <w:rsid w:val="00026558"/>
    <w:rsid w:val="00031D6E"/>
    <w:rsid w:val="000721FB"/>
    <w:rsid w:val="000869B2"/>
    <w:rsid w:val="000876AF"/>
    <w:rsid w:val="000A212F"/>
    <w:rsid w:val="000B54FB"/>
    <w:rsid w:val="000C5C59"/>
    <w:rsid w:val="000D6031"/>
    <w:rsid w:val="000E7C9A"/>
    <w:rsid w:val="000F2CAD"/>
    <w:rsid w:val="000F5DAA"/>
    <w:rsid w:val="001036FA"/>
    <w:rsid w:val="001213A2"/>
    <w:rsid w:val="00124103"/>
    <w:rsid w:val="00134B06"/>
    <w:rsid w:val="0015038A"/>
    <w:rsid w:val="001513CE"/>
    <w:rsid w:val="001B239F"/>
    <w:rsid w:val="001B5016"/>
    <w:rsid w:val="001C163B"/>
    <w:rsid w:val="001C639A"/>
    <w:rsid w:val="001D2FC3"/>
    <w:rsid w:val="00217E50"/>
    <w:rsid w:val="002253E8"/>
    <w:rsid w:val="00247D9A"/>
    <w:rsid w:val="00251159"/>
    <w:rsid w:val="002514FC"/>
    <w:rsid w:val="002609BB"/>
    <w:rsid w:val="00273761"/>
    <w:rsid w:val="00287810"/>
    <w:rsid w:val="002A1A48"/>
    <w:rsid w:val="002C5F43"/>
    <w:rsid w:val="002C5FAB"/>
    <w:rsid w:val="002D25B8"/>
    <w:rsid w:val="002E3080"/>
    <w:rsid w:val="002E6092"/>
    <w:rsid w:val="002F10DA"/>
    <w:rsid w:val="002F5517"/>
    <w:rsid w:val="0030327C"/>
    <w:rsid w:val="00325F9E"/>
    <w:rsid w:val="003406A8"/>
    <w:rsid w:val="00340B92"/>
    <w:rsid w:val="003475DC"/>
    <w:rsid w:val="00377EE5"/>
    <w:rsid w:val="003848DF"/>
    <w:rsid w:val="00397EE8"/>
    <w:rsid w:val="003A20D8"/>
    <w:rsid w:val="003B28DD"/>
    <w:rsid w:val="003B4BD0"/>
    <w:rsid w:val="003B5011"/>
    <w:rsid w:val="003E1BF4"/>
    <w:rsid w:val="003E7F57"/>
    <w:rsid w:val="00406062"/>
    <w:rsid w:val="0041162B"/>
    <w:rsid w:val="00414500"/>
    <w:rsid w:val="00437333"/>
    <w:rsid w:val="00453FC4"/>
    <w:rsid w:val="00457F56"/>
    <w:rsid w:val="004727B9"/>
    <w:rsid w:val="00472EEA"/>
    <w:rsid w:val="00483EE9"/>
    <w:rsid w:val="00493683"/>
    <w:rsid w:val="00494F5E"/>
    <w:rsid w:val="004B1BD9"/>
    <w:rsid w:val="004C2238"/>
    <w:rsid w:val="004D7C07"/>
    <w:rsid w:val="004E3383"/>
    <w:rsid w:val="005137D9"/>
    <w:rsid w:val="00523EBC"/>
    <w:rsid w:val="00541E60"/>
    <w:rsid w:val="00550065"/>
    <w:rsid w:val="0055067B"/>
    <w:rsid w:val="00580360"/>
    <w:rsid w:val="005867A4"/>
    <w:rsid w:val="005A0DE4"/>
    <w:rsid w:val="005A7345"/>
    <w:rsid w:val="005A7B8E"/>
    <w:rsid w:val="005B10E1"/>
    <w:rsid w:val="005C311A"/>
    <w:rsid w:val="005E2AD6"/>
    <w:rsid w:val="005F2202"/>
    <w:rsid w:val="006008B3"/>
    <w:rsid w:val="00603A1A"/>
    <w:rsid w:val="00604521"/>
    <w:rsid w:val="00606FF9"/>
    <w:rsid w:val="006113C6"/>
    <w:rsid w:val="006238C0"/>
    <w:rsid w:val="00631E83"/>
    <w:rsid w:val="0064032A"/>
    <w:rsid w:val="00642EFC"/>
    <w:rsid w:val="006506D5"/>
    <w:rsid w:val="00655893"/>
    <w:rsid w:val="00655A56"/>
    <w:rsid w:val="00656DB1"/>
    <w:rsid w:val="00663BD1"/>
    <w:rsid w:val="006665AC"/>
    <w:rsid w:val="00670CE2"/>
    <w:rsid w:val="006740FF"/>
    <w:rsid w:val="00675867"/>
    <w:rsid w:val="00695F72"/>
    <w:rsid w:val="006A24D5"/>
    <w:rsid w:val="006B68E7"/>
    <w:rsid w:val="006F28F7"/>
    <w:rsid w:val="00705352"/>
    <w:rsid w:val="00723C49"/>
    <w:rsid w:val="00736B35"/>
    <w:rsid w:val="00744B51"/>
    <w:rsid w:val="00753652"/>
    <w:rsid w:val="0077527F"/>
    <w:rsid w:val="00794A04"/>
    <w:rsid w:val="007B5737"/>
    <w:rsid w:val="007C0558"/>
    <w:rsid w:val="007C366C"/>
    <w:rsid w:val="007C3A23"/>
    <w:rsid w:val="007D3A9A"/>
    <w:rsid w:val="007E0B50"/>
    <w:rsid w:val="007E50B4"/>
    <w:rsid w:val="0083296C"/>
    <w:rsid w:val="00846616"/>
    <w:rsid w:val="008A0A57"/>
    <w:rsid w:val="008A2874"/>
    <w:rsid w:val="008B6819"/>
    <w:rsid w:val="008B7084"/>
    <w:rsid w:val="008B7238"/>
    <w:rsid w:val="008E5E73"/>
    <w:rsid w:val="0090449B"/>
    <w:rsid w:val="00912A18"/>
    <w:rsid w:val="00936264"/>
    <w:rsid w:val="00942887"/>
    <w:rsid w:val="00950789"/>
    <w:rsid w:val="0095139D"/>
    <w:rsid w:val="00973ABD"/>
    <w:rsid w:val="00986349"/>
    <w:rsid w:val="00990EE3"/>
    <w:rsid w:val="00993624"/>
    <w:rsid w:val="009936E3"/>
    <w:rsid w:val="009B20B7"/>
    <w:rsid w:val="009B618C"/>
    <w:rsid w:val="009C3FF2"/>
    <w:rsid w:val="009C7947"/>
    <w:rsid w:val="009E4C44"/>
    <w:rsid w:val="00A01646"/>
    <w:rsid w:val="00A10095"/>
    <w:rsid w:val="00A12F05"/>
    <w:rsid w:val="00A37EC4"/>
    <w:rsid w:val="00A44AF1"/>
    <w:rsid w:val="00A46E07"/>
    <w:rsid w:val="00A51682"/>
    <w:rsid w:val="00A72D4D"/>
    <w:rsid w:val="00A84A19"/>
    <w:rsid w:val="00A95DB8"/>
    <w:rsid w:val="00AA0DEC"/>
    <w:rsid w:val="00AA2885"/>
    <w:rsid w:val="00AA4009"/>
    <w:rsid w:val="00AA72D7"/>
    <w:rsid w:val="00AB26EA"/>
    <w:rsid w:val="00AD1F63"/>
    <w:rsid w:val="00AE1950"/>
    <w:rsid w:val="00AE4E99"/>
    <w:rsid w:val="00B01D46"/>
    <w:rsid w:val="00B04C1A"/>
    <w:rsid w:val="00B13891"/>
    <w:rsid w:val="00B26563"/>
    <w:rsid w:val="00B27C97"/>
    <w:rsid w:val="00B404D0"/>
    <w:rsid w:val="00B445E0"/>
    <w:rsid w:val="00B467D7"/>
    <w:rsid w:val="00B6603B"/>
    <w:rsid w:val="00B6631B"/>
    <w:rsid w:val="00B77150"/>
    <w:rsid w:val="00B9030E"/>
    <w:rsid w:val="00B958C9"/>
    <w:rsid w:val="00BB3845"/>
    <w:rsid w:val="00BC2A44"/>
    <w:rsid w:val="00BD1BF3"/>
    <w:rsid w:val="00C035E0"/>
    <w:rsid w:val="00C27780"/>
    <w:rsid w:val="00C41D9B"/>
    <w:rsid w:val="00C445FB"/>
    <w:rsid w:val="00C50F85"/>
    <w:rsid w:val="00C5315D"/>
    <w:rsid w:val="00C55558"/>
    <w:rsid w:val="00C813A4"/>
    <w:rsid w:val="00C835C5"/>
    <w:rsid w:val="00C83ECF"/>
    <w:rsid w:val="00CA0D57"/>
    <w:rsid w:val="00CA14BF"/>
    <w:rsid w:val="00CB7F7E"/>
    <w:rsid w:val="00CC30A1"/>
    <w:rsid w:val="00CD030D"/>
    <w:rsid w:val="00D020A2"/>
    <w:rsid w:val="00D035DD"/>
    <w:rsid w:val="00D116D8"/>
    <w:rsid w:val="00D21194"/>
    <w:rsid w:val="00D269B4"/>
    <w:rsid w:val="00D317AB"/>
    <w:rsid w:val="00D4202D"/>
    <w:rsid w:val="00D44405"/>
    <w:rsid w:val="00D50AA1"/>
    <w:rsid w:val="00D55637"/>
    <w:rsid w:val="00D653DE"/>
    <w:rsid w:val="00D67C8B"/>
    <w:rsid w:val="00D76062"/>
    <w:rsid w:val="00D763BC"/>
    <w:rsid w:val="00D932AA"/>
    <w:rsid w:val="00DA0F55"/>
    <w:rsid w:val="00DA3C74"/>
    <w:rsid w:val="00DA7852"/>
    <w:rsid w:val="00DB3EAE"/>
    <w:rsid w:val="00DD1538"/>
    <w:rsid w:val="00DD3BCB"/>
    <w:rsid w:val="00DD5BB1"/>
    <w:rsid w:val="00E00BFF"/>
    <w:rsid w:val="00E17DF7"/>
    <w:rsid w:val="00E25C95"/>
    <w:rsid w:val="00E302AE"/>
    <w:rsid w:val="00E33326"/>
    <w:rsid w:val="00E528C3"/>
    <w:rsid w:val="00E56376"/>
    <w:rsid w:val="00E65D3A"/>
    <w:rsid w:val="00E67A3F"/>
    <w:rsid w:val="00E73FEF"/>
    <w:rsid w:val="00E74585"/>
    <w:rsid w:val="00E762A8"/>
    <w:rsid w:val="00EA439A"/>
    <w:rsid w:val="00EB0FB3"/>
    <w:rsid w:val="00EB1FF6"/>
    <w:rsid w:val="00EB4CDA"/>
    <w:rsid w:val="00EB7BC6"/>
    <w:rsid w:val="00ED3BE0"/>
    <w:rsid w:val="00ED7A5B"/>
    <w:rsid w:val="00EE3552"/>
    <w:rsid w:val="00EE3608"/>
    <w:rsid w:val="00EE4A27"/>
    <w:rsid w:val="00EF19A3"/>
    <w:rsid w:val="00EF7C58"/>
    <w:rsid w:val="00F07B40"/>
    <w:rsid w:val="00F105AB"/>
    <w:rsid w:val="00F24046"/>
    <w:rsid w:val="00F35B8A"/>
    <w:rsid w:val="00F610C6"/>
    <w:rsid w:val="00F913F9"/>
    <w:rsid w:val="00FA0F48"/>
    <w:rsid w:val="00FB2FA0"/>
    <w:rsid w:val="00FC017E"/>
    <w:rsid w:val="00FC0F37"/>
    <w:rsid w:val="00FC5340"/>
    <w:rsid w:val="00FE2ACA"/>
    <w:rsid w:val="00FE3F2E"/>
    <w:rsid w:val="00FF37B3"/>
    <w:rsid w:val="00FF537D"/>
    <w:rsid w:val="023B4544"/>
    <w:rsid w:val="032D29B2"/>
    <w:rsid w:val="0488074D"/>
    <w:rsid w:val="06823015"/>
    <w:rsid w:val="110236E1"/>
    <w:rsid w:val="14DB691B"/>
    <w:rsid w:val="17BC39E3"/>
    <w:rsid w:val="1B9F179F"/>
    <w:rsid w:val="23E6362E"/>
    <w:rsid w:val="26F86CAF"/>
    <w:rsid w:val="291C2770"/>
    <w:rsid w:val="39700927"/>
    <w:rsid w:val="3BD5021D"/>
    <w:rsid w:val="3BF9372C"/>
    <w:rsid w:val="3EDA3BD7"/>
    <w:rsid w:val="400C5057"/>
    <w:rsid w:val="4C561BFF"/>
    <w:rsid w:val="59E7183C"/>
    <w:rsid w:val="64D911C7"/>
    <w:rsid w:val="65EF0036"/>
    <w:rsid w:val="7AC806E6"/>
    <w:rsid w:val="7BFC2289"/>
    <w:rsid w:val="7DCD160C"/>
    <w:rsid w:val="7FCC7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link w:val="3"/>
    <w:qFormat/>
    <w:uiPriority w:val="0"/>
    <w:rPr>
      <w:kern w:val="2"/>
      <w:sz w:val="18"/>
      <w:szCs w:val="18"/>
    </w:rPr>
  </w:style>
  <w:style w:type="character" w:customStyle="1" w:styleId="10">
    <w:name w:val="页脚 字符"/>
    <w:link w:val="2"/>
    <w:qFormat/>
    <w:uiPriority w:val="99"/>
    <w:rPr>
      <w:kern w:val="2"/>
      <w:sz w:val="18"/>
      <w:szCs w:val="18"/>
    </w:rPr>
  </w:style>
  <w:style w:type="paragraph" w:customStyle="1" w:styleId="11">
    <w:name w:val="table_lines"/>
    <w:basedOn w:val="1"/>
    <w:qFormat/>
    <w:uiPriority w:val="0"/>
    <w:pPr>
      <w:widowControl/>
      <w:jc w:val="left"/>
    </w:pPr>
    <w:rPr>
      <w:kern w:val="0"/>
      <w:sz w:val="20"/>
      <w:szCs w:val="20"/>
      <w:lang w:val="de-DE" w:eastAsia="de-DE"/>
    </w:rPr>
  </w:style>
  <w:style w:type="paragraph" w:customStyle="1" w:styleId="12">
    <w:name w:val="Char Char Char1 Char Char Char Char"/>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13">
    <w:name w:val="table_1stline"/>
    <w:basedOn w:val="1"/>
    <w:qFormat/>
    <w:uiPriority w:val="0"/>
    <w:pPr>
      <w:widowControl/>
      <w:spacing w:before="120"/>
      <w:jc w:val="left"/>
    </w:pPr>
    <w:rPr>
      <w:bCs/>
      <w:kern w:val="0"/>
      <w:sz w:val="20"/>
      <w:szCs w:val="20"/>
      <w:lang w:val="de-DE" w:eastAsia="de-DE"/>
    </w:rPr>
  </w:style>
  <w:style w:type="paragraph" w:styleId="14">
    <w:name w:val="No Spacing"/>
    <w:qFormat/>
    <w:uiPriority w:val="0"/>
    <w:rPr>
      <w:rFonts w:ascii="Times New Roman" w:hAnsi="Times New Roman" w:eastAsia="宋体" w:cs="Times New Roman"/>
      <w:lang w:val="en-US" w:eastAsia="zh-CN" w:bidi="ar-SA"/>
    </w:rPr>
  </w:style>
  <w:style w:type="paragraph" w:customStyle="1" w:styleId="15">
    <w:name w:val="无间隔1"/>
    <w:basedOn w:val="1"/>
    <w:qFormat/>
    <w:uiPriority w:val="1"/>
    <w:pPr>
      <w:spacing w:line="400" w:lineRule="exact"/>
    </w:pPr>
    <w:rPr>
      <w:sz w:val="24"/>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character" w:customStyle="1" w:styleId="17">
    <w:name w:val="font31"/>
    <w:basedOn w:val="7"/>
    <w:qFormat/>
    <w:uiPriority w:val="0"/>
    <w:rPr>
      <w:rFonts w:hint="eastAsia" w:ascii="宋体" w:hAnsi="宋体" w:eastAsia="宋体" w:cs="宋体"/>
      <w:color w:val="000000"/>
      <w:sz w:val="21"/>
      <w:szCs w:val="21"/>
      <w:u w:val="none"/>
    </w:rPr>
  </w:style>
  <w:style w:type="character" w:customStyle="1" w:styleId="18">
    <w:name w:val="font41"/>
    <w:basedOn w:val="7"/>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9173</Words>
  <Characters>10700</Characters>
  <Lines>84</Lines>
  <Paragraphs>23</Paragraphs>
  <TotalTime>22</TotalTime>
  <ScaleCrop>false</ScaleCrop>
  <LinksUpToDate>false</LinksUpToDate>
  <CharactersWithSpaces>11249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2022-07-26T02:19:00Z</dcterms:created>
  <dc:creator>lenovo</dc:creator>
  <cp:lastModifiedBy>Qq150</cp:lastModifiedBy>
  <cp:lastPrinted>2017-10-20T07:52:00Z</cp:lastPrinted>
  <dcterms:modified xsi:type="dcterms:W3CDTF">2025-02-24T07:49:57Z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5778B86C29E744B1A0261EBEC9BDF7DC</vt:lpwstr>
  </property>
  <property fmtid="{D5CDD505-2E9C-101B-9397-08002B2CF9AE}" pid="4" name="KSOTemplateDocerSaveRecord">
    <vt:lpwstr>eyJoZGlkIjoiYjFkNmEyNmZmYjVkNTc5MGM2ZGYyYWY0MTkxMmI2MjIiLCJ1c2VySWQiOiIyMDIxNTE0MjkifQ==</vt:lpwstr>
  </property>
</Properties>
</file>